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600"/>
      </w:pPr>
    </w:p>
    <w:p>
      <w:pPr>
        <w:spacing w:after="24" w:line="360"/>
        <w:jc w:val="center"/>
      </w:pPr>
      <w:r>
        <w:t xml:space="preserve">THE AGENTIC STATE: A UK PROPOSITION</w:t>
      </w:r>
    </w:p>
    <w:p>
      <w:pPr>
        <w:spacing w:after="400" w:line="360"/>
        <w:jc w:val="center"/>
      </w:pPr>
      <w:r>
        <w:t xml:space="preserve">Infrastructure for the reform of public services</w:t>
      </w:r>
    </w:p>
    <w:p>
      <w:pPr>
        <w:spacing w:line="600"/>
      </w:pPr>
    </w:p>
    <w:p>
      <w:pPr>
        <w:spacing w:line="360"/>
        <w:jc w:val="center"/>
      </w:pPr>
      <w:r>
        <w:t xml:space="preserve">GDS AI Studio | April 2026</w:t>
      </w:r>
    </w:p>
    <w:r>
      <w:br w:type="page"/>
    </w:r>
    <w:p>
      <w:pPr>
        <w:pStyle w:val="Heading1"/>
        <w:spacing w:after="400" w:line="360"/>
        <w:jc w:val="center"/>
      </w:pPr>
      <w:r>
        <w:t xml:space="preserve">CONTENTS</w:t>
      </w:r>
    </w:p>
    <w:p>
      <w:pPr>
        <w:spacing w:after="100" w:line="360"/>
      </w:pPr>
      <w:r>
        <w:t xml:space="preserve">About this document</w:t>
      </w:r>
    </w:p>
    <w:p>
      <w:pPr>
        <w:spacing w:after="100" w:line="360"/>
      </w:pPr>
      <w:r>
        <w:t xml:space="preserve">1. The case for action</w:t>
      </w:r>
    </w:p>
    <w:p>
      <w:pPr>
        <w:spacing w:after="100" w:line="360"/>
      </w:pPr>
      <w:r>
        <w:t xml:space="preserve">2. The international framework</w:t>
      </w:r>
    </w:p>
    <w:p>
      <w:pPr>
        <w:spacing w:after="100" w:line="360"/>
      </w:pPr>
      <w:r>
        <w:t xml:space="preserve">3. The architecture</w:t>
      </w:r>
    </w:p>
    <w:p>
      <w:pPr>
        <w:spacing w:after="100" w:line="360"/>
      </w:pPr>
      <w:r>
        <w:t xml:space="preserve">4. The citizen experience</w:t>
      </w:r>
    </w:p>
    <w:p>
      <w:pPr>
        <w:spacing w:after="100" w:line="360"/>
      </w:pPr>
      <w:r>
        <w:t xml:space="preserve">5. The department experience</w:t>
      </w:r>
    </w:p>
    <w:p>
      <w:pPr>
        <w:spacing w:after="100" w:line="360"/>
      </w:pPr>
      <w:r>
        <w:t xml:space="preserve">6. Six departments, six journeys</w:t>
      </w:r>
    </w:p>
    <w:p>
      <w:pPr>
        <w:spacing w:after="100" w:line="360"/>
      </w:pPr>
      <w:r>
        <w:t xml:space="preserve">7. Trust as infrastructure</w:t>
      </w:r>
    </w:p>
    <w:p>
      <w:pPr>
        <w:spacing w:after="100" w:line="360"/>
      </w:pPr>
      <w:r>
        <w:t xml:space="preserve">8. Beyond the citizen: Agents in the machinery of government</w:t>
      </w:r>
    </w:p>
    <w:p>
      <w:pPr>
        <w:spacing w:after="100" w:line="360"/>
      </w:pPr>
      <w:r>
        <w:t xml:space="preserve">9. The economic case</w:t>
      </w:r>
    </w:p>
    <w:p>
      <w:pPr>
        <w:spacing w:after="400" w:line="360"/>
      </w:pPr>
      <w:r>
        <w:t xml:space="preserve">10. What we need</w:t>
      </w:r>
    </w:p>
    <w:r>
      <w:br w:type="page"/>
    </w:r>
    <w:p>
      <w:pPr>
        <w:pStyle w:val="Heading1"/>
        <w:spacing w:after="150" w:before="0" w:line="360"/>
      </w:pPr>
      <w:r>
        <w:t xml:space="preserve">ABOUT THIS DOCUMENT</w:t>
      </w:r>
    </w:p>
    <w:p>
      <w:pPr>
        <w:spacing w:after="100" w:line="276" w:lineRule="auto"/>
      </w:pPr>
      <w:r>
        <w:t xml:space="preserve">This document sets out the case for a fundamental reform of how UK government services are created, delivered, and governed — using agentic technology as the mechanism for change.</w:t>
      </w:r>
    </w:p>
    <w:p>
      <w:pPr>
        <w:spacing w:after="100" w:line="276" w:lineRule="auto"/>
      </w:pPr>
      <w:r>
        <w:t xml:space="preserve">It builds on the international Agentic State vision paper, launched at the Tallinn Digital Summit in 2025 with contributions from over twenty digital government leaders across fifteen countries. That paper describes what needs to happen. This document describes what we have built, what we have learned, and what the UK should do next.</w:t>
      </w:r>
    </w:p>
    <w:p>
      <w:pPr>
        <w:spacing w:after="100" w:line="276" w:lineRule="auto"/>
      </w:pPr>
      <w:r>
        <w:t xml:space="preserve">The Agentic State paper is a framework. This is a working architecture — tested, prototyped, and grounded in UK departments, UK policy, and the lives of UK citizens.</w:t>
      </w:r>
    </w:p>
    <w:r>
      <w:br w:type="page"/>
    </w:r>
    <w:p>
      <w:pPr>
        <w:pStyle w:val="Heading1"/>
        <w:spacing w:after="100" w:before="200" w:line="360"/>
      </w:pPr>
      <w:r>
        <w:t xml:space="preserve">1. THE CASE FOR ACTION</w:t>
      </w:r>
    </w:p>
    <w:p>
      <w:pPr>
        <w:pStyle w:val="Heading2"/>
        <w:spacing w:after="80" w:before="150" w:line="360"/>
      </w:pPr>
      <w:r>
        <w:t xml:space="preserve">1.1 The fusion of technology, policy, and services</w:t>
      </w:r>
    </w:p>
    <w:p>
      <w:pPr>
        <w:spacing w:after="100" w:line="276" w:lineRule="auto"/>
      </w:pPr>
      <w:r>
        <w:t xml:space="preserve">Agentic technology does not sit alongside policy and services — it fuses them. An AI agent that explains eligibility is interpreting policy. An agent that submits a form is delivering a service. An agent that sequences tasks across departments is orchestrating government.</w:t>
      </w:r>
    </w:p>
    <w:p>
      <w:pPr>
        <w:spacing w:after="100" w:line="276" w:lineRule="auto"/>
      </w:pPr>
      <w:r>
        <w:t xml:space="preserve">These are not separate activities. In the agentic model, technology, policy, and service delivery are the same thing. You cannot reform one without reforming all three.</w:t>
      </w:r>
    </w:p>
    <w:p>
      <w:pPr>
        <w:pStyle w:val="Heading2"/>
        <w:spacing w:after="80" w:before="150" w:line="360"/>
      </w:pPr>
      <w:r>
        <w:t xml:space="preserve">1.2 This is already happening</w:t>
      </w:r>
    </w:p>
    <w:p>
      <w:pPr>
        <w:spacing w:after="100" w:line="276" w:lineRule="auto"/>
      </w:pPr>
      <w:r>
        <w:t xml:space="preserve">Citizens are already using AI agents to interact with government services — without government's knowledge, consent, or oversight.</w:t>
      </w:r>
    </w:p>
    <w:p>
      <w:pPr>
        <w:spacing w:after="100" w:line="276" w:lineRule="auto"/>
      </w:pPr>
      <w:r>
        <w:t xml:space="preserve">Twenty-six percent of US citizens used AI tools to file their 2025 tax returns, up from eleven percent the previous year. ChatGPT has two hundred million weekly active users worldwide. Claude, Gemini, and open-source alternatives are growing at comparable rates. OpenAI gave 2,500 UK civil servants access to ChatGPT Enterprise. Over 90,000 users across 3,500 US government agencies have exchanged eighteen million messages with ChatGPT.</w:t>
      </w:r>
    </w:p>
    <w:p>
      <w:pPr>
        <w:spacing w:after="100" w:line="276" w:lineRule="auto"/>
      </w:pPr>
      <w:r>
        <w:t xml:space="preserve">The Model Context Protocol — an open standard for connecting AI agents to external tools and data — was adopted by OpenAI in March 2025 and has become the dominant connectivity standard. Any AI model can, in principle, connect to government service endpoints and act on the data it finds there.</w:t>
      </w:r>
    </w:p>
    <w:p>
      <w:pPr>
        <w:spacing w:after="100" w:line="276" w:lineRule="auto"/>
      </w:pPr>
      <w:r>
        <w:t xml:space="preserve">The infrastructure for third-party agents to interact with government services already exists. The question is not whether this happens. It is whether government has any role in shaping how it happens.</w:t>
      </w:r>
    </w:p>
    <w:p>
      <w:pPr>
        <w:pStyle w:val="Heading2"/>
        <w:spacing w:after="80" w:before="150" w:line="360"/>
      </w:pPr>
      <w:r>
        <w:t xml:space="preserve">1.3 The cost of the current model</w:t>
      </w:r>
    </w:p>
    <w:p>
      <w:pPr>
        <w:spacing w:after="100" w:line="276" w:lineRule="auto"/>
      </w:pPr>
      <w:r>
        <w:t xml:space="preserve">Government currently spends billions translating policy into citizen-navigable services — and still fails millions of people.</w:t>
      </w:r>
    </w:p>
    <w:p>
      <w:pPr>
        <w:spacing w:after="100" w:line="276" w:lineRule="auto"/>
      </w:pPr>
      <w:r>
        <w:t xml:space="preserve">HMRC is committing six hundred million pounds to a new contact centre contract. HMRC receives twenty-eight million avoidable calls per year, costing between one hundred and forty and one hundred and ninety-six million pounds. DWP spends one hundred and sixty million pounds on contact centres. DWP loses nine and a half billion pounds annually to benefits overpayments. The HMCTS Reform Programme spent two point eight billion pounds delivering fourteen digital services — two hundred million pounds per service over its lifecycle. The Department for Education has overspent one billion pounds on childcare systems. The Home Office spends four billion pounds per year on asylum accommodation.</w:t>
      </w:r>
    </w:p>
    <w:p>
      <w:pPr>
        <w:spacing w:after="100" w:line="276" w:lineRule="auto"/>
      </w:pPr>
      <w:r>
        <w:t xml:space="preserve">Across just six departments, there is one point three billion pounds in identifiable annual waste — costs that exist because government services are fragmented, siloed, and built for each department to deliver individually rather than for citizens to navigate as a whole.</w:t>
      </w:r>
    </w:p>
    <w:p>
      <w:pPr>
        <w:pStyle w:val="Heading2"/>
        <w:spacing w:after="80" w:before="150" w:line="360"/>
      </w:pPr>
      <w:r>
        <w:t xml:space="preserve">1.4 The precedent</w:t>
      </w:r>
    </w:p>
    <w:p>
      <w:pPr>
        <w:spacing w:after="100" w:line="276" w:lineRule="auto"/>
      </w:pPr>
      <w:r>
        <w:t xml:space="preserve">The internet transformed the delivery of government services almost beyond recognition. That transformation took thirty years. What is happening now with agentic technology will be measured in months and weeks, not years and decades. We know this because we are watching it happen — what took the internet a generation to achieve, AI is compressing into a fraction of that time.</w:t>
      </w:r>
    </w:p>
    <w:p>
      <w:pPr>
        <w:spacing w:after="100" w:line="276" w:lineRule="auto"/>
      </w:pPr>
      <w:r>
        <w:t xml:space="preserve">The tide is coming. Doing nothing is dangerous. Doing too little is a wasted opportunity. But unlike the internet, we are not guessing. Thirty years of digital transformation have taught us exactly what happens when government moves slowly: the private sector fills the gap, citizens build habits around tools government didn't build, and by the time government responds it is adapting to someone else's infrastructure rather than shaping its own.</w:t>
      </w:r>
    </w:p>
    <w:p>
      <w:pPr>
        <w:spacing w:after="100" w:line="276" w:lineRule="auto"/>
      </w:pPr>
      <w:r>
        <w:t xml:space="preserve">This time, we can see the wave. We can measure its speed. And we can act before it arrives — or we can spend the next decade mopping up and catching up.</w:t>
      </w:r>
    </w:p>
    <w:p>
      <w:pPr>
        <w:pStyle w:val="Heading2"/>
        <w:spacing w:after="80" w:before="150" w:line="360"/>
      </w:pPr>
      <w:r>
        <w:t xml:space="preserve">1.5 State reform, not digital transformation</w:t>
      </w:r>
    </w:p>
    <w:p>
      <w:pPr>
        <w:spacing w:after="100" w:line="276" w:lineRule="auto"/>
      </w:pPr>
      <w:r>
        <w:t xml:space="preserve">This is not just a better experience for citizens. It is a different operating model for government.</w:t>
      </w:r>
    </w:p>
    <w:p>
      <w:pPr>
        <w:spacing w:after="100" w:line="276" w:lineRule="auto"/>
      </w:pPr>
      <w:r>
        <w:t xml:space="preserve">Today, departments design web forms, write guidance pages, run contact centres, and build bespoke digital services — all to translate policy into something a citizen can navigate. Each department does this independently. Each channel — web, phone, post, in-person — requires its own version. One thousand five hundred and forty-four government services multiplied by five or more channels equals over seven thousand seven hundred parallel descriptions of the same services, maintained separately.</w:t>
      </w:r>
    </w:p>
    <w:p>
      <w:pPr>
        <w:spacing w:after="100" w:line="276" w:lineRule="auto"/>
      </w:pPr>
      <w:r>
        <w:t xml:space="preserve">In the agentic model, departments publish policy as structured, machine-readable descriptions — once. The agent layer handles everything between that policy and the citizen: identifying who is eligible, explaining what is needed, collecting consent, submitting data, issuing receipts. Every channel — web, app, voice, third-party agent — consumes the same source.</w:t>
      </w:r>
    </w:p>
    <w:p>
      <w:pPr>
        <w:spacing w:after="100" w:line="276" w:lineRule="auto"/>
      </w:pPr>
      <w:r>
        <w:t xml:space="preserve">Departments stop being front-of-house. They become dedicated to the thing they are actually here to do: policy, outcomes, and the quality of the services they are responsible for.</w:t>
      </w:r>
    </w:p>
    <w:p>
      <w:pPr>
        <w:spacing w:after="100" w:line="276" w:lineRule="auto"/>
      </w:pPr>
      <w:r>
        <w:t xml:space="preserve">This is state reform, not digital transformation. Digital transformation digitised what existed. This reorganises what government does.</w:t>
      </w:r>
    </w:p>
    <w:r>
      <w:br w:type="page"/>
    </w:r>
    <w:p>
      <w:pPr>
        <w:pStyle w:val="Heading1"/>
        <w:spacing w:after="100" w:before="200" w:line="360"/>
      </w:pPr>
      <w:r>
        <w:t xml:space="preserve">2. THE INTERNATIONAL FRAMEWORK</w:t>
      </w:r>
    </w:p>
    <w:p>
      <w:pPr>
        <w:pStyle w:val="Heading2"/>
        <w:spacing w:after="80" w:before="150" w:line="360"/>
      </w:pPr>
      <w:r>
        <w:t xml:space="preserve">2.1 The Agentic State vision paper</w:t>
      </w:r>
    </w:p>
    <w:p>
      <w:pPr>
        <w:spacing w:after="100" w:line="276" w:lineRule="auto"/>
      </w:pPr>
      <w:r>
        <w:t xml:space="preserve">The international community has named this transformation. The Agentic State vision paper identifies four shifts in governance that characterise the move from traditional public administration to agentic government.</w:t>
      </w:r>
    </w:p>
    <w:p>
      <w:pPr>
        <w:pStyle w:val="Heading2"/>
        <w:spacing w:after="80" w:before="150" w:line="360"/>
      </w:pPr>
      <w:r>
        <w:t xml:space="preserve">2.2 The four shifts</w:t>
      </w:r>
    </w:p>
    <w:p>
      <w:pPr>
        <w:spacing w:after="100" w:line="276" w:lineRule="auto"/>
      </w:pPr>
      <w:r>
        <w:t xml:space="preserve">The first shift is from rule-based decision-making to outcome optimisation. Traditional bureaucracy applies predetermined rules to specific situations. Agentic systems optimise toward defined outcomes, dynamically adapting their approach as circumstances change. An agentic system can follow policy intent — the actual goal — rather than just the rules that approximate it.</w:t>
      </w:r>
    </w:p>
    <w:p>
      <w:pPr>
        <w:spacing w:after="100" w:line="276" w:lineRule="auto"/>
      </w:pPr>
      <w:r>
        <w:t xml:space="preserve">The second shift is from hierarchical authority to network coordination. Agentic systems operate through networks of specialised agents coordinating across organisational boundaries, rather than through hierarchical command structures. This enables faster decision-making, reduces silos, and allows expertise to flow where it is needed.</w:t>
      </w:r>
    </w:p>
    <w:p>
      <w:pPr>
        <w:spacing w:after="100" w:line="276" w:lineRule="auto"/>
      </w:pPr>
      <w:r>
        <w:t xml:space="preserve">The third shift is from specialised roles to adaptive capabilities. Departmental specialisation creates deep expertise within narrow domains but strangles the ability to adapt when circumstances cross boundaries. A bereavement triggers services in GRO, DWP, HMRC, and MoJ simultaneously — no single department can manage that journey alone.</w:t>
      </w:r>
    </w:p>
    <w:p>
      <w:pPr>
        <w:spacing w:after="100" w:line="276" w:lineRule="auto"/>
      </w:pPr>
      <w:r>
        <w:t xml:space="preserve">The fourth shift is from periodic planning to continuous learning and iteration. Traditional government revises policy on five-year cycles. Agentic systems learn continuously, tracking what works, what fails, and what citizens actually need, in real time.</w:t>
      </w:r>
    </w:p>
    <w:p>
      <w:pPr>
        <w:pStyle w:val="Heading2"/>
        <w:spacing w:after="80" w:before="150" w:line="360"/>
      </w:pPr>
      <w:r>
        <w:t xml:space="preserve">2.3 The twelve functional layers</w:t>
      </w:r>
    </w:p>
    <w:p>
      <w:pPr>
        <w:spacing w:after="100" w:line="276" w:lineRule="auto"/>
      </w:pPr>
      <w:r>
        <w:t xml:space="preserve">The Agentic State paper analyses transformation through twelve functional layers. Six are implementation layers where agents deliver direct value: public service design, government workflows, policy-making, regulatory compliance, crisis response, and procurement. Six are enablement layers addressing structural requirements: agent governance, data and privacy, technology stack, cyber security, public finance, and people and leadership.</w:t>
      </w:r>
    </w:p>
    <w:p>
      <w:pPr>
        <w:pStyle w:val="Heading2"/>
        <w:spacing w:after="80" w:before="150" w:line="360"/>
      </w:pPr>
      <w:r>
        <w:t xml:space="preserve">2.4 Where we go further</w:t>
      </w:r>
    </w:p>
    <w:p>
      <w:pPr>
        <w:spacing w:after="100" w:line="276" w:lineRule="auto"/>
      </w:pPr>
      <w:r>
        <w:t xml:space="preserve">The Agentic State paper is a valuable and necessary framework. But it has significant gaps that our work addresses.</w:t>
      </w:r>
    </w:p>
    <w:p>
      <w:pPr>
        <w:spacing w:after="100" w:line="276" w:lineRule="auto"/>
      </w:pPr>
      <w:r>
        <w:t xml:space="preserve">The paper describes self-composing services in theory. We have built them: life event detection, service graph traversal, field deduplication, cross-department orchestration — all running in a prototype with over a hundred services.</w:t>
      </w:r>
    </w:p>
    <w:p>
      <w:pPr>
        <w:spacing w:after="100" w:line="276" w:lineRule="auto"/>
      </w:pPr>
      <w:r>
        <w:t xml:space="preserve">The paper mentions accountability and governance as an enablement layer. We have built the accountability infrastructure: a deterministic policy boundary, an immutable evidence plane, granular consent management, and structured human handoff.</w:t>
      </w:r>
    </w:p>
    <w:p>
      <w:pPr>
        <w:spacing w:after="100" w:line="276" w:lineRule="auto"/>
      </w:pPr>
      <w:r>
        <w:t xml:space="preserve">The paper is silent on citizen trust. We have developed a trust architecture with thirty-five design patterns across a four-surface trust lifecycle — before action, during action, after action, and on demand.</w:t>
      </w:r>
    </w:p>
    <w:p>
      <w:pPr>
        <w:spacing w:after="100" w:line="276" w:lineRule="auto"/>
      </w:pPr>
      <w:r>
        <w:t xml:space="preserve">The paper cites international examples. Our work is grounded in UK departments, UK policy, and UK citizens — with six real personas across the Ministry of Justice, the Department for Work and Pensions, HM Revenue and Customs, the Department for Education, the Home Office, and the Driver and Vehicle Licensing Agency.</w:t>
      </w:r>
    </w:p>
    <w:p>
      <w:pPr>
        <w:spacing w:after="100" w:line="276" w:lineRule="auto"/>
      </w:pPr>
      <w:r>
        <w:t xml:space="preserve">The paper does not address what happens when third-party agents — tools government did not build — begin interacting with government services. Our architecture is designed from the ground up for this reality.</w:t>
      </w:r>
    </w:p>
    <w:p>
      <w:pPr>
        <w:spacing w:after="100" w:line="276" w:lineRule="auto"/>
      </w:pPr>
      <w:r>
        <w:t xml:space="preserve">Most critically, the paper describes what agents do for citizens. It does not describe what agents do for government itself. Our proposition does both.</w:t>
      </w:r>
    </w:p>
    <w:r>
      <w:br w:type="page"/>
    </w:r>
    <w:p>
      <w:pPr>
        <w:pStyle w:val="Heading1"/>
        <w:spacing w:after="100" w:before="200" w:line="360"/>
      </w:pPr>
      <w:r>
        <w:t xml:space="preserve">3. THE ARCHITECTURE</w:t>
      </w:r>
    </w:p>
    <w:p>
      <w:pPr>
        <w:pStyle w:val="Heading2"/>
        <w:spacing w:after="80" w:before="150" w:line="360"/>
      </w:pPr>
      <w:r>
        <w:t xml:space="preserve">3.1 Building for agency, not just agents</w:t>
      </w:r>
    </w:p>
    <w:p>
      <w:pPr>
        <w:spacing w:after="100" w:line="276" w:lineRule="auto"/>
      </w:pPr>
      <w:r>
        <w:t xml:space="preserve">The Agentic Legibility Stack is not an AI chatbot. It is infrastructure for a new relationship between citizens and the state.</w:t>
      </w:r>
    </w:p>
    <w:p>
      <w:pPr>
        <w:spacing w:after="100" w:line="276" w:lineRule="auto"/>
      </w:pPr>
      <w:r>
        <w:t xml:space="preserve">The distinction matters. An AI chatbot is a product — a single interface that happens to use language models. The Agentic Legibility Stack is a platform architecture that separates three concerns: what services exist and how they work (the legibility layer), how an agent interacts with those services on behalf of a citizen (the runtime layer), and how every interaction is recorded and auditable (the evidence layer).</w:t>
      </w:r>
    </w:p>
    <w:p>
      <w:pPr>
        <w:spacing w:after="100" w:line="276" w:lineRule="auto"/>
      </w:pPr>
      <w:r>
        <w:t xml:space="preserve">This separation means the architecture is decoupled from any specific frontend, any specific AI model, and any specific agent. The citizen app we have built is one possible interface. A third-party agent like ChatGPT could consume the same service descriptions through the same runtime. A caseworker using an assisted digital tool could do the same. The legibility layer does not care who is asking — it publishes the truth about government services, and any authorised agent can consume it.</w:t>
      </w:r>
    </w:p>
    <w:p>
      <w:pPr>
        <w:spacing w:after="100" w:line="276" w:lineRule="auto"/>
      </w:pPr>
      <w:r>
        <w:t xml:space="preserve">This is building for agency — the citizen's capacity to act — not just for agents as a technology category.</w:t>
      </w:r>
    </w:p>
    <w:p>
      <w:pPr>
        <w:pStyle w:val="Heading2"/>
        <w:spacing w:after="80" w:before="150" w:line="360"/>
      </w:pPr>
      <w:r>
        <w:t xml:space="preserve">3.2 Two products, one platform</w:t>
      </w:r>
    </w:p>
    <w:p>
      <w:pPr>
        <w:spacing w:after="100" w:line="276" w:lineRule="auto"/>
      </w:pPr>
      <w:r>
        <w:t xml:space="preserve">For agents to work on behalf of citizens, two things must be true. The citizen needs a trustworthy agent. And government services need to be understandable by that agent.</w:t>
      </w:r>
    </w:p>
    <w:p>
      <w:pPr>
        <w:spacing w:after="100" w:line="276" w:lineRule="auto"/>
      </w:pPr>
      <w:r>
        <w:t xml:space="preserve">These are addressed by two products built on a shared platform.</w:t>
      </w:r>
    </w:p>
    <w:p>
      <w:pPr>
        <w:spacing w:after="100" w:line="276" w:lineRule="auto"/>
      </w:pPr>
      <w:r>
        <w:t xml:space="preserve">The Citizen App is for citizens and the people who help them. Citizens describe what is happening in their lives in their own words. The agent identifies every relevant service across every department. Citizens review a plan, give consent for each service individually, delegate to the agent or act themselves, and receive a receipt for everything.</w:t>
      </w:r>
    </w:p>
    <w:p>
      <w:pPr>
        <w:spacing w:after="100" w:line="276" w:lineRule="auto"/>
      </w:pPr>
      <w:r>
        <w:t xml:space="preserve">The Legibility Studio is for departments and service teams. Departments describe their services in structured descriptions that any agent can read. They see which of their services are agent-ready and which have gaps. They audit every agent interaction with their services. They replay any citizen journey step by step for complaints or oversight. They track case volumes and completion rates across their service portfolio.</w:t>
      </w:r>
    </w:p>
    <w:p>
      <w:pPr>
        <w:spacing w:after="100" w:line="276" w:lineRule="auto"/>
      </w:pPr>
      <w:r>
        <w:t xml:space="preserve">The citizen side consumes what the department side publishes. Neither works without the other.</w:t>
      </w:r>
    </w:p>
    <w:p>
      <w:pPr>
        <w:pStyle w:val="Heading2"/>
        <w:spacing w:after="80" w:before="150" w:line="360"/>
      </w:pPr>
      <w:r>
        <w:t xml:space="preserve">3.3 How services become legible</w:t>
      </w:r>
    </w:p>
    <w:p>
      <w:pPr>
        <w:spacing w:after="100" w:line="276" w:lineRule="auto"/>
      </w:pPr>
      <w:r>
        <w:t xml:space="preserve">For a service to work through an agent, the department publishes a structured service description — a machine-readable expression of policy decisions they already make. Every service description has four dimensions.</w:t>
      </w:r>
    </w:p>
    <w:p>
      <w:pPr>
        <w:spacing w:after="100" w:line="276" w:lineRule="auto"/>
      </w:pPr>
      <w:r>
        <w:t xml:space="preserve">Identity describes what the service is: department ownership, service level agreements, fees, processing times, redress routes. An example: this service exists, it costs fourteen pounds, takes ten working days, and complaints go to the Parliamentary Ombudsman.</w:t>
      </w:r>
    </w:p>
    <w:p>
      <w:pPr>
        <w:spacing w:after="100" w:line="276" w:lineRule="auto"/>
      </w:pPr>
      <w:r>
        <w:t xml:space="preserve">Eligibility describes who qualifies: evaluable conditions published by the department as deterministic rules. An example: check these three rules; if rule two fails, suggest alternative Y.</w:t>
      </w:r>
    </w:p>
    <w:p>
      <w:pPr>
        <w:spacing w:after="100" w:line="276" w:lineRule="auto"/>
      </w:pPr>
      <w:r>
        <w:t xml:space="preserve">Journey describes the valid sequence of steps: what must happen before what, enforced by a state machine. An example: verify identity before checking eligibility, and do not submit before consent.</w:t>
      </w:r>
    </w:p>
    <w:p>
      <w:pPr>
        <w:spacing w:after="100" w:line="276" w:lineRule="auto"/>
      </w:pPr>
      <w:r>
        <w:t xml:space="preserve">Data sharing describes what data is shared, from where, with whom, and for what purpose: each sharing event scoped and consented to individually. An example: ask permission to share these fields, from this source, for this purpose.</w:t>
      </w:r>
    </w:p>
    <w:p>
      <w:pPr>
        <w:spacing w:after="100" w:line="276" w:lineRule="auto"/>
      </w:pPr>
      <w:r>
        <w:t xml:space="preserve">Together, these four dimensions form the complete contract between a department and any agent acting for a citizen. They are structured records in a service registry, versioned, governed, and published automatically to every channel.</w:t>
      </w:r>
    </w:p>
    <w:p>
      <w:pPr>
        <w:pStyle w:val="Heading2"/>
        <w:spacing w:after="80" w:before="150" w:line="360"/>
      </w:pPr>
      <w:r>
        <w:t xml:space="preserve">3.4 The deterministic boundary</w:t>
      </w:r>
    </w:p>
    <w:p>
      <w:pPr>
        <w:spacing w:after="100" w:line="276" w:lineRule="auto"/>
      </w:pPr>
      <w:r>
        <w:t xml:space="preserve">The most common concern about AI in government is: what if it gets things wrong? The answer is an architecture where the AI is never the one making decisions.</w:t>
      </w:r>
    </w:p>
    <w:p>
      <w:pPr>
        <w:spacing w:after="100" w:line="276" w:lineRule="auto"/>
      </w:pPr>
      <w:r>
        <w:t xml:space="preserve">The AI handles language. Code handles rules.</w:t>
      </w:r>
    </w:p>
    <w:p>
      <w:pPr>
        <w:spacing w:after="100" w:line="276" w:lineRule="auto"/>
      </w:pPr>
      <w:r>
        <w:t xml:space="preserve">The AI interprets natural language — understanding that "my mum just died" means a bereavement life event. It explains eligibility results in plain English. It adjusts tone for sensitive situations. It asks follow-up questions when the situation is ambiguous.</w:t>
      </w:r>
    </w:p>
    <w:p>
      <w:pPr>
        <w:spacing w:after="100" w:line="276" w:lineRule="auto"/>
      </w:pPr>
      <w:r>
        <w:t xml:space="preserve">Code evaluates eligibility from department-published rules. It enforces the valid sequence of steps through a state machine. It blocks data sharing without explicit consent. It submits data through audited gateways. It records every action in an immutable evidence store.</w:t>
      </w:r>
    </w:p>
    <w:p>
      <w:pPr>
        <w:spacing w:after="100" w:line="276" w:lineRule="auto"/>
      </w:pPr>
      <w:r>
        <w:t xml:space="preserve">If the AI suggests something that contradicts the service description, the runtime blocks it. The AI is a communicator, not a decision-maker.</w:t>
      </w:r>
    </w:p>
    <w:p>
      <w:pPr>
        <w:spacing w:after="100" w:line="276" w:lineRule="auto"/>
      </w:pPr>
      <w:r>
        <w:t xml:space="preserve">Three principles govern this boundary.</w:t>
      </w:r>
    </w:p>
    <w:p>
      <w:pPr>
        <w:spacing w:after="100" w:line="276" w:lineRule="auto"/>
      </w:pPr>
      <w:r>
        <w:t xml:space="preserve">Principle one: eligibility is code, not AI. Policy rules are evaluated deterministically. The AI cannot override, reinterpret, or relax an eligibility condition.</w:t>
      </w:r>
    </w:p>
    <w:p>
      <w:pPr>
        <w:spacing w:after="100" w:line="276" w:lineRule="auto"/>
      </w:pPr>
      <w:r>
        <w:t xml:space="preserve">Principle two: consent cannot be bypassed. The consent gate sits outside the AI entirely. No prompt, no edge case, no system error can cause data to be shared without citizen approval.</w:t>
      </w:r>
    </w:p>
    <w:p>
      <w:pPr>
        <w:spacing w:after="100" w:line="276" w:lineRule="auto"/>
      </w:pPr>
      <w:r>
        <w:t xml:space="preserve">Principle three: every action is traced. The evidence plane records independently of the AI. Receipts are issued to citizens. Full replay is available for audit, complaints, or parliamentary questions.</w:t>
      </w:r>
    </w:p>
    <w:p>
      <w:pPr>
        <w:pStyle w:val="Heading2"/>
        <w:spacing w:after="80" w:before="150" w:line="360"/>
      </w:pPr>
      <w:r>
        <w:t xml:space="preserve">3.5 The runtime pipeline</w:t>
      </w:r>
    </w:p>
    <w:p>
      <w:pPr>
        <w:spacing w:after="100" w:line="276" w:lineRule="auto"/>
      </w:pPr>
      <w:r>
        <w:t xml:space="preserve">Every citizen interaction passes through a fourteen-step pipeline that enforces the deterministic boundary. The pipeline runs deterministic code before and after the language model — the platform always has the final word.</w:t>
      </w:r>
    </w:p>
    <w:p>
      <w:pPr>
        <w:spacing w:after="100" w:line="276" w:lineRule="auto"/>
      </w:pPr>
      <w:r>
        <w:t xml:space="preserve">The sequence is: receive the citizen's message, load the active service descriptions, evaluate the current state against the state machine, check what data has been collected and what is still needed, run the policy evaluator against known citizen data, check for outstanding consent requirements, inject all of this context into the language model prompt, receive the language model's response, parse any structured signals from the response (service completions, decision gates, consent requests), validate those signals against the service descriptions, execute any valid actions through the capability invoker, record everything in the evidence plane, issue receipts where applicable, and return the response to the citizen.</w:t>
      </w:r>
    </w:p>
    <w:p>
      <w:pPr>
        <w:spacing w:after="100" w:line="276" w:lineRule="auto"/>
      </w:pPr>
      <w:r>
        <w:t xml:space="preserve">The language model sits in the middle of this pipeline. It has access to language, context, and conversation. It does not have access to policy evaluation, consent gates, state transitions, or data submission. Those are handled by code that runs before and after it.</w:t>
      </w:r>
    </w:p>
    <w:p>
      <w:pPr>
        <w:pStyle w:val="Heading2"/>
        <w:spacing w:after="80" w:before="150" w:line="360"/>
      </w:pPr>
      <w:r>
        <w:t xml:space="preserve">3.6 The evidence plane</w:t>
      </w:r>
    </w:p>
    <w:p>
      <w:pPr>
        <w:spacing w:after="100" w:line="276" w:lineRule="auto"/>
      </w:pPr>
      <w:r>
        <w:t xml:space="preserve">Every action taken by the system is recorded in an append-only evidence store. This is not a log file. It is a structured, queryable, immutable record of every decision, every data sharing event, every consent grant, every state transition, and every outcome.</w:t>
      </w:r>
    </w:p>
    <w:p>
      <w:pPr>
        <w:spacing w:after="100" w:line="276" w:lineRule="auto"/>
      </w:pPr>
      <w:r>
        <w:t xml:space="preserve">Each trace event includes: what happened, when it happened, which service it related to, which citizen it concerned, what policy rule was evaluated, what the result was, whether consent was granted, and what data was shared with whom.</w:t>
      </w:r>
    </w:p>
    <w:p>
      <w:pPr>
        <w:spacing w:after="100" w:line="276" w:lineRule="auto"/>
      </w:pPr>
      <w:r>
        <w:t xml:space="preserve">The evidence plane serves three purposes. For citizens, it provides receipts — permanent records of what was done on their behalf, by whom, and why. For departments, it provides audit — the ability to replay any citizen journey step by step, with full context, for complaints or oversight. For government, it provides accountability — a complete record that can answer parliamentary questions, support judicial review, and demonstrate that the system operated within its published rules.</w:t>
      </w:r>
    </w:p>
    <w:p>
      <w:pPr>
        <w:pStyle w:val="Heading2"/>
        <w:spacing w:after="80" w:before="150" w:line="360"/>
      </w:pPr>
      <w:r>
        <w:t xml:space="preserve">3.7 The consent architecture</w:t>
      </w:r>
    </w:p>
    <w:p>
      <w:pPr>
        <w:spacing w:after="100" w:line="276" w:lineRule="auto"/>
      </w:pPr>
      <w:r>
        <w:t xml:space="preserve">Consent in the Agentic Legibility Stack is not a checkbox at the bottom of a terms and conditions page. It is a discrete, inspectable moment in every interaction.</w:t>
      </w:r>
    </w:p>
    <w:p>
      <w:pPr>
        <w:spacing w:after="100" w:line="276" w:lineRule="auto"/>
      </w:pPr>
      <w:r>
        <w:t xml:space="preserve">Each consent request is scoped to specific data fields, a specific source, a specific recipient department, and a specific purpose. The citizen sees exactly what will be shared, with whom, and why, before anything happens.</w:t>
      </w:r>
    </w:p>
    <w:p>
      <w:pPr>
        <w:spacing w:after="100" w:line="276" w:lineRule="auto"/>
      </w:pPr>
      <w:r>
        <w:t xml:space="preserve">Consent follows a three-step flow. First, the citizen reviews and agrees or declines each data sharing request individually, per department. Second, the citizen can set preferences — standing decisions about how they want their data handled. Third, the citizen chooses the scope of those preferences: just this once, always for this life event, or always with all departments.</w:t>
      </w:r>
    </w:p>
    <w:p>
      <w:pPr>
        <w:spacing w:after="100" w:line="276" w:lineRule="auto"/>
      </w:pPr>
      <w:r>
        <w:t xml:space="preserve">Standing consent preferences are stored and resolved automatically in subsequent interactions. If a citizen has previously said "always share my National Insurance number with DWP for benefits purposes," the system honours that without asking again — but the citizen can review and revoke any standing preference at any time through their wallet.</w:t>
      </w:r>
    </w:p>
    <w:p>
      <w:pPr>
        <w:pStyle w:val="Heading2"/>
        <w:spacing w:after="80" w:before="150" w:line="360"/>
      </w:pPr>
      <w:r>
        <w:t xml:space="preserve">3.8 The data model</w:t>
      </w:r>
    </w:p>
    <w:p>
      <w:pPr>
        <w:spacing w:after="100" w:line="276" w:lineRule="auto"/>
      </w:pPr>
      <w:r>
        <w:t xml:space="preserve">Citizen data exists in three tiers, each with different trust levels and different handling rules.</w:t>
      </w:r>
    </w:p>
    <w:p>
      <w:pPr>
        <w:spacing w:after="100" w:line="276" w:lineRule="auto"/>
      </w:pPr>
      <w:r>
        <w:t xml:space="preserve">Verified data comes from authoritative sources — a driving licence from DVLA, a National Insurance number from HMRC, an immigration status from the Home Office. This data is treated as ground truth. It is stored in the citizen's digital wallet as verifiable credentials.</w:t>
      </w:r>
    </w:p>
    <w:p>
      <w:pPr>
        <w:spacing w:after="100" w:line="276" w:lineRule="auto"/>
      </w:pPr>
      <w:r>
        <w:t xml:space="preserve">Submitted data comes from the citizen directly — their current address, their employment status, their household composition. This data is treated as declared but unverified. It can be used for initial screening but may require verification for formal applications.</w:t>
      </w:r>
    </w:p>
    <w:p>
      <w:pPr>
        <w:spacing w:after="100" w:line="276" w:lineRule="auto"/>
      </w:pPr>
      <w:r>
        <w:t xml:space="preserve">Inferred data is derived by the system from context — if a citizen mentions a spouse, the system infers they may be married. Inferred data is never treated as fact. It is used to ask better questions, not to make decisions.</w:t>
      </w:r>
    </w:p>
    <w:p>
      <w:pPr>
        <w:spacing w:after="100" w:line="276" w:lineRule="auto"/>
      </w:pPr>
      <w:r>
        <w:t xml:space="preserve">Every data field carries provenance: where it came from, when it was last verified, and what trust level it holds. This provenance flows through every interaction, so departments receiving data know exactly what they are getting.</w:t>
      </w:r>
    </w:p>
    <w:p>
      <w:pPr>
        <w:pStyle w:val="Heading2"/>
        <w:spacing w:after="80" w:before="150" w:line="360"/>
      </w:pPr>
      <w:r>
        <w:t xml:space="preserve">3.9 Field deduplication</w:t>
      </w:r>
    </w:p>
    <w:p>
      <w:pPr>
        <w:spacing w:after="100" w:line="276" w:lineRule="auto"/>
      </w:pPr>
      <w:r>
        <w:t xml:space="preserve">When a life event triggers multiple services across multiple departments, those services typically ask for overlapping data. A bereavement journey involving six services across four departments generates eighty-seven raw data fields. Many of these are the same field asked differently — name, date of birth, National Insurance number, address.</w:t>
      </w:r>
    </w:p>
    <w:p>
      <w:pPr>
        <w:spacing w:after="100" w:line="276" w:lineRule="auto"/>
      </w:pPr>
      <w:r>
        <w:t xml:space="preserve">The field deduplication system maps all eighty-seven fields to a canonical set of twenty. Of those twenty, thirteen are already available from the citizen's verified credentials. The citizen provides seven new data points. The agent fans those out to all six services.</w:t>
      </w:r>
    </w:p>
    <w:p>
      <w:pPr>
        <w:spacing w:after="100" w:line="276" w:lineRule="auto"/>
      </w:pPr>
      <w:r>
        <w:t xml:space="preserve">The citizen answers seven questions instead of eighty-seven. The data is consistent across all services. And every sharing event is individually consented to.</w:t>
      </w:r>
    </w:p>
    <w:r>
      <w:br w:type="page"/>
    </w:r>
    <w:p>
      <w:pPr>
        <w:pStyle w:val="Heading1"/>
        <w:spacing w:after="100" w:before="200" w:line="360"/>
      </w:pPr>
      <w:r>
        <w:t xml:space="preserve">4. THE CITIZEN EXPERIENCE</w:t>
      </w:r>
    </w:p>
    <w:p>
      <w:pPr>
        <w:pStyle w:val="Heading2"/>
        <w:spacing w:after="80" w:before="150" w:line="360"/>
      </w:pPr>
      <w:r>
        <w:t xml:space="preserve">4.1 Two ways in</w:t>
      </w:r>
    </w:p>
    <w:p>
      <w:pPr>
        <w:spacing w:after="100" w:line="276" w:lineRule="auto"/>
      </w:pPr>
      <w:r>
        <w:t xml:space="preserve">Citizens can reach government services through two entry points, both of which converge on the same consent, fulfilment, and wallet flow.</w:t>
      </w:r>
    </w:p>
    <w:p>
      <w:pPr>
        <w:spacing w:after="100" w:line="276" w:lineRule="auto"/>
      </w:pPr>
      <w:r>
        <w:t xml:space="preserve">The first is conversational triage. The citizen opens a conversation with the agent and describes their situation in natural language. The agent identifies the relevant life event, matches it to services across the service graph, and presents a plan. The citizen reviews, consents, delegates, and receives receipts.</w:t>
      </w:r>
    </w:p>
    <w:p>
      <w:pPr>
        <w:spacing w:after="100" w:line="276" w:lineRule="auto"/>
      </w:pPr>
      <w:r>
        <w:t xml:space="preserve">The second is plan-based browsing. The citizen browses life events — having a baby, death of someone close, starting a business — and selects one. The system presents a structured plan with all relevant services in priority order, with dependencies explicit. The citizen selects services, consents, and proceeds.</w:t>
      </w:r>
    </w:p>
    <w:p>
      <w:pPr>
        <w:spacing w:after="100" w:line="276" w:lineRule="auto"/>
      </w:pPr>
      <w:r>
        <w:t xml:space="preserve">Both paths produce the same outcome: informed consent, audited submission, and receipted results.</w:t>
      </w:r>
    </w:p>
    <w:p>
      <w:pPr>
        <w:pStyle w:val="Heading2"/>
        <w:spacing w:after="80" w:before="150" w:line="360"/>
      </w:pPr>
      <w:r>
        <w:t xml:space="preserve">4.2 The agent trust spectrum</w:t>
      </w:r>
    </w:p>
    <w:p>
      <w:pPr>
        <w:spacing w:after="100" w:line="276" w:lineRule="auto"/>
      </w:pPr>
      <w:r>
        <w:t xml:space="preserve">The citizen app offers three modes of interaction, reflecting different levels of trust and autonomy.</w:t>
      </w:r>
    </w:p>
    <w:p>
      <w:pPr>
        <w:spacing w:after="100" w:line="276" w:lineRule="auto"/>
      </w:pPr>
      <w:r>
        <w:t xml:space="preserve">Dot is cautious and careful. It checks with the citizen before every step. It explains why information is needed. The citizen approves every action. Nothing happens without explicit say-so.</w:t>
      </w:r>
    </w:p>
    <w:p>
      <w:pPr>
        <w:spacing w:after="100" w:line="276" w:lineRule="auto"/>
      </w:pPr>
      <w:r>
        <w:t xml:space="preserve">Max is proactive and fast. It acts on the citizen's behalf automatically. It auto-fills forms from verified records. It handles tasks in the background. The citizen reviews what Max has done rather than approving each step in advance.</w:t>
      </w:r>
    </w:p>
    <w:p>
      <w:pPr>
        <w:spacing w:after="100" w:line="276" w:lineRule="auto"/>
      </w:pPr>
      <w:r>
        <w:t xml:space="preserve">No Agent is manual mode. The citizen browses services and visits GOV.UK directly. No AI, no chat, no automation. Direct links to government services. The citizen does everything themselves.</w:t>
      </w:r>
    </w:p>
    <w:p>
      <w:pPr>
        <w:spacing w:after="100" w:line="276" w:lineRule="auto"/>
      </w:pPr>
      <w:r>
        <w:t xml:space="preserve">This spectrum exists because trust is not binary. Some citizens will want full control. Others will want delegation. The architecture supports both — and allows citizens to change their preference at any time, service by service.</w:t>
      </w:r>
    </w:p>
    <w:p>
      <w:pPr>
        <w:pStyle w:val="Heading2"/>
        <w:spacing w:after="80" w:before="150" w:line="360"/>
      </w:pPr>
      <w:r>
        <w:t xml:space="preserve">4.3 The wallet</w:t>
      </w:r>
    </w:p>
    <w:p>
      <w:pPr>
        <w:spacing w:after="100" w:line="276" w:lineRule="auto"/>
      </w:pPr>
      <w:r>
        <w:t xml:space="preserve">Every citizen has a digital wallet containing their verified credentials, their data permissions, and credentials earned from service completions.</w:t>
      </w:r>
    </w:p>
    <w:p>
      <w:pPr>
        <w:spacing w:after="100" w:line="276" w:lineRule="auto"/>
      </w:pPr>
      <w:r>
        <w:t xml:space="preserve">When a service is completed, its outputs become wallet items. A registered death produces a death certificate credential. A successful benefits application produces a payment credential. These earned credentials can be used as inputs to subsequent services — the data cascade means earlier service outputs become later service inputs, and the citizen never re-enters information the system already holds.</w:t>
      </w:r>
    </w:p>
    <w:p>
      <w:pPr>
        <w:spacing w:after="100" w:line="276" w:lineRule="auto"/>
      </w:pPr>
      <w:r>
        <w:t xml:space="preserve">The wallet also contains all standing consent preferences, viewable and revocable at any time.</w:t>
      </w:r>
    </w:p>
    <w:p>
      <w:pPr>
        <w:pStyle w:val="Heading2"/>
        <w:spacing w:after="80" w:before="150" w:line="360"/>
      </w:pPr>
      <w:r>
        <w:t xml:space="preserve">4.4 Sixteen life events</w:t>
      </w:r>
    </w:p>
    <w:p>
      <w:pPr>
        <w:spacing w:after="100" w:line="276" w:lineRule="auto"/>
      </w:pPr>
      <w:r>
        <w:t xml:space="preserve">The system maps sixteen life events to the government service graph. Each life event is an entry point that triggers a set of services across departments.</w:t>
      </w:r>
    </w:p>
    <w:p>
      <w:pPr>
        <w:spacing w:after="100" w:line="276" w:lineRule="auto"/>
      </w:pPr>
      <w:r>
        <w:t xml:space="preserve">Having a Baby triggers seven services. Death of Someone Close triggers five. Getting Married triggers two. Retiring triggers five. Starting a Business triggers six. Buying a Home triggers three. Moving House triggers five. Losing Your Job triggers three. Disability or Health Condition triggers five. Becoming a Carer triggers four. Separating or Divorcing triggers four. Child Starting School triggers three. Arriving in the UK triggers one. Learning to Drive triggers one. Going to University triggers one. Starting a New Job triggers two.</w:t>
      </w:r>
    </w:p>
    <w:r>
      <w:br w:type="page"/>
    </w:r>
    <w:p>
      <w:pPr>
        <w:pStyle w:val="Heading1"/>
        <w:spacing w:after="100" w:before="200" w:line="360"/>
      </w:pPr>
      <w:r>
        <w:t xml:space="preserve">5. THE DEPARTMENT EXPERIENCE</w:t>
      </w:r>
    </w:p>
    <w:p>
      <w:pPr>
        <w:pStyle w:val="Heading2"/>
        <w:spacing w:after="80" w:before="150" w:line="360"/>
      </w:pPr>
      <w:r>
        <w:t xml:space="preserve">5.1 The Legibility Studio</w:t>
      </w:r>
    </w:p>
    <w:p>
      <w:pPr>
        <w:spacing w:after="100" w:line="276" w:lineRule="auto"/>
      </w:pPr>
      <w:r>
        <w:t xml:space="preserve">The Legibility Studio is where departments make their services ready for agents. It is an authoring, auditing, and measurement platform.</w:t>
      </w:r>
    </w:p>
    <w:p>
      <w:pPr>
        <w:spacing w:after="100" w:line="276" w:lineRule="auto"/>
      </w:pPr>
      <w:r>
        <w:t xml:space="preserve">Author: departments describe their services using the four-dimension model. The editor guides service teams through identity, eligibility, journey, and data sharing. LLM-assisted generation helps teams start from existing GOV.UK content. In a worked example, DVLA's "renew driving licence" went from a catalogue entry to fully agent-ready in approximately two hours.</w:t>
      </w:r>
    </w:p>
    <w:p>
      <w:pPr>
        <w:spacing w:after="100" w:line="276" w:lineRule="auto"/>
      </w:pPr>
      <w:r>
        <w:t xml:space="preserve">Audit: every agent interaction with department services is recorded. The evidence explorer lets teams replay any citizen journey step by step — what data was shared, which policy rules were evaluated, what consent was given, what the outcome was.</w:t>
      </w:r>
    </w:p>
    <w:p>
      <w:pPr>
        <w:spacing w:after="100" w:line="276" w:lineRule="auto"/>
      </w:pPr>
      <w:r>
        <w:t xml:space="preserve">Measure: coverage dashboards show which services are agent-ready and which have gaps. Currently, one hundred and thirteen of one thousand six hundred and fifty-three services have full structured descriptions — seven percent coverage. Ninety-three percent of government services are not yet described for agents. That is the scale of the opportunity.</w:t>
      </w:r>
    </w:p>
    <w:p>
      <w:pPr>
        <w:pStyle w:val="Heading2"/>
        <w:spacing w:after="80" w:before="150" w:line="360"/>
      </w:pPr>
      <w:r>
        <w:t xml:space="preserve">5.2 What departments gain</w:t>
      </w:r>
    </w:p>
    <w:p>
      <w:pPr>
        <w:spacing w:after="100" w:line="276" w:lineRule="auto"/>
      </w:pPr>
      <w:r>
        <w:t xml:space="preserve">The shift to structured service descriptions changes what departments do day to day.</w:t>
      </w:r>
    </w:p>
    <w:p>
      <w:pPr>
        <w:spacing w:after="100" w:line="276" w:lineRule="auto"/>
      </w:pPr>
      <w:r>
        <w:t xml:space="preserve">Departments stop designing bespoke web forms and digital services for each channel. They publish policy as structured data once, and every channel consumes it. They focus on policy interventions, outcomes, supporting users, and learning from real-time data. They see how their services are actually being used — in real time, with full context, across every channel.</w:t>
      </w:r>
    </w:p>
    <w:p>
      <w:pPr>
        <w:spacing w:after="100" w:line="276" w:lineRule="auto"/>
      </w:pPr>
      <w:r>
        <w:t xml:space="preserve">The agentic state means departments are dedicated to policy and outcomes. Less about designing web forms.</w:t>
      </w:r>
    </w:p>
    <w:p>
      <w:pPr>
        <w:pStyle w:val="Heading2"/>
        <w:spacing w:after="80" w:before="150" w:line="360"/>
      </w:pPr>
      <w:r>
        <w:t xml:space="preserve">5.3 Publish once, serve everywhere</w:t>
      </w:r>
    </w:p>
    <w:p>
      <w:pPr>
        <w:spacing w:after="100" w:line="276" w:lineRule="auto"/>
      </w:pPr>
      <w:r>
        <w:t xml:space="preserve">One thousand five hundred and forty-four government services, each described for five or more channels, means over seven thousand seven hundred parallel descriptions maintained separately. A change to eligibility rules for one service requires updating every channel independently.</w:t>
      </w:r>
    </w:p>
    <w:p>
      <w:pPr>
        <w:spacing w:after="100" w:line="276" w:lineRule="auto"/>
      </w:pPr>
      <w:r>
        <w:t xml:space="preserve">In the agentic model, the structured service description is the single source of truth. Author it once in the Legibility Studio. The citizen app, the GOV.UK website, the phone channel, the assisted digital channel, and any third-party agent all consume the same source. One change propagates everywhere immediately.</w:t>
      </w:r>
    </w:p>
    <w:p>
      <w:pPr>
        <w:spacing w:after="100" w:line="276" w:lineRule="auto"/>
      </w:pPr>
      <w:r>
        <w:t xml:space="preserve">This is not a technical convenience. It is the precondition for joined-up government. When services are data, joining them up is computation.</w:t>
      </w:r>
    </w:p>
    <w:p>
      <w:pPr>
        <w:spacing w:after="100" w:line="276" w:lineRule="auto"/>
      </w:pPr>
      <w:r>
        <w:t xml:space="preserve">International precedent confirms this approach works. Estonia's X-Road, Singapore's SGTS, and Ukraine's Diia.AI have all demonstrated publish-once architectures at national scale.</w:t>
      </w:r>
    </w:p>
    <w:p>
      <w:pPr>
        <w:pStyle w:val="Heading2"/>
        <w:spacing w:after="80" w:before="150" w:line="360"/>
      </w:pPr>
      <w:r>
        <w:t xml:space="preserve">5.4 Eight service typologies</w:t>
      </w:r>
    </w:p>
    <w:p>
      <w:pPr>
        <w:spacing w:after="100" w:line="276" w:lineRule="auto"/>
      </w:pPr>
      <w:r>
        <w:t xml:space="preserve">Government services fall into eight categories, each with different characteristics for agent interaction: benefit, entitlement, obligation, registration, application, document, legal process, and grant. The Legibility Studio supports all eight, with type-specific guidance for each.</w:t>
      </w:r>
    </w:p>
    <w:r>
      <w:br w:type="page"/>
    </w:r>
    <w:p>
      <w:pPr>
        <w:pStyle w:val="Heading1"/>
        <w:spacing w:after="100" w:before="200" w:line="360"/>
      </w:pPr>
      <w:r>
        <w:t xml:space="preserve">6. SIX DEPARTMENTS, SIX JOURNEYS</w:t>
      </w:r>
    </w:p>
    <w:p>
      <w:pPr>
        <w:pStyle w:val="Heading2"/>
        <w:spacing w:after="80" w:before="150" w:line="360"/>
      </w:pPr>
      <w:r>
        <w:t xml:space="preserve">6.1 Sarah Okafor — Bereavement (DWP, GRO, HMRC, MoJ)</w:t>
      </w:r>
    </w:p>
    <w:p>
      <w:pPr>
        <w:spacing w:after="100" w:line="276" w:lineRule="auto"/>
      </w:pPr>
      <w:r>
        <w:t xml:space="preserve">Sarah is fifty-eight and lives in Chelmsford. Her husband David died three weeks ago. She does not know what to do.</w:t>
      </w:r>
    </w:p>
    <w:p>
      <w:pPr>
        <w:spacing w:after="100" w:line="276" w:lineRule="auto"/>
      </w:pPr>
      <w:r>
        <w:t xml:space="preserve">The agent identifies a bereavement life event triggering six services across four departments: register the death with GRO, Tell Us Once to notify all departments, Bereavement Support Payment from DWP, update tax records with HMRC, council tax single person discount, and begin probate through MoJ.</w:t>
      </w:r>
    </w:p>
    <w:p>
      <w:pPr>
        <w:spacing w:after="100" w:line="276" w:lineRule="auto"/>
      </w:pPr>
      <w:r>
        <w:t xml:space="preserve">The field deduplication system maps eighty-seven raw data fields across those six services to twenty canonical fields. Thirteen are already in Sarah's wallet. She provides seven new data points.</w:t>
      </w:r>
    </w:p>
    <w:p>
      <w:pPr>
        <w:spacing w:after="100" w:line="276" w:lineRule="auto"/>
      </w:pPr>
      <w:r>
        <w:t xml:space="preserve">Sarah's journey demonstrates cross-department orchestration at scale — a single conversation spanning four departments, with dependency sequencing, granular consent, and full receipting.</w:t>
      </w:r>
    </w:p>
    <w:p>
      <w:pPr>
        <w:pStyle w:val="Heading2"/>
        <w:spacing w:after="80" w:before="150" w:line="360"/>
      </w:pPr>
      <w:r>
        <w:t xml:space="preserve">6.2 Amina Hassan — Starting over in the UK (Home Office, DWP, HMRC)</w:t>
      </w:r>
    </w:p>
    <w:p>
      <w:pPr>
        <w:spacing w:after="100" w:line="276" w:lineRule="auto"/>
      </w:pPr>
      <w:r>
        <w:t xml:space="preserve">Amina is thirty-four and lives in Bradford. She has right to remain and needs to build a life in the UK.</w:t>
      </w:r>
    </w:p>
    <w:p>
      <w:pPr>
        <w:spacing w:after="100" w:line="276" w:lineRule="auto"/>
      </w:pPr>
      <w:r>
        <w:t xml:space="preserve">The agent identifies a dependency chain: National Insurance number must come before Universal Credit, which must come before a bank account, which enables everything else. The eVisa is the foundational credential.</w:t>
      </w:r>
    </w:p>
    <w:p>
      <w:pPr>
        <w:spacing w:after="100" w:line="276" w:lineRule="auto"/>
      </w:pPr>
      <w:r>
        <w:t xml:space="preserve">Amina's journey demonstrates dependency sequencing across departments — where one service's output is another service's prerequisite, and the agent manages the chain automatically.</w:t>
      </w:r>
    </w:p>
    <w:p>
      <w:pPr>
        <w:pStyle w:val="Heading2"/>
        <w:spacing w:after="80" w:before="150" w:line="360"/>
      </w:pPr>
      <w:r>
        <w:t xml:space="preserve">6.3 Marcus Taylor — Prison leaver (MoJ, DWP, DVLA)</w:t>
      </w:r>
    </w:p>
    <w:p>
      <w:pPr>
        <w:spacing w:after="100" w:line="276" w:lineRule="auto"/>
      </w:pPr>
      <w:r>
        <w:t xml:space="preserve">Marcus is twenty-nine and was just released from prison in Leeds. He needs Universal Credit, a bank account, his driving licence renewed, and to comply with probation conditions — all within a six-week window.</w:t>
      </w:r>
    </w:p>
    <w:p>
      <w:pPr>
        <w:spacing w:after="100" w:line="276" w:lineRule="auto"/>
      </w:pPr>
      <w:r>
        <w:t xml:space="preserve">Marcus's journey demonstrates time-critical orchestration — multiple deadlines converging, with the agent managing urgency and prioritisation.</w:t>
      </w:r>
    </w:p>
    <w:p>
      <w:pPr>
        <w:pStyle w:val="Heading2"/>
        <w:spacing w:after="80" w:before="150" w:line="360"/>
      </w:pPr>
      <w:r>
        <w:t xml:space="preserve">6.4 Priya Anand — New mum (DfE, HMRC, DWP)</w:t>
      </w:r>
    </w:p>
    <w:p>
      <w:pPr>
        <w:spacing w:after="100" w:line="276" w:lineRule="auto"/>
      </w:pPr>
      <w:r>
        <w:t xml:space="preserve">Priya is thirty-one and lives in Slough. She has a new baby and is eligible for approximately five thousand pounds per year in childcare support she does not know about — Tax-Free Childcare, thirty hours free childcare, and Child Benefit.</w:t>
      </w:r>
    </w:p>
    <w:p>
      <w:pPr>
        <w:spacing w:after="100" w:line="276" w:lineRule="auto"/>
      </w:pPr>
      <w:r>
        <w:t xml:space="preserve">Priya's journey demonstrates proactive eligibility surfacing — the agent discovers entitlements the citizen did not know existed and would never have found through GOV.UK search.</w:t>
      </w:r>
    </w:p>
    <w:p>
      <w:pPr>
        <w:pStyle w:val="Heading2"/>
        <w:spacing w:after="80" w:before="150" w:line="360"/>
      </w:pPr>
      <w:r>
        <w:t xml:space="preserve">6.5 James Whitfield — Disabled appellant (DWP, DfE, DVLA)</w:t>
      </w:r>
    </w:p>
    <w:p>
      <w:pPr>
        <w:spacing w:after="100" w:line="276" w:lineRule="auto"/>
      </w:pPr>
      <w:r>
        <w:t xml:space="preserve">James is forty-two and lives in Rotherham. His PIP application was rejected. His son Owen's EHCP is stuck. His Motability vehicle is at risk.</w:t>
      </w:r>
    </w:p>
    <w:p>
      <w:pPr>
        <w:spacing w:after="100" w:line="276" w:lineRule="auto"/>
      </w:pPr>
      <w:r>
        <w:t xml:space="preserve">James's journey demonstrates contested interactions — not just service requests, but disputes. The agent helps with mandatory reconsideration, tribunal preparation, and EHCP escalation. This is government at its most adversarial, and the agent must be transparent about whose side it is on.</w:t>
      </w:r>
    </w:p>
    <w:p>
      <w:pPr>
        <w:pStyle w:val="Heading2"/>
        <w:spacing w:after="80" w:before="150" w:line="360"/>
      </w:pPr>
      <w:r>
        <w:t xml:space="preserve">6.6 Daniel Obi — Self-employed (HMRC, MoJ)</w:t>
      </w:r>
    </w:p>
    <w:p>
      <w:pPr>
        <w:spacing w:after="100" w:line="276" w:lineRule="auto"/>
      </w:pPr>
      <w:r>
        <w:t xml:space="preserve">Daniel is thirty-seven and lives in Birmingham. He is confused about Making Tax Digital, has a stuck tax refund, and a client owes him four thousand two hundred pounds.</w:t>
      </w:r>
    </w:p>
    <w:p>
      <w:pPr>
        <w:spacing w:after="100" w:line="276" w:lineRule="auto"/>
      </w:pPr>
      <w:r>
        <w:t xml:space="preserve">Daniel's journey demonstrates commercial interactions with government — not benefits, not entitlements, but tax compliance, refund chasing, and civil money claims. The agent handles a dispute with a private party through a government process.</w:t>
      </w:r>
    </w:p>
    <w:r>
      <w:br w:type="page"/>
    </w:r>
    <w:p>
      <w:pPr>
        <w:pStyle w:val="Heading1"/>
        <w:spacing w:after="100" w:before="200" w:line="360"/>
      </w:pPr>
      <w:r>
        <w:t xml:space="preserve">7. TRUST AS INFRASTRUCTURE</w:t>
      </w:r>
    </w:p>
    <w:p>
      <w:pPr>
        <w:pStyle w:val="Heading2"/>
        <w:spacing w:after="80" w:before="150" w:line="360"/>
      </w:pPr>
      <w:r>
        <w:t xml:space="preserve">7.1 The trust problem</w:t>
      </w:r>
    </w:p>
    <w:p>
      <w:pPr>
        <w:spacing w:after="100" w:line="276" w:lineRule="auto"/>
      </w:pPr>
      <w:r>
        <w:t xml:space="preserve">The Agentic State paper identifies agent governance as an enablement layer but does not describe how to build trust with citizens. This is not a secondary concern. It is the primary design challenge.</w:t>
      </w:r>
    </w:p>
    <w:p>
      <w:pPr>
        <w:spacing w:after="100" w:line="276" w:lineRule="auto"/>
      </w:pPr>
      <w:r>
        <w:t xml:space="preserve">Citizens will not use an agent they do not trust. Departments will not publish service descriptions for an agent they cannot audit. Ministers will not endorse a system they cannot explain. Trust is not a feature to be added later. It is infrastructure.</w:t>
      </w:r>
    </w:p>
    <w:p>
      <w:pPr>
        <w:pStyle w:val="Heading2"/>
        <w:spacing w:after="80" w:before="150" w:line="360"/>
      </w:pPr>
      <w:r>
        <w:t xml:space="preserve">7.2 The four-surface trust lifecycle</w:t>
      </w:r>
    </w:p>
    <w:p>
      <w:pPr>
        <w:spacing w:after="100" w:line="276" w:lineRule="auto"/>
      </w:pPr>
      <w:r>
        <w:t xml:space="preserve">Trust is not a single moment. It is a relationship that evolves across four surfaces.</w:t>
      </w:r>
    </w:p>
    <w:p>
      <w:pPr>
        <w:spacing w:after="100" w:line="276" w:lineRule="auto"/>
      </w:pPr>
      <w:r>
        <w:t xml:space="preserve">Before action: the agent explains what it will do, what data it will access, and what the citizen can expect. It leads with what it will do for the citizen, not what it is. It maps the path ahead before starting.</w:t>
      </w:r>
    </w:p>
    <w:p>
      <w:pPr>
        <w:spacing w:after="100" w:line="276" w:lineRule="auto"/>
      </w:pPr>
      <w:r>
        <w:t xml:space="preserve">During action: the agent shows enough at the right moment. A one-line status by default, expandable detail on demand, full audit log available always. It signals confidence differently depending on what it knows — hedging when inferring, stating facts directly when drawing from authoritative data.</w:t>
      </w:r>
    </w:p>
    <w:p>
      <w:pPr>
        <w:spacing w:after="100" w:line="276" w:lineRule="auto"/>
      </w:pPr>
      <w:r>
        <w:t xml:space="preserve">After action: every action produces a human-readable record. If the agent submitted a form, it shows what was submitted. If a decision was received, it shows who made it and why. The citizen never has to wonder what just happened.</w:t>
      </w:r>
    </w:p>
    <w:p>
      <w:pPr>
        <w:spacing w:after="100" w:line="276" w:lineRule="auto"/>
      </w:pPr>
      <w:r>
        <w:t xml:space="preserve">On demand: at any point, the citizen can ask what the agent knows about them, what it has done on their behalf, and why. This is not a settings page buried three levels deep. It is a first-class feature. In government contexts, the ability to inspect and challenge agent actions is arguably a legal requirement, not just good design.</w:t>
      </w:r>
    </w:p>
    <w:p>
      <w:pPr>
        <w:pStyle w:val="Heading2"/>
        <w:spacing w:after="80" w:before="150" w:line="360"/>
      </w:pPr>
      <w:r>
        <w:t xml:space="preserve">7.3 Progressive autonomy</w:t>
      </w:r>
    </w:p>
    <w:p>
      <w:pPr>
        <w:spacing w:after="100" w:line="276" w:lineRule="auto"/>
      </w:pPr>
      <w:r>
        <w:t xml:space="preserve">Trust is earned, not assumed. The agent starts with lower autonomy — suggesting and confirming — and offers to increase autonomy over time as the citizen builds confidence.</w:t>
      </w:r>
    </w:p>
    <w:p>
      <w:pPr>
        <w:spacing w:after="100" w:line="276" w:lineRule="auto"/>
      </w:pPr>
      <w:r>
        <w:t xml:space="preserve">A citizen who has successfully used the agent for low-stakes tasks can be offered more delegation for similar tasks in future. Different task types earn different autonomy levels. The citizen might say yes to automatic vehicle tax renewal but no to automatic benefits applications. This is trust calibration, not a binary on-off switch.</w:t>
      </w:r>
    </w:p>
    <w:p>
      <w:pPr>
        <w:pStyle w:val="Heading2"/>
        <w:spacing w:after="80" w:before="150" w:line="360"/>
      </w:pPr>
      <w:r>
        <w:t xml:space="preserve">7.4 Error recovery</w:t>
      </w:r>
    </w:p>
    <w:p>
      <w:pPr>
        <w:spacing w:after="100" w:line="276" w:lineRule="auto"/>
      </w:pPr>
      <w:r>
        <w:t xml:space="preserve">When the agent makes a mistake — and it will, because policy changes and data is sometimes incomplete — the recovery protocol is: acknowledge clearly what went wrong, explain why it happened (causal attribution, not vague apology), show the impact, offer remediation, and learn visibly.</w:t>
      </w:r>
    </w:p>
    <w:p>
      <w:pPr>
        <w:spacing w:after="100" w:line="276" w:lineRule="auto"/>
      </w:pPr>
      <w:r>
        <w:t xml:space="preserve">A well-handled error builds more trust than a flawless interaction, because it demonstrates the system's capacity for honesty and accountability.</w:t>
      </w:r>
    </w:p>
    <w:r>
      <w:br w:type="page"/>
    </w:r>
    <w:p>
      <w:pPr>
        <w:pStyle w:val="Heading1"/>
        <w:spacing w:after="100" w:before="200" w:line="360"/>
      </w:pPr>
      <w:r>
        <w:t xml:space="preserve">8. BEYOND THE CITIZEN: AGENTS IN THE MACHINERY OF GOVERNMENT</w:t>
      </w:r>
    </w:p>
    <w:p>
      <w:pPr>
        <w:pStyle w:val="Heading2"/>
        <w:spacing w:after="80" w:before="150" w:line="360"/>
      </w:pPr>
      <w:r>
        <w:t xml:space="preserve">8.1 The overlooked transformation</w:t>
      </w:r>
    </w:p>
    <w:p>
      <w:pPr>
        <w:spacing w:after="100" w:line="276" w:lineRule="auto"/>
      </w:pPr>
      <w:r>
        <w:t xml:space="preserve">Most discussion of agentic government focuses on citizen-facing services. This is important but incomplete. The greater transformation is what agents do inside government itself.</w:t>
      </w:r>
    </w:p>
    <w:p>
      <w:pPr>
        <w:spacing w:after="100" w:line="276" w:lineRule="auto"/>
      </w:pPr>
      <w:r>
        <w:t xml:space="preserve">The same architecture that makes services legible to citizen-facing agents can make government processes legible to internal agents. Procurement, HR, cross-departmental data requests, parliamentary question responses, FOI handling, policy impact assessment — all of these are processes with rules, sequences, data requirements, and audit needs. All of them can be described using the same four-dimension model.</w:t>
      </w:r>
    </w:p>
    <w:p>
      <w:pPr>
        <w:pStyle w:val="Heading2"/>
        <w:spacing w:after="80" w:before="150" w:line="360"/>
      </w:pPr>
      <w:r>
        <w:t xml:space="preserve">8.2 Policy as code</w:t>
      </w:r>
    </w:p>
    <w:p>
      <w:pPr>
        <w:spacing w:after="100" w:line="276" w:lineRule="auto"/>
      </w:pPr>
      <w:r>
        <w:t xml:space="preserve">The deterministic policy evaluator already runs department-published rules against citizen data to assess eligibility. This is the beginning of policy at machine speed.</w:t>
      </w:r>
    </w:p>
    <w:p>
      <w:pPr>
        <w:spacing w:after="100" w:line="276" w:lineRule="auto"/>
      </w:pPr>
      <w:r>
        <w:t xml:space="preserve">When policy rules are expressed as structured, machine-evaluable data rather than prose guidance, they can be tested before deployment — running new rules against historical data to identify edge cases and unintended consequences. They can be versioned and audited — every change tracked, every previous version recoverable. They can be compared across departments — identifying inconsistencies, overlaps, and gaps. They can be updated in real time — a change to an eligibility threshold propagates to every channel immediately.</w:t>
      </w:r>
    </w:p>
    <w:p>
      <w:pPr>
        <w:spacing w:after="100" w:line="276" w:lineRule="auto"/>
      </w:pPr>
      <w:r>
        <w:t xml:space="preserve">This does not remove human judgment from policy-making. It makes human judgment more effective by giving policy-makers tools to understand the consequences of their decisions before those decisions reach citizens.</w:t>
      </w:r>
    </w:p>
    <w:p>
      <w:pPr>
        <w:pStyle w:val="Heading2"/>
        <w:spacing w:after="80" w:before="150" w:line="360"/>
      </w:pPr>
      <w:r>
        <w:t xml:space="preserve">8.3 Government workflows</w:t>
      </w:r>
    </w:p>
    <w:p>
      <w:pPr>
        <w:spacing w:after="100" w:line="276" w:lineRule="auto"/>
      </w:pPr>
      <w:r>
        <w:t xml:space="preserve">The Legibility Studio is not limited to citizen-facing services. The same structured description model can express internal government workflows — permit processing, procurement evaluation, compliance checking, casework management.</w:t>
      </w:r>
    </w:p>
    <w:p>
      <w:pPr>
        <w:spacing w:after="100" w:line="276" w:lineRule="auto"/>
      </w:pPr>
      <w:r>
        <w:t xml:space="preserve">When internal workflows are described as structured data, they become visible, measurable, and improvable. An agent can track a benefits application through a department's internal processing, identify bottlenecks, and report on time-to-decision. A procurement agent can evaluate bids against published criteria, flag anomalies, and produce audit trails.</w:t>
      </w:r>
    </w:p>
    <w:p>
      <w:pPr>
        <w:spacing w:after="100" w:line="276" w:lineRule="auto"/>
      </w:pPr>
      <w:r>
        <w:t xml:space="preserve">The efficiency gains here are not marginal. Government workflows are the state's operating system. If workflows do not change, nothing changes.</w:t>
      </w:r>
    </w:p>
    <w:p>
      <w:pPr>
        <w:pStyle w:val="Heading2"/>
        <w:spacing w:after="80" w:before="150" w:line="360"/>
      </w:pPr>
      <w:r>
        <w:t xml:space="preserve">8.4 The third-party agent question</w:t>
      </w:r>
    </w:p>
    <w:p>
      <w:pPr>
        <w:spacing w:after="100" w:line="276" w:lineRule="auto"/>
      </w:pPr>
      <w:r>
        <w:t xml:space="preserve">If government services become machine-legible, third-party agents will access them. ChatGPT, Claude, and tools not yet built will help citizens navigate government services using the same structured descriptions that power the official citizen app.</w:t>
      </w:r>
    </w:p>
    <w:p>
      <w:pPr>
        <w:spacing w:after="100" w:line="276" w:lineRule="auto"/>
      </w:pPr>
      <w:r>
        <w:t xml:space="preserve">This is not a risk to be avoided. It is a design feature. When government publishes the source of truth about its services, it retains control over what is true — regardless of which agent a citizen uses to access it. A third-party agent consuming government service descriptions is constrained by those descriptions. It cannot hallucinate eligibility rules that are published as deterministic code. It cannot bypass consent requirements that are expressed as hard gates.</w:t>
      </w:r>
    </w:p>
    <w:p>
      <w:pPr>
        <w:spacing w:after="100" w:line="276" w:lineRule="auto"/>
      </w:pPr>
      <w:r>
        <w:t xml:space="preserve">The alternative — government services remaining opaque and unstructured — means third-party agents will scrape GOV.UK pages, interpret prose guidance with language models, and make eligibility assessments based on stale training data. That is the genuinely dangerous outcome.</w:t>
      </w:r>
    </w:p>
    <w:p>
      <w:pPr>
        <w:spacing w:after="100" w:line="276" w:lineRule="auto"/>
      </w:pPr>
      <w:r>
        <w:t xml:space="preserve">Government must remain the source of truth. The way to achieve that is not to prevent third-party agents from accessing services, but to make the authoritative description of those services the easiest and most reliable source available.</w:t>
      </w:r>
    </w:p>
    <w:r>
      <w:br w:type="page"/>
    </w:r>
    <w:p>
      <w:pPr>
        <w:pStyle w:val="Heading1"/>
        <w:spacing w:after="100" w:before="200" w:line="360"/>
      </w:pPr>
      <w:r>
        <w:t xml:space="preserve">9. THE ECONOMIC CASE</w:t>
      </w:r>
    </w:p>
    <w:p>
      <w:pPr>
        <w:pStyle w:val="Heading2"/>
        <w:spacing w:after="80" w:before="150" w:line="360"/>
      </w:pPr>
      <w:r>
        <w:t xml:space="preserve">9.1 Cost-benefit analysis</w:t>
      </w:r>
    </w:p>
    <w:p>
      <w:pPr>
        <w:spacing w:after="100" w:line="276" w:lineRule="auto"/>
      </w:pPr>
      <w:r>
        <w:t xml:space="preserve">Savings have been modelled across six departments at three adoption scenarios, based on published departmental spend data.</w:t>
      </w:r>
    </w:p>
    <w:p>
      <w:pPr>
        <w:spacing w:after="100" w:line="276" w:lineRule="auto"/>
      </w:pPr>
      <w:r>
        <w:t xml:space="preserve">At thirty percent adoption (conservative): three hundred and ninety-three million pounds per year. At fifty percent adoption (moderate): six hundred and fifty-five million pounds per year. At sixty percent or above (ambitious): nine hundred and seventeen million pounds per year.</w:t>
      </w:r>
    </w:p>
    <w:p>
      <w:pPr>
        <w:spacing w:after="100" w:line="276" w:lineRule="auto"/>
      </w:pPr>
      <w:r>
        <w:t xml:space="preserve">Extrapolated across all central government with an addressable cost base of four point five to six billion pounds: at thirty percent adoption, one point three five to one point eight billion pounds per year; at fifty percent, two point two five to three billion; at sixty percent or above, two point seven to three point nine billion.</w:t>
      </w:r>
    </w:p>
    <w:p>
      <w:pPr>
        <w:spacing w:after="100" w:line="276" w:lineRule="auto"/>
      </w:pPr>
      <w:r>
        <w:t xml:space="preserve">Over five years, the ambitious scenario yields fourteen point six to nineteen point five billion pounds in savings across central government.</w:t>
      </w:r>
    </w:p>
    <w:p>
      <w:pPr>
        <w:pStyle w:val="Heading2"/>
        <w:spacing w:after="80" w:before="150" w:line="360"/>
      </w:pPr>
      <w:r>
        <w:t xml:space="preserve">9.2 Beyond cost savings</w:t>
      </w:r>
    </w:p>
    <w:p>
      <w:pPr>
        <w:spacing w:after="100" w:line="276" w:lineRule="auto"/>
      </w:pPr>
      <w:r>
        <w:t xml:space="preserve">Three point five billion pounds in citizen time returned — hours currently spent navigating forms, waiting on phone lines, and re-entering data across departments.</w:t>
      </w:r>
    </w:p>
    <w:p>
      <w:pPr>
        <w:spacing w:after="100" w:line="276" w:lineRule="auto"/>
      </w:pPr>
      <w:r>
        <w:t xml:space="preserve">Billions in unclaimed entitlements surfaced. Priya Anand's journey demonstrates five thousand pounds per year in childcare support she did not know she was eligible for. Multiply that across millions of eligible citizens who never find the services they are entitled to because GOV.UK search does not surface them proactively.</w:t>
      </w:r>
    </w:p>
    <w:p>
      <w:pPr>
        <w:spacing w:after="100" w:line="276" w:lineRule="auto"/>
      </w:pPr>
      <w:r>
        <w:t xml:space="preserve">Up to two thousand digital roles freed for higher-value work — service teams shifting from building bespoke forms to governing policy and outcomes.</w:t>
      </w:r>
    </w:p>
    <w:p>
      <w:pPr>
        <w:spacing w:after="100" w:line="276" w:lineRule="auto"/>
      </w:pPr>
      <w:r>
        <w:t xml:space="preserve">Per-service cost reduction of over ninety-nine percent. The HMCTS Reform Programme spent two hundred million pounds per digital service over its lifecycle. The Legibility Studio model — departments publishing four structured descriptions — brings per-service cost to twelve to fifty-three thousand pounds over five years.</w:t>
      </w:r>
    </w:p>
    <w:p>
      <w:pPr>
        <w:pStyle w:val="Heading2"/>
        <w:spacing w:after="80" w:before="150" w:line="360"/>
      </w:pPr>
      <w:r>
        <w:t xml:space="preserve">9.3 Sources</w:t>
      </w:r>
    </w:p>
    <w:p>
      <w:pPr>
        <w:spacing w:after="100" w:line="276" w:lineRule="auto"/>
      </w:pPr>
      <w:r>
        <w:t xml:space="preserve">HMRC annual report. DWP annual accounts. HMCTS Reform Programme reporting via Public Technology. HMRC contact centre contract via Public Technology. DWP contact centre contract via The Stack. Digital Efficiency Report from the Cabinet Office. State of Digital Government Review, January 2025. Spending Review digital plans, June 2025. National Audit Office departmental reviews.</w:t>
      </w:r>
    </w:p>
    <w:r>
      <w:br w:type="page"/>
    </w:r>
    <w:p>
      <w:pPr>
        <w:pStyle w:val="Heading1"/>
        <w:spacing w:after="100" w:before="200" w:line="360"/>
      </w:pPr>
      <w:r>
        <w:t xml:space="preserve">10. WHAT WE NEED</w:t>
      </w:r>
    </w:p>
    <w:p>
      <w:pPr>
        <w:pStyle w:val="Heading2"/>
        <w:spacing w:after="80" w:before="150" w:line="360"/>
      </w:pPr>
      <w:r>
        <w:t xml:space="preserve">10.1 Five mandates</w:t>
      </w:r>
    </w:p>
    <w:p>
      <w:pPr>
        <w:spacing w:after="100" w:line="276" w:lineRule="auto"/>
      </w:pPr>
      <w:r>
        <w:t xml:space="preserve">To move from prototype to programme, five things require mandate.</w:t>
      </w:r>
    </w:p>
    <w:p>
      <w:pPr>
        <w:spacing w:after="100" w:line="276" w:lineRule="auto"/>
      </w:pPr>
      <w:r>
        <w:t xml:space="preserve">Procurement reform: current rules assume government is buying software. This proposition is an operating model where departments publish structured service descriptions as a standard output. This is a new category of government output that existing procurement frameworks do not accommodate.</w:t>
      </w:r>
    </w:p>
    <w:p>
      <w:pPr>
        <w:spacing w:after="100" w:line="276" w:lineRule="auto"/>
      </w:pPr>
      <w:r>
        <w:t xml:space="preserve">Data sharing at scale: the consent architecture is granular, informed, revocable, and per-purpose. But the legal basis for cross-departmental data sharing at this scale needs ICO engagement now — not after the fact.</w:t>
      </w:r>
    </w:p>
    <w:p>
      <w:pPr>
        <w:spacing w:after="100" w:line="276" w:lineRule="auto"/>
      </w:pPr>
      <w:r>
        <w:t xml:space="preserve">Departmental adoption: the Legibility Studio makes it straightforward for departments to publish service descriptions. But ninety-three percent of services are currently undescribed. That gap does not close voluntarily. CDDO mandate — or ministerial expectation — is required to make machine-readable service descriptions a standard, not an optional extra.</w:t>
      </w:r>
    </w:p>
    <w:p>
      <w:pPr>
        <w:spacing w:after="100" w:line="276" w:lineRule="auto"/>
      </w:pPr>
      <w:r>
        <w:t xml:space="preserve">Third-party agent governance: government must set the terms on which third-party agents interact with public services. This requires a framework for access, accountability, and quality assurance.</w:t>
      </w:r>
    </w:p>
    <w:p>
      <w:pPr>
        <w:spacing w:after="100" w:line="276" w:lineRule="auto"/>
      </w:pPr>
      <w:r>
        <w:t xml:space="preserve">A programme, not a project: this cannot be delivered within regular constraints. It requires a Tiger Team with the seniority to operate across departmental boundaries, with a clear roadmap — exemplar departments first, frontier services second, integration with wider GDS products third.</w:t>
      </w:r>
    </w:p>
    <w:p>
      <w:pPr>
        <w:pStyle w:val="Heading2"/>
        <w:spacing w:after="80" w:before="150" w:line="360"/>
      </w:pPr>
      <w:r>
        <w:t xml:space="preserve">10.2 Strategic context</w:t>
      </w:r>
    </w:p>
    <w:p>
      <w:pPr>
        <w:spacing w:after="100" w:line="276" w:lineRule="auto"/>
      </w:pPr>
      <w:r>
        <w:t xml:space="preserve">This proposition builds on foundations government has already laid. GOV.UK One Login provides identity verification — reused, not rebuilt. The Tell Us Once principle — notify government once, not repeatedly — currently applies to death notifications; this model extends it to every life event. GDS service standards provide the governance model; structured service descriptions add machine-readable data alongside the human-readable guidance departments already publish. Departmental back-end systems are unchanged — this adds a new channel, not a new backend.</w:t>
      </w:r>
    </w:p>
    <w:p>
      <w:pPr>
        <w:pStyle w:val="Heading2"/>
        <w:spacing w:after="80" w:before="150" w:line="360"/>
      </w:pPr>
      <w:r>
        <w:t xml:space="preserve">10.3 The proposition</w:t>
      </w:r>
    </w:p>
    <w:p>
      <w:pPr>
        <w:spacing w:after="100" w:line="276" w:lineRule="auto"/>
      </w:pPr>
      <w:r>
        <w:t xml:space="preserve">The proposition is not "let us build an AI chatbot."</w:t>
      </w:r>
    </w:p>
    <w:p>
      <w:pPr>
        <w:spacing w:after="100" w:line="276" w:lineRule="auto"/>
      </w:pPr>
      <w:r>
        <w:t xml:space="preserve">It is: we have proven that the machinery of government can be fundamentally reorganised around citizens' lives — and that departments gain from it, not just citizens. Here is what it looks like. Here is what it costs. Here is what we need from you to make it real.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2026-04-17T12:45:05.230Z</dcterms:created>
  <dcterms:modified xsi:type="dcterms:W3CDTF">2026-04-17T12:45:05.230Z</dcterms:modified>
</cp:coreProperties>
</file>

<file path=docProps/custom.xml><?xml version="1.0" encoding="utf-8"?>
<Properties xmlns="http://schemas.openxmlformats.org/officeDocument/2006/custom-properties" xmlns:vt="http://schemas.openxmlformats.org/officeDocument/2006/docPropsVTypes"/>
</file>