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2E75B6"/>
          <w:sz w:val="28"/>
          <w:szCs w:val="28"/>
        </w:rPr>
        <w:t xml:space="preserve">DEPARTMENT BRIEFING</w:t>
      </w:r>
    </w:p>
    <w:p>
      <w:pPr>
        <w:spacing w:after="80"/>
        <w:jc w:val="center"/>
      </w:pPr>
      <w:r>
        <w:rPr>
          <w:rFonts w:ascii="Arial" w:cs="Arial" w:eastAsia="Arial" w:hAnsi="Arial"/>
          <w:b/>
          <w:bCs/>
          <w:color w:val="1B3A5C"/>
          <w:sz w:val="52"/>
          <w:szCs w:val="52"/>
        </w:rPr>
        <w:t xml:space="preserve">Department for Education</w:t>
      </w:r>
    </w:p>
    <w:p>
      <w:pPr>
        <w:pBdr>
          <w:bottom w:val="single" w:color="2E75B6" w:sz="8" w:space="8"/>
        </w:pBdr>
        <w:spacing w:after="400"/>
        <w:jc w:val="center"/>
      </w:pPr>
      <w:r>
        <w:rPr>
          <w:rFonts w:ascii="Arial" w:cs="Arial" w:eastAsia="Arial" w:hAnsi="Arial"/>
          <w:color w:val="333333"/>
          <w:sz w:val="24"/>
          <w:szCs w:val="24"/>
        </w:rPr>
        <w:t xml:space="preserve">Citizen Services, Digital Transformation &amp; Cost Analysis</w:t>
      </w:r>
    </w:p>
    <w:p>
      <w:pPr>
        <w:spacing w:after="60"/>
      </w:pPr>
    </w:p>
    <w:p>
      <w:pPr>
        <w:spacing w:after="60"/>
      </w:pPr>
    </w:p>
    <w:p>
      <w:pPr>
        <w:spacing w:after="80"/>
        <w:jc w:val="center"/>
      </w:pPr>
      <w:r>
        <w:rPr>
          <w:rFonts w:ascii="Arial" w:cs="Arial" w:eastAsia="Arial" w:hAnsi="Arial"/>
          <w:color w:val="333333"/>
          <w:sz w:val="22"/>
          <w:szCs w:val="22"/>
        </w:rPr>
        <w:t xml:space="preserve">Prepared for the Permanent Secretary</w:t>
      </w:r>
    </w:p>
    <w:p>
      <w:pPr>
        <w:spacing w:after="80"/>
        <w:jc w:val="center"/>
      </w:pPr>
      <w:r>
        <w:rPr>
          <w:rFonts w:ascii="Arial" w:cs="Arial" w:eastAsia="Arial" w:hAnsi="Arial"/>
          <w:color w:val="333333"/>
          <w:sz w:val="22"/>
          <w:szCs w:val="22"/>
        </w:rPr>
        <w:t xml:space="preserve">March 2026</w:t>
      </w:r>
    </w:p>
    <w:p>
      <w:pPr>
        <w:spacing w:after="80"/>
        <w:jc w:val="center"/>
      </w:pPr>
      <w:r>
        <w:rPr>
          <w:rFonts w:ascii="Arial" w:cs="Arial" w:eastAsia="Arial" w:hAnsi="Arial"/>
          <w:b/>
          <w:bCs/>
          <w:color w:val="CC0000"/>
          <w:sz w:val="20"/>
          <w:szCs w:val="20"/>
        </w:rPr>
        <w:t xml:space="preserve">OFFICIAL — SENSITIVE</w:t>
      </w:r>
    </w:p>
    <w:p>
      <w:pPr>
        <w:sectPr>
          <w:pgSz w:w="12240" w:h="15840" w:orient="portrait"/>
          <w:pgMar w:top="1440" w:right="1440" w:bottom="1440" w:left="1440" w:header="708" w:footer="708" w:gutter="0"/>
          <w:pgNumType/>
          <w:docGrid w:linePitch="360"/>
        </w:sectPr>
      </w:pPr>
    </w:p>
    <w:p>
      <w:pPr>
        <w:pStyle w:val="Heading1"/>
      </w:pPr>
      <w:r>
        <w:t xml:space="preserve">1. Permanent Secretary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Name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Susan Acland-Hood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Appointed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December 2020 (temporary from September 2020)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Previous role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Chief Executive, HM Courts &amp; Tribunals Service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Earlier career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DfEE (1999); HM Treasury; 10 Downing Street; Home Office; Tower Hamlets; Director of Education and Funding Group, DfE (2013–15)</w:t>
            </w:r>
          </w:p>
        </w:tc>
      </w:tr>
    </w:tbl>
    <w:p>
      <w:pPr>
        <w:spacing w:after="60"/>
      </w:pPr>
    </w:p>
    <w:p>
      <w:pPr>
        <w:pStyle w:val="Heading2"/>
      </w:pPr>
      <w:r>
        <w:t xml:space="preserve">Known Priorities</w:t>
      </w:r>
    </w:p>
    <w:p>
      <w:pPr>
        <w:pStyle w:val="ListParagraph"/>
        <w:numPr>
          <w:ilvl w:val="0"/>
          <w:numId w:val="2"/>
        </w:numPr>
        <w:spacing w:after="80"/>
      </w:pPr>
      <w:r>
        <w:rPr>
          <w:rFonts w:ascii="Arial" w:cs="Arial" w:eastAsia="Arial" w:hAnsi="Arial"/>
          <w:color w:val="333333"/>
          <w:sz w:val="22"/>
          <w:szCs w:val="22"/>
        </w:rPr>
        <w:t xml:space="preserve">Skills agenda: aligning skills to economic growth through Skills England</w:t>
      </w:r>
    </w:p>
    <w:p>
      <w:pPr>
        <w:pStyle w:val="ListParagraph"/>
        <w:numPr>
          <w:ilvl w:val="0"/>
          <w:numId w:val="2"/>
        </w:numPr>
        <w:spacing w:after="80"/>
      </w:pPr>
      <w:r>
        <w:rPr>
          <w:rFonts w:ascii="Arial" w:cs="Arial" w:eastAsia="Arial" w:hAnsi="Arial"/>
          <w:color w:val="333333"/>
          <w:sz w:val="22"/>
          <w:szCs w:val="22"/>
        </w:rPr>
        <w:t xml:space="preserve">AI in education: safety-by-design; secured commitments from Google, Microsoft, Adobe, AWS (Jan 2025)</w:t>
      </w:r>
    </w:p>
    <w:p>
      <w:pPr>
        <w:pStyle w:val="ListParagraph"/>
        <w:numPr>
          <w:ilvl w:val="0"/>
          <w:numId w:val="2"/>
        </w:numPr>
        <w:spacing w:after="80"/>
      </w:pPr>
      <w:r>
        <w:rPr>
          <w:rFonts w:ascii="Arial" w:cs="Arial" w:eastAsia="Arial" w:hAnsi="Arial"/>
          <w:color w:val="333333"/>
          <w:sz w:val="22"/>
          <w:szCs w:val="22"/>
        </w:rPr>
        <w:t xml:space="preserve">SEND reform: major reform agenda targeting 2029–2035</w:t>
      </w:r>
    </w:p>
    <w:p>
      <w:pPr>
        <w:pStyle w:val="ListParagraph"/>
        <w:numPr>
          <w:ilvl w:val="0"/>
          <w:numId w:val="2"/>
        </w:numPr>
        <w:spacing w:after="80"/>
      </w:pPr>
      <w:r>
        <w:rPr>
          <w:rFonts w:ascii="Arial" w:cs="Arial" w:eastAsia="Arial" w:hAnsi="Arial"/>
          <w:color w:val="333333"/>
          <w:sz w:val="22"/>
          <w:szCs w:val="22"/>
        </w:rPr>
        <w:t xml:space="preserve">ESFA integration: merged into core DfE by March 2025</w:t>
      </w:r>
    </w:p>
    <w:p>
      <w:pPr>
        <w:pStyle w:val="ListParagraph"/>
        <w:numPr>
          <w:ilvl w:val="0"/>
          <w:numId w:val="2"/>
        </w:numPr>
        <w:spacing w:after="80"/>
      </w:pPr>
      <w:r>
        <w:rPr>
          <w:rFonts w:ascii="Arial" w:cs="Arial" w:eastAsia="Arial" w:hAnsi="Arial"/>
          <w:color w:val="333333"/>
          <w:sz w:val="22"/>
          <w:szCs w:val="22"/>
        </w:rPr>
        <w:t xml:space="preserve">Standards: all children grade 5+ at GCSE; halve disadvantage gap</w:t>
      </w:r>
    </w:p>
    <w:p>
      <w:r>
        <w:br w:type="page"/>
      </w:r>
    </w:p>
    <w:p>
      <w:pPr>
        <w:pStyle w:val="Heading1"/>
      </w:pPr>
      <w:r>
        <w:t xml:space="preserve">2. Top Citizen-Facing Services</w:t>
      </w:r>
    </w:p>
    <w:p>
      <w:pPr>
        <w:spacing w:after="120"/>
      </w:pPr>
      <w:r>
        <w:rPr>
          <w:rFonts w:ascii="Arial" w:cs="Arial" w:eastAsia="Arial" w:hAnsi="Arial"/>
          <w:color w:val="333333"/>
          <w:sz w:val="22"/>
          <w:szCs w:val="22"/>
        </w:rPr>
        <w:t xml:space="preserve">The Department for Education operates 8+ major citizen-facing services, serving families, students, and schools across England. These include applications for school places, school meals, childcare entitlements, student finance, and SEND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Annual Volume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Online via GOV.UK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B3A5C"/>
                <w:sz w:val="20"/>
                <w:szCs w:val="20"/>
              </w:rPr>
              <w:t xml:space="preserve">Free School Meals Eligibility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Free meals for eligible children in state-funded schools based on benefits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2.1m children eligible (2023/24)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Schools choose paper or online; automated checks in development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5C"/>
                <w:sz w:val="20"/>
                <w:szCs w:val="20"/>
              </w:rPr>
              <w:t xml:space="preserve">Student Finance/Loans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Tuition fee loans, maintenance loans and grants for undergraduates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~400,000+ new entrants annually eligible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Apply online for Student Finance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B3A5C"/>
                <w:sz w:val="20"/>
                <w:szCs w:val="20"/>
              </w:rPr>
              <w:t xml:space="preserve">Childcare Entitlements (30 Hours)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Funded childcare for working parents, children 9 months to school 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Expanded September 2025; 75% of TFC accounts linked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 online application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5C"/>
                <w:sz w:val="20"/>
                <w:szCs w:val="20"/>
              </w:rPr>
              <w:t xml:space="preserve">Tax-Free Childcare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Government top-up of £2 for every £8; up to £2,000/year per child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 to 30-hour scheme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via HMRC (cross-departmental)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B3A5C"/>
                <w:sz w:val="20"/>
                <w:szCs w:val="20"/>
              </w:rPr>
              <w:t xml:space="preserve">School Admissions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Coordinated admissions for state-funded schools; ranked preferences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Primary: 98.3% top 3 preferences; Secondary: 94.9%</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 most LAs online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5C"/>
                <w:sz w:val="20"/>
                <w:szCs w:val="20"/>
              </w:rPr>
              <w:t xml:space="preserve">Teacher Training Applications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Routes for initial teacher training (postgraduate and early years)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536 EYITT entrants 2025/26 (down 8%); secondary targets not met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Apply for Teacher Training / UCAS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B3A5C"/>
                <w:sz w:val="20"/>
                <w:szCs w:val="20"/>
              </w:rPr>
              <w:t xml:space="preserve">School Place Appeals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Parents appeal unsuccessful admission decisions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Primary: 8,999 heard (17.7% success); Secondary: 29,640 heard (19.9% success)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Paper and email; acknowledged within 7 working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5C"/>
                <w:sz w:val="20"/>
                <w:szCs w:val="20"/>
              </w:rPr>
              <w:t xml:space="preserve">EHCPs for SEND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Statutory plans for children 0–25 with special educational needs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638,700 children with plans (Jan 2025); up 10.8% YoY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Via local authority; limited digital integration</w:t>
            </w:r>
          </w:p>
        </w:tc>
      </w:tr>
    </w:tbl>
    <w:p>
      <w:r>
        <w:br w:type="page"/>
      </w:r>
    </w:p>
    <w:p>
      <w:pPr>
        <w:pStyle w:val="Heading1"/>
      </w:pPr>
      <w:r>
        <w:t xml:space="preserve">3. Digital Transformation Status</w:t>
      </w:r>
    </w:p>
    <w:p>
      <w:pPr>
        <w:pStyle w:val="Heading2"/>
      </w:pPr>
      <w:r>
        <w:t xml:space="preserve">DfE Connect (2025)</w:t>
      </w:r>
    </w:p>
    <w:p>
      <w:pPr>
        <w:spacing w:after="120"/>
      </w:pPr>
      <w:r>
        <w:rPr>
          <w:rFonts w:ascii="Arial" w:cs="Arial" w:eastAsia="Arial" w:hAnsi="Arial"/>
          <w:color w:val="333333"/>
          <w:sz w:val="22"/>
          <w:szCs w:val="22"/>
        </w:rPr>
        <w:t xml:space="preserve">Personalised dashboard aggregating DfE digital services; recognises user role and school context; reduces duplicate data entry.</w:t>
      </w:r>
    </w:p>
    <w:p>
      <w:pPr>
        <w:pStyle w:val="Heading2"/>
      </w:pPr>
      <w:r>
        <w:t xml:space="preserve">Get Information About Schools (GIAS)</w:t>
      </w:r>
    </w:p>
    <w:p>
      <w:pPr>
        <w:spacing w:after="120"/>
      </w:pPr>
      <w:r>
        <w:rPr>
          <w:rFonts w:ascii="Arial" w:cs="Arial" w:eastAsia="Arial" w:hAnsi="Arial"/>
          <w:color w:val="333333"/>
          <w:sz w:val="22"/>
          <w:szCs w:val="22"/>
        </w:rPr>
        <w:t xml:space="preserve">Central school register; regular updates and UX improvements.</w:t>
      </w:r>
    </w:p>
    <w:p>
      <w:pPr>
        <w:pStyle w:val="Heading2"/>
      </w:pPr>
      <w:r>
        <w:t xml:space="preserve">DfE Sign-in</w:t>
      </w:r>
    </w:p>
    <w:p>
      <w:pPr>
        <w:spacing w:after="120"/>
      </w:pPr>
      <w:r>
        <w:rPr>
          <w:rFonts w:ascii="Arial" w:cs="Arial" w:eastAsia="Arial" w:hAnsi="Arial"/>
          <w:color w:val="333333"/>
          <w:sz w:val="22"/>
          <w:szCs w:val="22"/>
        </w:rPr>
        <w:t xml:space="preserve">Common authentication platform for school staff.</w:t>
      </w:r>
    </w:p>
    <w:p>
      <w:pPr>
        <w:pStyle w:val="Heading2"/>
      </w:pPr>
      <w:r>
        <w:t xml:space="preserve">Digital Standards</w:t>
      </w:r>
    </w:p>
    <w:p>
      <w:pPr>
        <w:spacing w:after="120"/>
      </w:pPr>
      <w:r>
        <w:rPr>
          <w:rFonts w:ascii="Arial" w:cs="Arial" w:eastAsia="Arial" w:hAnsi="Arial"/>
          <w:color w:val="333333"/>
          <w:sz w:val="22"/>
          <w:szCs w:val="22"/>
        </w:rPr>
        <w:t xml:space="preserve">11 published; 6 targeting mandatory implementation by 2030.</w:t>
      </w:r>
    </w:p>
    <w:p>
      <w:pPr>
        <w:pStyle w:val="Heading2"/>
      </w:pPr>
      <w:r>
        <w:t xml:space="preserve">Accessibility &amp; Inclusive Design</w:t>
      </w:r>
    </w:p>
    <w:p>
      <w:pPr>
        <w:spacing w:after="120"/>
      </w:pPr>
      <w:r>
        <w:rPr>
          <w:rFonts w:ascii="Arial" w:cs="Arial" w:eastAsia="Arial" w:hAnsi="Arial"/>
          <w:color w:val="333333"/>
          <w:sz w:val="22"/>
          <w:szCs w:val="22"/>
        </w:rPr>
        <w:t xml:space="preserve">Late 2023 audit found many services lacked accessibility statements. April 2025 private beta for real-time statements; Accessibility and Inclusive Design Manual published July 2025. DfE Accessibility Lab created 2025.</w:t>
      </w:r>
    </w:p>
    <w:p>
      <w:pPr>
        <w:pStyle w:val="Heading2"/>
      </w:pPr>
      <w:r>
        <w:t xml:space="preserve">ESFA Integration</w:t>
      </w:r>
    </w:p>
    <w:p>
      <w:pPr>
        <w:spacing w:after="120"/>
      </w:pPr>
      <w:r>
        <w:rPr>
          <w:rFonts w:ascii="Arial" w:cs="Arial" w:eastAsia="Arial" w:hAnsi="Arial"/>
          <w:color w:val="333333"/>
          <w:sz w:val="22"/>
          <w:szCs w:val="22"/>
        </w:rPr>
        <w:t xml:space="preserve">Merged into core DfE March 2025; consolidated funding data.</w:t>
      </w:r>
    </w:p>
    <w:p>
      <w:r>
        <w:br w:type="page"/>
      </w:r>
    </w:p>
    <w:p>
      <w:pPr>
        <w:pStyle w:val="Heading1"/>
      </w:pPr>
      <w:r>
        <w:t xml:space="preserve">4. Service Performance Data</w:t>
      </w:r>
    </w:p>
    <w:p>
      <w:pPr>
        <w:pStyle w:val="Heading2"/>
      </w:pPr>
      <w:r>
        <w:t xml:space="preserve">Staffing</w:t>
      </w:r>
    </w:p>
    <w:p>
      <w:pPr>
        <w:pStyle w:val="ListParagraph"/>
        <w:numPr>
          <w:ilvl w:val="0"/>
          <w:numId w:val="2"/>
        </w:numPr>
        <w:spacing w:after="80"/>
      </w:pPr>
      <w:r>
        <w:rPr>
          <w:rFonts w:ascii="Arial" w:cs="Arial" w:eastAsia="Arial" w:hAnsi="Arial"/>
          <w:color w:val="333333"/>
          <w:sz w:val="22"/>
          <w:szCs w:val="22"/>
        </w:rPr>
        <w:t xml:space="preserve">13,329 FTE (average 2024–25); down 54 from prior year</w:t>
      </w:r>
    </w:p>
    <w:p>
      <w:pPr>
        <w:pStyle w:val="ListParagraph"/>
        <w:numPr>
          <w:ilvl w:val="0"/>
          <w:numId w:val="2"/>
        </w:numPr>
        <w:spacing w:after="80"/>
      </w:pPr>
      <w:r>
        <w:rPr>
          <w:rFonts w:ascii="Arial" w:cs="Arial" w:eastAsia="Arial" w:hAnsi="Arial"/>
          <w:color w:val="333333"/>
          <w:sz w:val="22"/>
          <w:szCs w:val="22"/>
        </w:rPr>
        <w:t xml:space="preserve">Staff costs: £814.5m (up £21.2m YoY)</w:t>
      </w:r>
    </w:p>
    <w:p>
      <w:pPr>
        <w:pStyle w:val="ListParagraph"/>
        <w:numPr>
          <w:ilvl w:val="0"/>
          <w:numId w:val="2"/>
        </w:numPr>
        <w:spacing w:after="80"/>
      </w:pPr>
      <w:r>
        <w:rPr>
          <w:rFonts w:ascii="Arial" w:cs="Arial" w:eastAsia="Arial" w:hAnsi="Arial"/>
          <w:color w:val="333333"/>
          <w:sz w:val="22"/>
          <w:szCs w:val="22"/>
        </w:rPr>
        <w:t xml:space="preserve">Fraud prevention: £50.8m prevented; £16.5m recovered (H1 2024–25)</w:t>
      </w:r>
    </w:p>
    <w:p>
      <w:pPr>
        <w:pStyle w:val="Heading2"/>
      </w:pPr>
      <w:r>
        <w:t xml:space="preserve">Service Metrics</w:t>
      </w:r>
    </w:p>
    <w:p>
      <w:pPr>
        <w:pStyle w:val="ListParagraph"/>
        <w:numPr>
          <w:ilvl w:val="0"/>
          <w:numId w:val="2"/>
        </w:numPr>
        <w:spacing w:after="80"/>
      </w:pPr>
      <w:r>
        <w:rPr>
          <w:rFonts w:ascii="Arial" w:cs="Arial" w:eastAsia="Arial" w:hAnsi="Arial"/>
          <w:color w:val="333333"/>
          <w:sz w:val="22"/>
          <w:szCs w:val="22"/>
        </w:rPr>
        <w:t xml:space="preserve">School admissions: Primary 98.3% top 3; Secondary 94.9%</w:t>
      </w:r>
    </w:p>
    <w:p>
      <w:pPr>
        <w:pStyle w:val="ListParagraph"/>
        <w:numPr>
          <w:ilvl w:val="0"/>
          <w:numId w:val="2"/>
        </w:numPr>
        <w:spacing w:after="80"/>
      </w:pPr>
      <w:r>
        <w:rPr>
          <w:rFonts w:ascii="Arial" w:cs="Arial" w:eastAsia="Arial" w:hAnsi="Arial"/>
          <w:color w:val="333333"/>
          <w:sz w:val="22"/>
          <w:szCs w:val="22"/>
        </w:rPr>
        <w:t xml:space="preserve">EHCP: Only 46.4% met 20-week statutory deadline (2024); 92% in Hertfordshire Q4 2025 (wide variation)</w:t>
      </w:r>
    </w:p>
    <w:p>
      <w:pPr>
        <w:pStyle w:val="ListParagraph"/>
        <w:numPr>
          <w:ilvl w:val="0"/>
          <w:numId w:val="2"/>
        </w:numPr>
        <w:spacing w:after="80"/>
      </w:pPr>
      <w:r>
        <w:rPr>
          <w:rFonts w:ascii="Arial" w:cs="Arial" w:eastAsia="Arial" w:hAnsi="Arial"/>
          <w:color w:val="333333"/>
          <w:sz w:val="22"/>
          <w:szCs w:val="22"/>
        </w:rPr>
        <w:t xml:space="preserve">Annual reviews: Only 44% met 4-week decision communication (2024)</w:t>
      </w:r>
    </w:p>
    <w:p>
      <w:pPr>
        <w:pStyle w:val="ListParagraph"/>
        <w:numPr>
          <w:ilvl w:val="0"/>
          <w:numId w:val="2"/>
        </w:numPr>
        <w:spacing w:after="80"/>
      </w:pPr>
      <w:r>
        <w:rPr>
          <w:rFonts w:ascii="Arial" w:cs="Arial" w:eastAsia="Arial" w:hAnsi="Arial"/>
          <w:color w:val="333333"/>
          <w:sz w:val="22"/>
          <w:szCs w:val="22"/>
        </w:rPr>
        <w:t xml:space="preserve">Appeals: Primary 17.7% success; Secondary 19.9% success — stable trend</w:t>
      </w:r>
    </w:p>
    <w:p>
      <w:pPr>
        <w:pStyle w:val="ListParagraph"/>
        <w:numPr>
          <w:ilvl w:val="0"/>
          <w:numId w:val="2"/>
        </w:numPr>
        <w:spacing w:after="80"/>
      </w:pPr>
      <w:r>
        <w:rPr>
          <w:rFonts w:ascii="Arial" w:cs="Arial" w:eastAsia="Arial" w:hAnsi="Arial"/>
          <w:color w:val="333333"/>
          <w:sz w:val="22"/>
          <w:szCs w:val="22"/>
        </w:rPr>
        <w:t xml:space="preserve">Student finance: 6–8 weeks initial processing; 5 working days for payment once conditions met</w:t>
      </w:r>
    </w:p>
    <w:p>
      <w:pPr>
        <w:pStyle w:val="ListParagraph"/>
        <w:numPr>
          <w:ilvl w:val="0"/>
          <w:numId w:val="2"/>
        </w:numPr>
        <w:spacing w:after="80"/>
      </w:pPr>
      <w:r>
        <w:rPr>
          <w:rFonts w:ascii="Arial" w:cs="Arial" w:eastAsia="Arial" w:hAnsi="Arial"/>
          <w:color w:val="333333"/>
          <w:sz w:val="22"/>
          <w:szCs w:val="22"/>
        </w:rPr>
        <w:t xml:space="preserve">Free school meals: 10–20 school days processing (varies by LA)</w:t>
      </w:r>
    </w:p>
    <w:p>
      <w:pPr>
        <w:pStyle w:val="ListParagraph"/>
        <w:numPr>
          <w:ilvl w:val="0"/>
          <w:numId w:val="2"/>
        </w:numPr>
        <w:spacing w:after="80"/>
      </w:pPr>
      <w:r>
        <w:rPr>
          <w:rFonts w:ascii="Arial" w:cs="Arial" w:eastAsia="Arial" w:hAnsi="Arial"/>
          <w:color w:val="333333"/>
          <w:sz w:val="22"/>
          <w:szCs w:val="22"/>
        </w:rPr>
        <w:t xml:space="preserve">Teacher training: Secondary shortfall 9,150 PGITT entrants vs target</w:t>
      </w:r>
    </w:p>
    <w:p>
      <w:pPr>
        <w:pStyle w:val="Heading2"/>
      </w:pPr>
      <w:r>
        <w:t xml:space="preserve">Data Gaps</w:t>
      </w:r>
    </w:p>
    <w:p>
      <w:pPr>
        <w:spacing w:after="120"/>
      </w:pPr>
      <w:r>
        <w:rPr>
          <w:rFonts w:ascii="Arial" w:cs="Arial" w:eastAsia="Arial" w:hAnsi="Arial"/>
          <w:color w:val="333333"/>
          <w:sz w:val="22"/>
          <w:szCs w:val="22"/>
        </w:rPr>
        <w:t xml:space="preserve">DfE does not publish citizen satisfaction scores or call centre metrics for most services.</w:t>
      </w:r>
    </w:p>
    <w:p>
      <w:r>
        <w:br w:type="page"/>
      </w:r>
    </w:p>
    <w:p>
      <w:pPr>
        <w:pStyle w:val="Heading1"/>
      </w:pPr>
      <w:r>
        <w:t xml:space="preserve">5. Known Pain Points</w:t>
      </w:r>
    </w:p>
    <w:p>
      <w:pPr>
        <w:pStyle w:val="Heading2"/>
      </w:pPr>
      <w:r>
        <w:t xml:space="preserve">EHCP Delays (Most Critical)</w:t>
      </w:r>
    </w:p>
    <w:p>
      <w:pPr>
        <w:spacing w:after="120"/>
      </w:pPr>
      <w:r>
        <w:rPr>
          <w:rFonts w:ascii="Arial" w:cs="Arial" w:eastAsia="Arial" w:hAnsi="Arial"/>
          <w:color w:val="333333"/>
          <w:sz w:val="22"/>
          <w:szCs w:val="22"/>
        </w:rPr>
        <w:t xml:space="preserve">46.4% miss 20-week deadline; 250% demand increase since 2014; 13,700 tribunal appeals (all-time high); cross-departmental: health/social care professionals not responding within 6-week max; 4,000+ children in proceedings 2+ years.</w:t>
      </w:r>
    </w:p>
    <w:p>
      <w:pPr>
        <w:pStyle w:val="Heading2"/>
      </w:pPr>
      <w:r>
        <w:t xml:space="preserve">Childcare Expansion Friction</w:t>
      </w:r>
    </w:p>
    <w:p>
      <w:pPr>
        <w:spacing w:after="120"/>
      </w:pPr>
      <w:r>
        <w:rPr>
          <w:rFonts w:ascii="Arial" w:cs="Arial" w:eastAsia="Arial" w:hAnsi="Arial"/>
          <w:color w:val="333333"/>
          <w:sz w:val="22"/>
          <w:szCs w:val="22"/>
        </w:rPr>
        <w:t xml:space="preserve">Only 46% of LAs report sufficient places for under-2s; 84,500 more places needed; 40,000 extra staff needed. SEND childcare: only 44% LAs sufficient. Spending forecast £1bn higher than budgeted.</w:t>
      </w:r>
    </w:p>
    <w:p>
      <w:pPr>
        <w:pStyle w:val="Heading2"/>
      </w:pPr>
      <w:r>
        <w:t xml:space="preserve">Free School Meals Uptake</w:t>
      </w:r>
    </w:p>
    <w:p>
      <w:pPr>
        <w:spacing w:after="120"/>
      </w:pPr>
      <w:r>
        <w:rPr>
          <w:rFonts w:ascii="Arial" w:cs="Arial" w:eastAsia="Arial" w:hAnsi="Arial"/>
          <w:color w:val="333333"/>
          <w:sz w:val="22"/>
          <w:szCs w:val="22"/>
        </w:rPr>
        <w:t xml:space="preserve">Multiple benefit thresholds create confusion; data-sharing barriers between DWP and DfE; digital divide; stigma barrier.</w:t>
      </w:r>
    </w:p>
    <w:p>
      <w:pPr>
        <w:pStyle w:val="Heading2"/>
      </w:pPr>
      <w:r>
        <w:t xml:space="preserve">School Admissions</w:t>
      </w:r>
    </w:p>
    <w:p>
      <w:pPr>
        <w:spacing w:after="120"/>
      </w:pPr>
      <w:r>
        <w:rPr>
          <w:rFonts w:ascii="Arial" w:cs="Arial" w:eastAsia="Arial" w:hAnsi="Arial"/>
          <w:color w:val="333333"/>
          <w:sz w:val="22"/>
          <w:szCs w:val="22"/>
        </w:rPr>
        <w:t xml:space="preserve">Low appeal success rates creating frustration; no published satisfaction metrics.</w:t>
      </w:r>
    </w:p>
    <w:p>
      <w:pPr>
        <w:pStyle w:val="Heading2"/>
      </w:pPr>
      <w:r>
        <w:t xml:space="preserve">Teacher Recruitment</w:t>
      </w:r>
    </w:p>
    <w:p>
      <w:pPr>
        <w:spacing w:after="120"/>
      </w:pPr>
      <w:r>
        <w:rPr>
          <w:rFonts w:ascii="Arial" w:cs="Arial" w:eastAsia="Arial" w:hAnsi="Arial"/>
          <w:color w:val="333333"/>
          <w:sz w:val="22"/>
          <w:szCs w:val="22"/>
        </w:rPr>
        <w:t xml:space="preserve">Secondary target shortfall; Education Committee warned ‘extremely difficult to meet priorities within budget’.</w:t>
      </w:r>
    </w:p>
    <w:p>
      <w:pPr>
        <w:pStyle w:val="Heading2"/>
      </w:pPr>
      <w:r>
        <w:t xml:space="preserve">Cross-Departmental Dependencies</w:t>
      </w:r>
    </w:p>
    <w:p>
      <w:pPr>
        <w:pStyle w:val="ListParagraph"/>
        <w:numPr>
          <w:ilvl w:val="0"/>
          <w:numId w:val="2"/>
        </w:numPr>
        <w:spacing w:after="80"/>
      </w:pPr>
      <w:r>
        <w:rPr>
          <w:rFonts w:ascii="Arial" w:cs="Arial" w:eastAsia="Arial" w:hAnsi="Arial"/>
          <w:b/>
          <w:bCs/>
          <w:color w:val="333333"/>
          <w:sz w:val="22"/>
          <w:szCs w:val="22"/>
        </w:rPr>
        <w:t xml:space="preserve">HMRC Tax-Free Childcare ↔ DfE 30-hour scheme: </w:t>
      </w:r>
      <w:r>
        <w:rPr>
          <w:rFonts w:ascii="Arial" w:cs="Arial" w:eastAsia="Arial" w:hAnsi="Arial"/>
          <w:color w:val="333333"/>
          <w:sz w:val="22"/>
          <w:szCs w:val="22"/>
        </w:rPr>
        <w:t xml:space="preserve">Data-sharing and eligibility alignment challenges</w:t>
      </w:r>
    </w:p>
    <w:p>
      <w:pPr>
        <w:pStyle w:val="ListParagraph"/>
        <w:numPr>
          <w:ilvl w:val="0"/>
          <w:numId w:val="2"/>
        </w:numPr>
        <w:spacing w:after="80"/>
      </w:pPr>
      <w:r>
        <w:rPr>
          <w:rFonts w:ascii="Arial" w:cs="Arial" w:eastAsia="Arial" w:hAnsi="Arial"/>
          <w:b/>
          <w:bCs/>
          <w:color w:val="333333"/>
          <w:sz w:val="22"/>
          <w:szCs w:val="22"/>
        </w:rPr>
        <w:t xml:space="preserve">DWP benefits ↔ free school meals eligibility: </w:t>
      </w:r>
      <w:r>
        <w:rPr>
          <w:rFonts w:ascii="Arial" w:cs="Arial" w:eastAsia="Arial" w:hAnsi="Arial"/>
          <w:color w:val="333333"/>
          <w:sz w:val="22"/>
          <w:szCs w:val="22"/>
        </w:rPr>
        <w:t xml:space="preserve">Data-sharing barriers; automated checks still in development</w:t>
      </w:r>
    </w:p>
    <w:p>
      <w:pPr>
        <w:pStyle w:val="ListParagraph"/>
        <w:numPr>
          <w:ilvl w:val="0"/>
          <w:numId w:val="2"/>
        </w:numPr>
        <w:spacing w:after="80"/>
      </w:pPr>
      <w:r>
        <w:rPr>
          <w:rFonts w:ascii="Arial" w:cs="Arial" w:eastAsia="Arial" w:hAnsi="Arial"/>
          <w:b/>
          <w:bCs/>
          <w:color w:val="333333"/>
          <w:sz w:val="22"/>
          <w:szCs w:val="22"/>
        </w:rPr>
        <w:t xml:space="preserve">NHS health ↔ EHCP assessments: </w:t>
      </w:r>
      <w:r>
        <w:rPr>
          <w:rFonts w:ascii="Arial" w:cs="Arial" w:eastAsia="Arial" w:hAnsi="Arial"/>
          <w:color w:val="333333"/>
          <w:sz w:val="22"/>
          <w:szCs w:val="22"/>
        </w:rPr>
        <w:t xml:space="preserve">Health professionals not responding within statutory timeframes</w:t>
      </w:r>
    </w:p>
    <w:p>
      <w:pPr>
        <w:pStyle w:val="Heading2"/>
      </w:pPr>
      <w:r>
        <w:t xml:space="preserve">School Maintenance</w:t>
      </w:r>
    </w:p>
    <w:p>
      <w:pPr>
        <w:spacing w:after="120"/>
      </w:pPr>
      <w:r>
        <w:rPr>
          <w:rFonts w:ascii="Arial" w:cs="Arial" w:eastAsia="Arial" w:hAnsi="Arial"/>
          <w:color w:val="333333"/>
          <w:sz w:val="22"/>
          <w:szCs w:val="22"/>
        </w:rPr>
        <w:t xml:space="preserve">£13.8bn outstanding backlog (NAO flagged as resilience risk).</w:t>
      </w:r>
    </w:p>
    <w:p>
      <w:r>
        <w:br w:type="page"/>
      </w:r>
    </w:p>
    <w:p>
      <w:pPr>
        <w:pStyle w:val="Heading1"/>
      </w:pPr>
      <w:r>
        <w:t xml:space="preserve">6. Cost Data</w:t>
      </w:r>
    </w:p>
    <w:p>
      <w:pPr>
        <w:pStyle w:val="Heading2"/>
      </w:pPr>
      <w:r>
        <w:t xml:space="preserve">Operating Costs</w:t>
      </w:r>
    </w:p>
    <w:p>
      <w:pPr>
        <w:pStyle w:val="ListParagraph"/>
        <w:numPr>
          <w:ilvl w:val="0"/>
          <w:numId w:val="2"/>
        </w:numPr>
        <w:spacing w:after="80"/>
      </w:pPr>
      <w:r>
        <w:rPr>
          <w:rFonts w:ascii="Arial" w:cs="Arial" w:eastAsia="Arial" w:hAnsi="Arial"/>
          <w:color w:val="333333"/>
          <w:sz w:val="22"/>
          <w:szCs w:val="22"/>
        </w:rPr>
        <w:t xml:space="preserve">Staff costs: £814.5m (13,329 FTE)</w:t>
      </w:r>
    </w:p>
    <w:p>
      <w:pPr>
        <w:pStyle w:val="ListParagraph"/>
        <w:numPr>
          <w:ilvl w:val="0"/>
          <w:numId w:val="2"/>
        </w:numPr>
        <w:spacing w:after="80"/>
      </w:pPr>
      <w:r>
        <w:rPr>
          <w:rFonts w:ascii="Arial" w:cs="Arial" w:eastAsia="Arial" w:hAnsi="Arial"/>
          <w:color w:val="333333"/>
          <w:sz w:val="22"/>
          <w:szCs w:val="22"/>
        </w:rPr>
        <w:t xml:space="preserve">Teachers’ Pension Scheme: £9.2bn (2024–25)</w:t>
      </w:r>
    </w:p>
    <w:p>
      <w:pPr>
        <w:pStyle w:val="ListParagraph"/>
        <w:numPr>
          <w:ilvl w:val="0"/>
          <w:numId w:val="2"/>
        </w:numPr>
        <w:spacing w:after="80"/>
      </w:pPr>
      <w:r>
        <w:rPr>
          <w:rFonts w:ascii="Arial" w:cs="Arial" w:eastAsia="Arial" w:hAnsi="Arial"/>
          <w:color w:val="333333"/>
          <w:sz w:val="22"/>
          <w:szCs w:val="22"/>
        </w:rPr>
        <w:t xml:space="preserve">Fraud prevention: £50.8m prevented; £16.5m recovered</w:t>
      </w:r>
    </w:p>
    <w:p>
      <w:pPr>
        <w:pStyle w:val="Heading2"/>
      </w:pPr>
      <w:r>
        <w:t xml:space="preserve">Childcare Expansion</w:t>
      </w:r>
    </w:p>
    <w:p>
      <w:pPr>
        <w:spacing w:after="120"/>
      </w:pPr>
      <w:r>
        <w:rPr>
          <w:rFonts w:ascii="Arial" w:cs="Arial" w:eastAsia="Arial" w:hAnsi="Arial"/>
          <w:color w:val="333333"/>
          <w:sz w:val="22"/>
          <w:szCs w:val="22"/>
        </w:rPr>
        <w:t xml:space="preserve">Forecast spending £1bn higher than originally budgeted due to uptake exceeding projections.</w:t>
      </w:r>
    </w:p>
    <w:p>
      <w:pPr>
        <w:pStyle w:val="Heading2"/>
      </w:pPr>
      <w:r>
        <w:t xml:space="preserve">School Maintenance</w:t>
      </w:r>
    </w:p>
    <w:p>
      <w:pPr>
        <w:spacing w:after="120"/>
      </w:pPr>
      <w:r>
        <w:rPr>
          <w:rFonts w:ascii="Arial" w:cs="Arial" w:eastAsia="Arial" w:hAnsi="Arial"/>
          <w:color w:val="333333"/>
          <w:sz w:val="22"/>
          <w:szCs w:val="22"/>
        </w:rPr>
        <w:t xml:space="preserve">£13.8bn outstanding backlog.</w:t>
      </w:r>
    </w:p>
    <w:p>
      <w:pPr>
        <w:pStyle w:val="Heading2"/>
      </w:pPr>
      <w:r>
        <w:t xml:space="preserve">Data Gaps</w:t>
      </w:r>
    </w:p>
    <w:p>
      <w:pPr>
        <w:spacing w:after="120"/>
      </w:pPr>
      <w:r>
        <w:rPr>
          <w:rFonts w:ascii="Arial" w:cs="Arial" w:eastAsia="Arial" w:hAnsi="Arial"/>
          <w:color w:val="333333"/>
          <w:sz w:val="22"/>
          <w:szCs w:val="22"/>
        </w:rPr>
        <w:t xml:space="preserve">DfE does not publish per-application processing costs, call centre volumes, or correspondence costs for most services. Education Committee flagged it will be ‘extremely difficult for the government to meet its education priorities within the budget it has set.’</w:t>
      </w:r>
    </w:p>
    <w:p>
      <w:pPr>
        <w:spacing w:after="60"/>
      </w:pPr>
    </w:p>
    <w:p>
      <w:pPr>
        <w:pBdr>
          <w:top w:val="single" w:color="2E75B6" w:sz="4" w:space="8"/>
        </w:pBdr>
        <w:spacing w:before="240"/>
      </w:pPr>
      <w:r>
        <w:rPr>
          <w:rFonts w:ascii="Arial" w:cs="Arial" w:eastAsia="Arial" w:hAnsi="Arial"/>
          <w:i/>
          <w:iCs/>
          <w:color w:val="666666"/>
          <w:sz w:val="18"/>
          <w:szCs w:val="18"/>
        </w:rPr>
        <w:t xml:space="preserve">Sources: GOV.UK, NAO, PAC, Explore Education Statistics, DfE Annual Report 2024–25, House of Commons Library, IFS, Coram, IPPR. All data publicly available as of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Department for Education — Department Briefing</w:t>
    </w:r>
    <w:r>
      <w:rPr>
        <w:rFonts w:ascii="Arial" w:cs="Arial" w:eastAsia="Arial" w:hAnsi="Arial"/>
        <w:i/>
        <w:iCs/>
        <w:color w:val="999999"/>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2026-03-18T17:41:46.955Z</dcterms:created>
  <dcterms:modified xsi:type="dcterms:W3CDTF">2026-03-18T17:41:46.956Z</dcterms:modified>
</cp:coreProperties>
</file>

<file path=docProps/custom.xml><?xml version="1.0" encoding="utf-8"?>
<Properties xmlns="http://schemas.openxmlformats.org/officeDocument/2006/custom-properties" xmlns:vt="http://schemas.openxmlformats.org/officeDocument/2006/docPropsVTypes"/>
</file>