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2E75B6"/>
          <w:sz w:val="28"/>
          <w:szCs w:val="28"/>
        </w:rPr>
        <w:t xml:space="preserve">DEPARTMENT BRIEFING</w:t>
      </w:r>
    </w:p>
    <w:p>
      <w:pPr>
        <w:spacing w:after="80"/>
        <w:jc w:val="center"/>
      </w:pPr>
      <w:r>
        <w:rPr>
          <w:rFonts w:ascii="Arial" w:cs="Arial" w:eastAsia="Arial" w:hAnsi="Arial"/>
          <w:b/>
          <w:bCs/>
          <w:color w:val="1B3A5C"/>
          <w:sz w:val="52"/>
          <w:szCs w:val="52"/>
        </w:rPr>
        <w:t xml:space="preserve">Ministry of Justice</w:t>
      </w:r>
    </w:p>
    <w:p>
      <w:pPr>
        <w:pBdr>
          <w:bottom w:val="single" w:color="2E75B6" w:sz="8" w:space="8"/>
        </w:pBdr>
        <w:spacing w:after="400"/>
        <w:jc w:val="center"/>
      </w:pPr>
      <w:r>
        <w:rPr>
          <w:rFonts w:ascii="Arial" w:cs="Arial" w:eastAsia="Arial" w:hAnsi="Arial"/>
          <w:color w:val="333333"/>
          <w:sz w:val="24"/>
          <w:szCs w:val="24"/>
        </w:rPr>
        <w:t xml:space="preserve">Citizen Services, Digital Transformation &amp; Cost Analysis</w:t>
      </w:r>
    </w:p>
    <w:p>
      <w:pPr>
        <w:spacing w:after="60"/>
      </w:pPr>
    </w:p>
    <w:p>
      <w:pPr>
        <w:spacing w:after="60"/>
      </w:pPr>
    </w:p>
    <w:p>
      <w:pPr>
        <w:spacing w:after="80"/>
        <w:jc w:val="center"/>
      </w:pPr>
      <w:r>
        <w:rPr>
          <w:rFonts w:ascii="Arial" w:cs="Arial" w:eastAsia="Arial" w:hAnsi="Arial"/>
          <w:color w:val="333333"/>
          <w:sz w:val="22"/>
          <w:szCs w:val="22"/>
        </w:rPr>
        <w:t xml:space="preserve">Prepared for the Permanent Secretary</w:t>
      </w:r>
    </w:p>
    <w:p>
      <w:pPr>
        <w:spacing w:after="80"/>
        <w:jc w:val="center"/>
      </w:pPr>
      <w:r>
        <w:rPr>
          <w:rFonts w:ascii="Arial" w:cs="Arial" w:eastAsia="Arial" w:hAnsi="Arial"/>
          <w:color w:val="333333"/>
          <w:sz w:val="22"/>
          <w:szCs w:val="22"/>
        </w:rPr>
        <w:t xml:space="preserve">March 2026</w:t>
      </w:r>
    </w:p>
    <w:p>
      <w:pPr>
        <w:spacing w:after="80"/>
        <w:jc w:val="center"/>
      </w:pPr>
      <w:r>
        <w:rPr>
          <w:rFonts w:ascii="Arial" w:cs="Arial" w:eastAsia="Arial" w:hAnsi="Arial"/>
          <w:b/>
          <w:bCs/>
          <w:color w:val="CC0000"/>
          <w:sz w:val="20"/>
          <w:szCs w:val="20"/>
        </w:rPr>
        <w:t xml:space="preserve">OFFICIAL — SENSITIVE</w:t>
      </w:r>
    </w:p>
    <w:p>
      <w:pPr>
        <w:sectPr>
          <w:pgSz w:w="12240" w:h="15840" w:orient="portrait"/>
          <w:pgMar w:top="1440" w:right="1440" w:bottom="1440" w:left="1440" w:header="708" w:footer="708" w:gutter="0"/>
          <w:pgNumType/>
          <w:docGrid w:linePitch="360"/>
        </w:sectPr>
      </w:pPr>
    </w:p>
    <w:p>
      <w:pPr>
        <w:pStyle w:val="Heading1"/>
      </w:pPr>
      <w:r>
        <w:t xml:space="preserve">1. Permanent Secretary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20"/>
                <w:szCs w:val="20"/>
              </w:rPr>
              <w:t xml:space="preserve">Name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Dr Josephine (Jo) Farrar CB OBE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Appointed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July 2025 (announced 10 June 2025)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20"/>
                <w:szCs w:val="20"/>
              </w:rPr>
              <w:t xml:space="preserve">Title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Permanent Secretary &amp; Clerk of the Crown in Chancery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Previous role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Second Permanent Secretary, MoJ (2023–25); CEO, NHS Blood and Transplant (2023–25)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20"/>
                <w:szCs w:val="20"/>
              </w:rPr>
              <w:t xml:space="preserve">Earlier career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CEO of HM Prison &amp; Probation Service (2019–23); DG Local Government at MHCLG (2016–19); CE of Bath &amp; NE Somerset Council (2012–16); began career in Prison Service Parole Unit (1987)</w:t>
            </w:r>
          </w:p>
        </w:tc>
      </w:tr>
    </w:tbl>
    <w:p>
      <w:pPr>
        <w:spacing w:after="60"/>
      </w:pPr>
    </w:p>
    <w:p>
      <w:pPr>
        <w:pStyle w:val="Heading2"/>
      </w:pPr>
      <w:r>
        <w:t xml:space="preserve">Known Priorities</w:t>
      </w:r>
    </w:p>
    <w:p>
      <w:pPr>
        <w:pStyle w:val="ListParagraph"/>
        <w:numPr>
          <w:ilvl w:val="0"/>
          <w:numId w:val="2"/>
        </w:numPr>
        <w:spacing w:after="80"/>
      </w:pPr>
      <w:r>
        <w:rPr>
          <w:rFonts w:ascii="Arial" w:cs="Arial" w:eastAsia="Arial" w:hAnsi="Arial"/>
          <w:color w:val="333333"/>
          <w:sz w:val="22"/>
          <w:szCs w:val="22"/>
        </w:rPr>
        <w:t xml:space="preserve">Justice system reform: protecting the public, cutting reoffending, supporting victims</w:t>
      </w:r>
    </w:p>
    <w:p>
      <w:pPr>
        <w:pStyle w:val="ListParagraph"/>
        <w:numPr>
          <w:ilvl w:val="0"/>
          <w:numId w:val="2"/>
        </w:numPr>
        <w:spacing w:after="80"/>
      </w:pPr>
      <w:r>
        <w:rPr>
          <w:rFonts w:ascii="Arial" w:cs="Arial" w:eastAsia="Arial" w:hAnsi="Arial"/>
          <w:color w:val="333333"/>
          <w:sz w:val="22"/>
          <w:szCs w:val="22"/>
        </w:rPr>
        <w:t xml:space="preserve">Safer Streets Mission through the Government’s Plan for Change — reducing serious harm and increasing public confidence</w:t>
      </w:r>
    </w:p>
    <w:p>
      <w:pPr>
        <w:pStyle w:val="ListParagraph"/>
        <w:numPr>
          <w:ilvl w:val="0"/>
          <w:numId w:val="2"/>
        </w:numPr>
        <w:spacing w:after="80"/>
      </w:pPr>
      <w:r>
        <w:rPr>
          <w:rFonts w:ascii="Arial" w:cs="Arial" w:eastAsia="Arial" w:hAnsi="Arial"/>
          <w:color w:val="333333"/>
          <w:sz w:val="22"/>
          <w:szCs w:val="22"/>
        </w:rPr>
        <w:t xml:space="preserve">Prison capacity, safety and security — building on her HMPPS background</w:t>
      </w:r>
    </w:p>
    <w:p>
      <w:pPr>
        <w:pStyle w:val="ListParagraph"/>
        <w:numPr>
          <w:ilvl w:val="0"/>
          <w:numId w:val="2"/>
        </w:numPr>
        <w:spacing w:after="80"/>
      </w:pPr>
      <w:r>
        <w:rPr>
          <w:rFonts w:ascii="Arial" w:cs="Arial" w:eastAsia="Arial" w:hAnsi="Arial"/>
          <w:color w:val="333333"/>
          <w:sz w:val="22"/>
          <w:szCs w:val="22"/>
        </w:rPr>
        <w:t xml:space="preserve">Rehabilitation: addressing root causes of crime (housing, employment, family ties, education, healthcare)</w:t>
      </w:r>
    </w:p>
    <w:p>
      <w:r>
        <w:br w:type="page"/>
      </w:r>
    </w:p>
    <w:p>
      <w:pPr>
        <w:pStyle w:val="Heading1"/>
      </w:pPr>
      <w:r>
        <w:t xml:space="preserve">2. Top Citizen-Facing Services</w:t>
      </w:r>
    </w:p>
    <w:p>
      <w:pPr>
        <w:spacing w:after="120"/>
      </w:pPr>
      <w:r>
        <w:rPr>
          <w:rFonts w:ascii="Arial" w:cs="Arial" w:eastAsia="Arial" w:hAnsi="Arial"/>
          <w:color w:val="333333"/>
          <w:sz w:val="22"/>
          <w:szCs w:val="22"/>
        </w:rPr>
        <w:t xml:space="preserve">The Ministry of Justice operates 12+ major citizen-facing services through its agencies: HM Courts &amp; Tribunals Service (HMCTS), HM Prison &amp; Probation Service (HMPPS), the Legal Aid Agency (LAA), the Office of the Public Guardian (OPG), and the Criminal Injuries Compensation Authority (CICA).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Annual Volume</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Online via GOV.UK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1B3A5C"/>
                <w:sz w:val="20"/>
                <w:szCs w:val="20"/>
              </w:rPr>
              <w:t xml:space="preserve">Lasting Power of Attorney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Appoint someone to make decisions if you lose mental capacity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~1.37m applications (2024–25)</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Yes — digital service; new modernised process under Powers of Attorney Act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5C"/>
                <w:sz w:val="20"/>
                <w:szCs w:val="20"/>
              </w:rPr>
              <w:t xml:space="preserve">Probate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Administer estate of a deceased person; prove the will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~320k applications/yr; 78% digital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 — 4.9 weeks online vs 12.3 weeks paper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1B3A5C"/>
                <w:sz w:val="20"/>
                <w:szCs w:val="20"/>
              </w:rPr>
              <w:t xml:space="preserve">Divorce / Separation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End a marriage or civil partnership under no-fault law (2022 Act)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~112k applications/yr; 97% filed online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Yes — fully online service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5C"/>
                <w:sz w:val="20"/>
                <w:szCs w:val="20"/>
              </w:rPr>
              <w:t xml:space="preserve">Civil Money Claims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Claim money owed (debts, contract disputes, damages)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1.94m claims (2025); 14% increase YoY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 — Online Civil Money Claims service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1B3A5C"/>
                <w:sz w:val="20"/>
                <w:szCs w:val="20"/>
              </w:rPr>
              <w:t xml:space="preserve">Employment Tribunals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Resolve employment disputes (unfair dismissal, discrimination)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523k open claims; new claims up 54% in Q4 2025</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Yes — online submission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5C"/>
                <w:sz w:val="20"/>
                <w:szCs w:val="20"/>
              </w:rPr>
              <w:t xml:space="preserve">Legal Aid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Publicly-funded legal representation for those who cannot afford 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~971 ECF applications/quarter; £235m civil spend Q1 2025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Partial — online applications; disrupted by 2024 cyberattack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1B3A5C"/>
                <w:sz w:val="20"/>
                <w:szCs w:val="20"/>
              </w:rPr>
              <w:t xml:space="preserve">Criminal Injuries (CICA)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State compensation for victims of violent crime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42,000 applications (2023–24)</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Yes — online application form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5C"/>
                <w:sz w:val="20"/>
                <w:szCs w:val="20"/>
              </w:rPr>
              <w:t xml:space="preserve">Court Fees / Fines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Payment of civil and family court fees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Integrated into court services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 — online payment; Help with Fees scheme available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1B3A5C"/>
                <w:sz w:val="20"/>
                <w:szCs w:val="20"/>
              </w:rPr>
              <w:t xml:space="preserve">Prison Visit Booking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Book visits to see prisoners in England and Wales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Volume not published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Yes — online booking with 3-day confirmation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5C"/>
                <w:sz w:val="20"/>
                <w:szCs w:val="20"/>
              </w:rPr>
              <w:t xml:space="preserve">Jury 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Random selection of citizens to serve on juries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~347k summonses/yr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Limited — guidance and deferral online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1B3A5C"/>
                <w:sz w:val="20"/>
                <w:szCs w:val="20"/>
              </w:rPr>
              <w:t xml:space="preserve">Find a Court or Tribunal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Searchable directory of courts and tribunals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Not published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Yes — fully online search tool</w:t>
            </w:r>
          </w:p>
        </w:tc>
      </w:tr>
    </w:tbl>
    <w:p>
      <w:r>
        <w:br w:type="page"/>
      </w:r>
    </w:p>
    <w:p>
      <w:pPr>
        <w:pStyle w:val="Heading1"/>
      </w:pPr>
      <w:r>
        <w:t xml:space="preserve">3. Digital Transformation Status</w:t>
      </w:r>
    </w:p>
    <w:p>
      <w:pPr>
        <w:pStyle w:val="Heading2"/>
      </w:pPr>
      <w:r>
        <w:t xml:space="preserve">HMCTS Reform Programme (2016–2025)</w:t>
      </w:r>
    </w:p>
    <w:p>
      <w:pPr>
        <w:spacing w:after="120"/>
      </w:pPr>
      <w:r>
        <w:rPr>
          <w:rFonts w:ascii="Arial" w:cs="Arial" w:eastAsia="Arial" w:hAnsi="Arial"/>
          <w:color w:val="333333"/>
          <w:sz w:val="22"/>
          <w:szCs w:val="22"/>
        </w:rPr>
        <w:t xml:space="preserve">The decade-long, £3 billion HMCTS Reform Programme formally concluded in March 2025. It delivered 14 new digital services across all court and tribunal jurisdictions, processing over 4.1 million cases digitally since April 2019.</w:t>
      </w:r>
    </w:p>
    <w:p>
      <w:pPr>
        <w:pStyle w:val="ListParagraph"/>
        <w:numPr>
          <w:ilvl w:val="0"/>
          <w:numId w:val="2"/>
        </w:numPr>
        <w:spacing w:after="80"/>
      </w:pPr>
      <w:r>
        <w:rPr>
          <w:rFonts w:ascii="Arial" w:cs="Arial" w:eastAsia="Arial" w:hAnsi="Arial"/>
          <w:color w:val="333333"/>
          <w:sz w:val="22"/>
          <w:szCs w:val="22"/>
        </w:rPr>
        <w:t xml:space="preserve">Expected to deliver £220 million in annual savings from 2025–26 (reduced from the originally projected £244 million)</w:t>
      </w:r>
    </w:p>
    <w:p>
      <w:pPr>
        <w:pStyle w:val="ListParagraph"/>
        <w:numPr>
          <w:ilvl w:val="0"/>
          <w:numId w:val="2"/>
        </w:numPr>
        <w:spacing w:after="80"/>
      </w:pPr>
      <w:r>
        <w:rPr>
          <w:rFonts w:ascii="Arial" w:cs="Arial" w:eastAsia="Arial" w:hAnsi="Arial"/>
          <w:color w:val="333333"/>
          <w:sz w:val="22"/>
          <w:szCs w:val="22"/>
        </w:rPr>
        <w:t xml:space="preserve">Lifetime savings estimated at £2 billion through 2029–30 (down from £2.3 billion forecast in 2019)</w:t>
      </w:r>
    </w:p>
    <w:p>
      <w:pPr>
        <w:pStyle w:val="ListParagraph"/>
        <w:numPr>
          <w:ilvl w:val="0"/>
          <w:numId w:val="2"/>
        </w:numPr>
        <w:spacing w:after="80"/>
      </w:pPr>
      <w:r>
        <w:rPr>
          <w:rFonts w:ascii="Arial" w:cs="Arial" w:eastAsia="Arial" w:hAnsi="Arial"/>
          <w:color w:val="333333"/>
          <w:sz w:val="22"/>
          <w:szCs w:val="22"/>
        </w:rPr>
        <w:t xml:space="preserve">Video conferencing installed in 70% of courtrooms; 90% of Crown Courts</w:t>
      </w:r>
    </w:p>
    <w:p>
      <w:pPr>
        <w:pStyle w:val="ListParagraph"/>
        <w:numPr>
          <w:ilvl w:val="0"/>
          <w:numId w:val="2"/>
        </w:numPr>
        <w:spacing w:after="80"/>
      </w:pPr>
      <w:r>
        <w:rPr>
          <w:rFonts w:ascii="Arial" w:cs="Arial" w:eastAsia="Arial" w:hAnsi="Arial"/>
          <w:color w:val="333333"/>
          <w:sz w:val="22"/>
          <w:szCs w:val="22"/>
        </w:rPr>
        <w:t xml:space="preserve">Digital uptake: divorce 97%, probate 78%, single justice procedure 75%+</w:t>
      </w:r>
    </w:p>
    <w:p>
      <w:pPr>
        <w:pStyle w:val="Heading2"/>
      </w:pPr>
      <w:r>
        <w:t xml:space="preserve">Common Platform</w:t>
      </w:r>
    </w:p>
    <w:p>
      <w:pPr>
        <w:spacing w:after="120"/>
      </w:pPr>
      <w:r>
        <w:rPr>
          <w:rFonts w:ascii="Arial" w:cs="Arial" w:eastAsia="Arial" w:hAnsi="Arial"/>
          <w:color w:val="333333"/>
          <w:sz w:val="22"/>
          <w:szCs w:val="22"/>
        </w:rPr>
        <w:t xml:space="preserve">The unified criminal case management system connecting police, CPS, prisons, legal professionals and judiciary. Now in use across all criminal courts in England and Wales, managing 2.3+ million criminal cases as of February 2025. Defects reduced by 40% since February 2024.</w:t>
      </w:r>
    </w:p>
    <w:p>
      <w:pPr>
        <w:pStyle w:val="Heading2"/>
      </w:pPr>
      <w:r>
        <w:t xml:space="preserve">EVOLVE Programme (Legacy Modernisation)</w:t>
      </w:r>
    </w:p>
    <w:p>
      <w:pPr>
        <w:spacing w:after="120"/>
      </w:pPr>
      <w:r>
        <w:rPr>
          <w:rFonts w:ascii="Arial" w:cs="Arial" w:eastAsia="Arial" w:hAnsi="Arial"/>
          <w:color w:val="333333"/>
          <w:sz w:val="22"/>
          <w:szCs w:val="22"/>
        </w:rPr>
        <w:t xml:space="preserve">Replacing outdated monolithic contracts with modern, agile solutions across nine technology projects. Key milestones include upgrading 34,000+ users to the new MoJ Official platform, migrating the contact centre to cloud-based Genesys, and transitioning the wide area network to a new cloud contract. Delivery partner: Deloitte (£15.5 million contract).</w:t>
      </w:r>
    </w:p>
    <w:p>
      <w:pPr>
        <w:pStyle w:val="Heading2"/>
      </w:pPr>
      <w:r>
        <w:t xml:space="preserve">MoJ Digital Strategy 2025</w:t>
      </w:r>
    </w:p>
    <w:p>
      <w:pPr>
        <w:spacing w:after="120"/>
      </w:pPr>
      <w:r>
        <w:rPr>
          <w:rFonts w:ascii="Arial" w:cs="Arial" w:eastAsia="Arial" w:hAnsi="Arial"/>
          <w:color w:val="333333"/>
          <w:sz w:val="22"/>
          <w:szCs w:val="22"/>
        </w:rPr>
        <w:t xml:space="preserve">Three strategic themes: (1) becoming more flexible, (2) being data-driven, (3) user-led design. A £5 million ‘innovation bench’ contract was signed with UBDS Digital in February 2026 for early-stage digital project support.</w:t>
      </w:r>
    </w:p>
    <w:p>
      <w:pPr>
        <w:pStyle w:val="Heading2"/>
      </w:pPr>
      <w:r>
        <w:t xml:space="preserve">NAO and PAC Scrutiny</w:t>
      </w:r>
    </w:p>
    <w:p>
      <w:pPr>
        <w:pStyle w:val="ListParagraph"/>
        <w:numPr>
          <w:ilvl w:val="0"/>
          <w:numId w:val="2"/>
        </w:numPr>
        <w:spacing w:after="80"/>
      </w:pPr>
      <w:r>
        <w:rPr>
          <w:rFonts w:ascii="Arial" w:cs="Arial" w:eastAsia="Arial" w:hAnsi="Arial"/>
          <w:b/>
          <w:bCs/>
          <w:color w:val="333333"/>
          <w:sz w:val="22"/>
          <w:szCs w:val="22"/>
        </w:rPr>
        <w:t xml:space="preserve">NAO (December 2025): </w:t>
      </w:r>
      <w:r>
        <w:rPr>
          <w:rFonts w:ascii="Arial" w:cs="Arial" w:eastAsia="Arial" w:hAnsi="Arial"/>
          <w:color w:val="333333"/>
          <w:sz w:val="22"/>
          <w:szCs w:val="22"/>
        </w:rPr>
        <w:t xml:space="preserve">Clean audit opinion on MoJ 2024–25 accounts, but flagged the Legal Aid Agency cyberattack as a key concern.</w:t>
      </w:r>
    </w:p>
    <w:p>
      <w:pPr>
        <w:pStyle w:val="ListParagraph"/>
        <w:numPr>
          <w:ilvl w:val="0"/>
          <w:numId w:val="2"/>
        </w:numPr>
        <w:spacing w:after="80"/>
      </w:pPr>
      <w:r>
        <w:rPr>
          <w:rFonts w:ascii="Arial" w:cs="Arial" w:eastAsia="Arial" w:hAnsi="Arial"/>
          <w:b/>
          <w:bCs/>
          <w:color w:val="333333"/>
          <w:sz w:val="22"/>
          <w:szCs w:val="22"/>
        </w:rPr>
        <w:t xml:space="preserve">PAC (January 2026): </w:t>
      </w:r>
      <w:r>
        <w:rPr>
          <w:rFonts w:ascii="Arial" w:cs="Arial" w:eastAsia="Arial" w:hAnsi="Arial"/>
          <w:color w:val="333333"/>
          <w:sz w:val="22"/>
          <w:szCs w:val="22"/>
        </w:rPr>
        <w:t xml:space="preserve">Scathing ‘Failure at the Ministry of Justice’ report. Found ~24% of the UK population digitally excluded from justice services. Called MoJ out for not demonstrating that digitally excluded people can access legal help. Criticised £50 million spent on LAA security before a successful cyberattack still occurred.</w:t>
      </w:r>
    </w:p>
    <w:p>
      <w:pPr>
        <w:pStyle w:val="ListParagraph"/>
        <w:numPr>
          <w:ilvl w:val="0"/>
          <w:numId w:val="2"/>
        </w:numPr>
        <w:spacing w:after="80"/>
      </w:pPr>
      <w:r>
        <w:rPr>
          <w:rFonts w:ascii="Arial" w:cs="Arial" w:eastAsia="Arial" w:hAnsi="Arial"/>
          <w:b/>
          <w:bCs/>
          <w:color w:val="333333"/>
          <w:sz w:val="22"/>
          <w:szCs w:val="22"/>
        </w:rPr>
        <w:t xml:space="preserve">LAA Cyberattack: </w:t>
      </w:r>
      <w:r>
        <w:rPr>
          <w:rFonts w:ascii="Arial" w:cs="Arial" w:eastAsia="Arial" w:hAnsi="Arial"/>
          <w:color w:val="333333"/>
          <w:sz w:val="22"/>
          <w:szCs w:val="22"/>
        </w:rPr>
        <w:t xml:space="preserve">Attack began December 2024, undetected for 4 months. Exposed personal data of legal aid applicants since 2010. £20+ million allocated for LAA digital stabilisation and transformation.</w:t>
      </w:r>
    </w:p>
    <w:p>
      <w:r>
        <w:br w:type="page"/>
      </w:r>
    </w:p>
    <w:p>
      <w:pPr>
        <w:pStyle w:val="Heading1"/>
      </w:pPr>
      <w:r>
        <w:t xml:space="preserve">4. Service Performance Data</w:t>
      </w:r>
    </w:p>
    <w:p>
      <w:pPr>
        <w:pStyle w:val="Heading2"/>
      </w:pPr>
      <w:r>
        <w:t xml:space="preserve">Processing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Current Processing Time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Trend / Notes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2"/>
                <w:szCs w:val="22"/>
              </w:rPr>
              <w:t xml:space="preserve">Probate (online)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2"/>
                <w:szCs w:val="22"/>
              </w:rPr>
              <w:t xml:space="preserve">4.9 weeks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2"/>
                <w:szCs w:val="22"/>
              </w:rPr>
              <w:t xml:space="preserve">Improved from 15.8 weeks (Nov 2023)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Probate (paper)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12.3 weeks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2.5x slower than digital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2"/>
                <w:szCs w:val="22"/>
              </w:rPr>
              <w:t xml:space="preserve">Lasting Power of Attorney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2"/>
                <w:szCs w:val="22"/>
              </w:rPr>
              <w:t xml:space="preserve">8–10 weeks (incl. 4-week statutory wait)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2"/>
                <w:szCs w:val="22"/>
              </w:rPr>
              <w:t xml:space="preserve">Backlog cleared Nov 2024; rejections up 199% since 2021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Divorce (application to final order)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63–74 weeks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Increasing — up 7 weeks YoY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2"/>
                <w:szCs w:val="22"/>
              </w:rPr>
              <w:t xml:space="preserve">Employment Tribunals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2"/>
                <w:szCs w:val="22"/>
              </w:rPr>
              <w:t xml:space="preserve">Hearings scheduled into 2027–28</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2"/>
                <w:szCs w:val="22"/>
              </w:rPr>
              <w:t xml:space="preserve">New claims surged 54%; 523k open cases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Crown Court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73,000+ case backlog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Some rape cases scheduled for 2030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2"/>
                <w:szCs w:val="22"/>
              </w:rPr>
              <w:t xml:space="preserve">Family Court (care proceedings)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2"/>
                <w:szCs w:val="22"/>
              </w:rPr>
              <w:t xml:space="preserve">40 weeks to first disposal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2"/>
                <w:szCs w:val="22"/>
              </w:rPr>
              <w:t xml:space="preserve">26-week target met in only 35% of cases</w:t>
            </w:r>
          </w:p>
        </w:tc>
      </w:tr>
    </w:tbl>
    <w:p>
      <w:pPr>
        <w:spacing w:after="60"/>
      </w:pPr>
    </w:p>
    <w:p>
      <w:pPr>
        <w:pStyle w:val="Heading2"/>
      </w:pPr>
      <w:r>
        <w:t xml:space="preserve">Probation Service Performance</w:t>
      </w:r>
    </w:p>
    <w:p>
      <w:pPr>
        <w:pStyle w:val="ListParagraph"/>
        <w:numPr>
          <w:ilvl w:val="0"/>
          <w:numId w:val="2"/>
        </w:numPr>
        <w:spacing w:after="80"/>
      </w:pPr>
      <w:r>
        <w:rPr>
          <w:rFonts w:ascii="Arial" w:cs="Arial" w:eastAsia="Arial" w:hAnsi="Arial"/>
          <w:color w:val="333333"/>
          <w:sz w:val="22"/>
          <w:szCs w:val="22"/>
        </w:rPr>
        <w:t xml:space="preserve">Only 7 of 27 performance targets met in 2024–25 (down from 14 three years earlier)</w:t>
      </w:r>
    </w:p>
    <w:p>
      <w:pPr>
        <w:pStyle w:val="ListParagraph"/>
        <w:numPr>
          <w:ilvl w:val="0"/>
          <w:numId w:val="2"/>
        </w:numPr>
        <w:spacing w:after="80"/>
      </w:pPr>
      <w:r>
        <w:rPr>
          <w:rFonts w:ascii="Arial" w:cs="Arial" w:eastAsia="Arial" w:hAnsi="Arial"/>
          <w:color w:val="333333"/>
          <w:sz w:val="22"/>
          <w:szCs w:val="22"/>
        </w:rPr>
        <w:t xml:space="preserve">Risk assessment quality: only 28% adequate (down from 60% in 2018)</w:t>
      </w:r>
    </w:p>
    <w:p>
      <w:pPr>
        <w:pStyle w:val="ListParagraph"/>
        <w:numPr>
          <w:ilvl w:val="0"/>
          <w:numId w:val="2"/>
        </w:numPr>
        <w:spacing w:after="80"/>
      </w:pPr>
      <w:r>
        <w:rPr>
          <w:rFonts w:ascii="Arial" w:cs="Arial" w:eastAsia="Arial" w:hAnsi="Arial"/>
          <w:color w:val="333333"/>
          <w:sz w:val="22"/>
          <w:szCs w:val="22"/>
        </w:rPr>
        <w:t xml:space="preserve">Probation officer vacancy rate: 21% (March 2025)</w:t>
      </w:r>
    </w:p>
    <w:p>
      <w:pPr>
        <w:pStyle w:val="ListParagraph"/>
        <w:numPr>
          <w:ilvl w:val="0"/>
          <w:numId w:val="2"/>
        </w:numPr>
        <w:spacing w:after="80"/>
      </w:pPr>
      <w:r>
        <w:rPr>
          <w:rFonts w:ascii="Arial" w:cs="Arial" w:eastAsia="Arial" w:hAnsi="Arial"/>
          <w:color w:val="333333"/>
          <w:sz w:val="22"/>
          <w:szCs w:val="22"/>
        </w:rPr>
        <w:t xml:space="preserve">241,540 offenders supervised; 10 of 12 regions operating officers at &gt;100% capacity</w:t>
      </w:r>
    </w:p>
    <w:p>
      <w:pPr>
        <w:pStyle w:val="Heading2"/>
      </w:pPr>
      <w:r>
        <w:t xml:space="preserve">Digital Service Satisfaction (HMCTS Reform Evaluation, September 2025)</w:t>
      </w:r>
    </w:p>
    <w:p>
      <w:pPr>
        <w:pStyle w:val="ListParagraph"/>
        <w:numPr>
          <w:ilvl w:val="0"/>
          <w:numId w:val="2"/>
        </w:numPr>
        <w:spacing w:after="80"/>
      </w:pPr>
      <w:r>
        <w:rPr>
          <w:rFonts w:ascii="Arial" w:cs="Arial" w:eastAsia="Arial" w:hAnsi="Arial"/>
          <w:color w:val="333333"/>
          <w:sz w:val="22"/>
          <w:szCs w:val="22"/>
        </w:rPr>
        <w:t xml:space="preserve">Online Divorce: 97% found forms ‘very easy’ or ‘easy’; 88% felt kept fully informed</w:t>
      </w:r>
    </w:p>
    <w:p>
      <w:pPr>
        <w:pStyle w:val="ListParagraph"/>
        <w:numPr>
          <w:ilvl w:val="0"/>
          <w:numId w:val="2"/>
        </w:numPr>
        <w:spacing w:after="80"/>
      </w:pPr>
      <w:r>
        <w:rPr>
          <w:rFonts w:ascii="Arial" w:cs="Arial" w:eastAsia="Arial" w:hAnsi="Arial"/>
          <w:color w:val="333333"/>
          <w:sz w:val="22"/>
          <w:szCs w:val="22"/>
        </w:rPr>
        <w:t xml:space="preserve">Social Security Appeals: 85% user satisfaction</w:t>
      </w:r>
    </w:p>
    <w:p>
      <w:pPr>
        <w:pStyle w:val="ListParagraph"/>
        <w:numPr>
          <w:ilvl w:val="0"/>
          <w:numId w:val="2"/>
        </w:numPr>
        <w:spacing w:after="80"/>
      </w:pPr>
      <w:r>
        <w:rPr>
          <w:rFonts w:ascii="Arial" w:cs="Arial" w:eastAsia="Arial" w:hAnsi="Arial"/>
          <w:color w:val="333333"/>
          <w:sz w:val="22"/>
          <w:szCs w:val="22"/>
        </w:rPr>
        <w:t xml:space="preserve">Single Justice Procedure: 75%+ satisfaction; 267,000+ online pleas submitted</w:t>
      </w:r>
    </w:p>
    <w:p>
      <w:pPr>
        <w:pStyle w:val="ListParagraph"/>
        <w:numPr>
          <w:ilvl w:val="0"/>
          <w:numId w:val="2"/>
        </w:numPr>
        <w:spacing w:after="80"/>
      </w:pPr>
      <w:r>
        <w:rPr>
          <w:rFonts w:ascii="Arial" w:cs="Arial" w:eastAsia="Arial" w:hAnsi="Arial"/>
          <w:color w:val="333333"/>
          <w:sz w:val="22"/>
          <w:szCs w:val="22"/>
        </w:rPr>
        <w:t xml:space="preserve">Financial Remedy: only 44% of legal professionals satisfied with HMCTS training/guidance</w:t>
      </w:r>
    </w:p>
    <w:p>
      <w:r>
        <w:br w:type="page"/>
      </w:r>
    </w:p>
    <w:p>
      <w:pPr>
        <w:pStyle w:val="Heading1"/>
      </w:pPr>
      <w:r>
        <w:t xml:space="preserve">5. Known Pain Points</w:t>
      </w:r>
    </w:p>
    <w:p>
      <w:pPr>
        <w:pStyle w:val="Heading2"/>
      </w:pPr>
      <w:r>
        <w:t xml:space="preserve">Crown Court Backlog</w:t>
      </w:r>
    </w:p>
    <w:p>
      <w:pPr>
        <w:spacing w:after="120"/>
      </w:pPr>
      <w:r>
        <w:rPr>
          <w:rFonts w:ascii="Arial" w:cs="Arial" w:eastAsia="Arial" w:hAnsi="Arial"/>
          <w:color w:val="333333"/>
          <w:sz w:val="22"/>
          <w:szCs w:val="22"/>
        </w:rPr>
        <w:t xml:space="preserve">Record 76,957 open cases at end of March 2025, with 18,093 cases (25%) outstanding over 12 months. Over 1,600 rape cases waiting 12+ months, with some scheduled for 2030. The Victims’ Commissioner found 48% of victims experienced trial adjournments, and nearly one-third of contested cases collapse as victims withdraw. Police-CPS handoff delays average 113 days; 46% of initial submissions are returned requiring further action.</w:t>
      </w:r>
    </w:p>
    <w:p>
      <w:pPr>
        <w:pStyle w:val="Heading2"/>
      </w:pPr>
      <w:r>
        <w:t xml:space="preserve">Legal Aid Crisis</w:t>
      </w:r>
    </w:p>
    <w:p>
      <w:pPr>
        <w:spacing w:after="120"/>
      </w:pPr>
      <w:r>
        <w:rPr>
          <w:rFonts w:ascii="Arial" w:cs="Arial" w:eastAsia="Arial" w:hAnsi="Arial"/>
          <w:color w:val="333333"/>
          <w:sz w:val="22"/>
          <w:szCs w:val="22"/>
        </w:rPr>
        <w:t xml:space="preserve">A 40% drop in legal aid provider firms since 2013. Fees frozen since 1996 while CPI has increased 96.8%. A predicted third of providers will cease legal aid work. In family courts, 40% of private law cases have no legal representation. In immigration, 57% of asylum appellants had no legal representation in 2023–24. The First-tier Tribunal immigration backlog stands at 51,000 cases with an average wait of 54 weeks.</w:t>
      </w:r>
    </w:p>
    <w:p>
      <w:pPr>
        <w:pStyle w:val="Heading2"/>
      </w:pPr>
      <w:r>
        <w:t xml:space="preserve">Digital Exclusion</w:t>
      </w:r>
    </w:p>
    <w:p>
      <w:pPr>
        <w:spacing w:after="120"/>
      </w:pPr>
      <w:r>
        <w:rPr>
          <w:rFonts w:ascii="Arial" w:cs="Arial" w:eastAsia="Arial" w:hAnsi="Arial"/>
          <w:color w:val="333333"/>
          <w:sz w:val="22"/>
          <w:szCs w:val="22"/>
        </w:rPr>
        <w:t xml:space="preserve">Approximately 24% of the UK population is digitally excluded, disproportionately those most in need of justice services: homeless people, the elderly, those with low digital skills. The PAC found that MoJ and LAA cannot demonstrate that digitally excluded people can access remote-only legal advice. County court IT infrastructure remains almost non-existent in some areas, with paper-based systems and documents being lost.</w:t>
      </w:r>
    </w:p>
    <w:p>
      <w:pPr>
        <w:pStyle w:val="Heading2"/>
      </w:pPr>
      <w:r>
        <w:t xml:space="preserve">Cross-Departmental Dependencies</w:t>
      </w:r>
    </w:p>
    <w:p>
      <w:pPr>
        <w:pStyle w:val="ListParagraph"/>
        <w:numPr>
          <w:ilvl w:val="0"/>
          <w:numId w:val="2"/>
        </w:numPr>
        <w:spacing w:after="80"/>
      </w:pPr>
      <w:r>
        <w:rPr>
          <w:rFonts w:ascii="Arial" w:cs="Arial" w:eastAsia="Arial" w:hAnsi="Arial"/>
          <w:b/>
          <w:bCs/>
          <w:color w:val="333333"/>
          <w:sz w:val="22"/>
          <w:szCs w:val="22"/>
        </w:rPr>
        <w:t xml:space="preserve">Probate ↔ HMRC: </w:t>
      </w:r>
      <w:r>
        <w:rPr>
          <w:rFonts w:ascii="Arial" w:cs="Arial" w:eastAsia="Arial" w:hAnsi="Arial"/>
          <w:color w:val="333333"/>
          <w:sz w:val="22"/>
          <w:szCs w:val="22"/>
        </w:rPr>
        <w:t xml:space="preserve">Personal representatives must pay Inheritance Tax to HMRC before applying to HMCTS for probate. HMRC now emails probate codes directly, but the dependency remains a friction point.</w:t>
      </w:r>
    </w:p>
    <w:p>
      <w:pPr>
        <w:pStyle w:val="ListParagraph"/>
        <w:numPr>
          <w:ilvl w:val="0"/>
          <w:numId w:val="2"/>
        </w:numPr>
        <w:spacing w:after="80"/>
      </w:pPr>
      <w:r>
        <w:rPr>
          <w:rFonts w:ascii="Arial" w:cs="Arial" w:eastAsia="Arial" w:hAnsi="Arial"/>
          <w:b/>
          <w:bCs/>
          <w:color w:val="333333"/>
          <w:sz w:val="22"/>
          <w:szCs w:val="22"/>
        </w:rPr>
        <w:t xml:space="preserve">Probation ↔ DWP: </w:t>
      </w:r>
      <w:r>
        <w:rPr>
          <w:rFonts w:ascii="Arial" w:cs="Arial" w:eastAsia="Arial" w:hAnsi="Arial"/>
          <w:color w:val="333333"/>
          <w:sz w:val="22"/>
          <w:szCs w:val="22"/>
        </w:rPr>
        <w:t xml:space="preserve">Employment support for prison leavers requires DWP coordination, but only 1 Prison Work Coach for entire women’s prison. Competing departmental priorities hamper cross-departmental work.</w:t>
      </w:r>
    </w:p>
    <w:p>
      <w:pPr>
        <w:pStyle w:val="ListParagraph"/>
        <w:numPr>
          <w:ilvl w:val="0"/>
          <w:numId w:val="2"/>
        </w:numPr>
        <w:spacing w:after="80"/>
      </w:pPr>
      <w:r>
        <w:rPr>
          <w:rFonts w:ascii="Arial" w:cs="Arial" w:eastAsia="Arial" w:hAnsi="Arial"/>
          <w:b/>
          <w:bCs/>
          <w:color w:val="333333"/>
          <w:sz w:val="22"/>
          <w:szCs w:val="22"/>
        </w:rPr>
        <w:t xml:space="preserve">Criminal justice ↔ Police/CPS: </w:t>
      </w:r>
      <w:r>
        <w:rPr>
          <w:rFonts w:ascii="Arial" w:cs="Arial" w:eastAsia="Arial" w:hAnsi="Arial"/>
          <w:color w:val="333333"/>
          <w:sz w:val="22"/>
          <w:szCs w:val="22"/>
        </w:rPr>
        <w:t xml:space="preserve">Case handoff delays averaging 113 days are a major driver of Crown Court backlogs.</w:t>
      </w:r>
    </w:p>
    <w:p>
      <w:pPr>
        <w:pStyle w:val="ListParagraph"/>
        <w:numPr>
          <w:ilvl w:val="0"/>
          <w:numId w:val="2"/>
        </w:numPr>
        <w:spacing w:after="80"/>
      </w:pPr>
      <w:r>
        <w:rPr>
          <w:rFonts w:ascii="Arial" w:cs="Arial" w:eastAsia="Arial" w:hAnsi="Arial"/>
          <w:b/>
          <w:bCs/>
          <w:color w:val="333333"/>
          <w:sz w:val="22"/>
          <w:szCs w:val="22"/>
        </w:rPr>
        <w:t xml:space="preserve">Legal aid ↔ multiple departments: </w:t>
      </w:r>
      <w:r>
        <w:rPr>
          <w:rFonts w:ascii="Arial" w:cs="Arial" w:eastAsia="Arial" w:hAnsi="Arial"/>
          <w:color w:val="333333"/>
          <w:sz w:val="22"/>
          <w:szCs w:val="22"/>
        </w:rPr>
        <w:t xml:space="preserve">Housing and debt advice gaps require coordination across MoJ, DLUHC, and DWP.</w:t>
      </w:r>
    </w:p>
    <w:p>
      <w:pPr>
        <w:pStyle w:val="Heading2"/>
      </w:pPr>
      <w:r>
        <w:t xml:space="preserve">Cybersecurity</w:t>
      </w:r>
    </w:p>
    <w:p>
      <w:pPr>
        <w:spacing w:after="120"/>
      </w:pPr>
      <w:r>
        <w:rPr>
          <w:rFonts w:ascii="Arial" w:cs="Arial" w:eastAsia="Arial" w:hAnsi="Arial"/>
          <w:color w:val="333333"/>
          <w:sz w:val="22"/>
          <w:szCs w:val="22"/>
        </w:rPr>
        <w:t xml:space="preserve">The Legal Aid Agency cyberattack (December 2024, detected April 2025) exposed personal data of applicants since 2010, including criminal history and financial data. £50 million had been spent on security improvements before the breach. £20+ million in additional funding has been allocated for LAA digital stabilisation.</w:t>
      </w:r>
    </w:p>
    <w:p>
      <w:pPr>
        <w:pStyle w:val="Heading2"/>
      </w:pPr>
      <w:r>
        <w:t xml:space="preserve">Family Court</w:t>
      </w:r>
    </w:p>
    <w:p>
      <w:pPr>
        <w:spacing w:after="120"/>
      </w:pPr>
      <w:r>
        <w:rPr>
          <w:rFonts w:ascii="Arial" w:cs="Arial" w:eastAsia="Arial" w:hAnsi="Arial"/>
          <w:color w:val="333333"/>
          <w:sz w:val="22"/>
          <w:szCs w:val="22"/>
        </w:rPr>
        <w:t xml:space="preserve">Over 4,000 children in proceedings ongoing 2+ years as of December 2024. The government’s 26-week statutory target for care proceedings has never been achieved since 2014.</w:t>
      </w:r>
    </w:p>
    <w:p>
      <w:r>
        <w:br w:type="page"/>
      </w:r>
    </w:p>
    <w:p>
      <w:pPr>
        <w:pStyle w:val="Heading1"/>
      </w:pPr>
      <w:r>
        <w:t xml:space="preserve">6. Cost Data</w:t>
      </w:r>
    </w:p>
    <w:p>
      <w:pPr>
        <w:pStyle w:val="Heading2"/>
      </w:pPr>
      <w:r>
        <w:t xml:space="preserve">Departmental Expenditure (2024–25)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Amount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20"/>
                <w:szCs w:val="20"/>
              </w:rPr>
              <w:t xml:space="preserve">Total MoJ Expenditure (2024–25)</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£15.5 billion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HMPPS (prisons &amp; probation)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~£6.1 billion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20"/>
                <w:szCs w:val="20"/>
              </w:rPr>
              <w:t xml:space="preserve">HMCTS (courts &amp; tribunals)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£2.8 billion (operating expenditure £2,744m)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Legal Aid Agency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~£2.2 billion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20"/>
                <w:szCs w:val="20"/>
              </w:rPr>
              <w:t xml:space="preserve">OPG (Office of Public Guardian)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~£90 million (mostly fee-funded)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People costs (total)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 billion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20"/>
                <w:szCs w:val="20"/>
              </w:rPr>
              <w:t xml:space="preserve">Capital projects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£1.5 billion (mostly new prison places)</w:t>
            </w:r>
          </w:p>
        </w:tc>
      </w:tr>
    </w:tbl>
    <w:p>
      <w:pPr>
        <w:spacing w:after="60"/>
      </w:pPr>
    </w:p>
    <w:p>
      <w:pPr>
        <w:pStyle w:val="Heading2"/>
      </w:pPr>
      <w:r>
        <w:t xml:space="preserve">Unit Costs</w:t>
      </w:r>
    </w:p>
    <w:p>
      <w:pPr>
        <w:pStyle w:val="ListParagraph"/>
        <w:numPr>
          <w:ilvl w:val="0"/>
          <w:numId w:val="2"/>
        </w:numPr>
        <w:spacing w:after="80"/>
      </w:pPr>
      <w:r>
        <w:rPr>
          <w:rFonts w:ascii="Arial" w:cs="Arial" w:eastAsia="Arial" w:hAnsi="Arial"/>
          <w:color w:val="333333"/>
          <w:sz w:val="22"/>
          <w:szCs w:val="22"/>
        </w:rPr>
        <w:t xml:space="preserve">Cost per prison place: £56,987 (2023–24)</w:t>
      </w:r>
    </w:p>
    <w:p>
      <w:pPr>
        <w:pStyle w:val="ListParagraph"/>
        <w:numPr>
          <w:ilvl w:val="0"/>
          <w:numId w:val="2"/>
        </w:numPr>
        <w:spacing w:after="80"/>
      </w:pPr>
      <w:r>
        <w:rPr>
          <w:rFonts w:ascii="Arial" w:cs="Arial" w:eastAsia="Arial" w:hAnsi="Arial"/>
          <w:color w:val="333333"/>
          <w:sz w:val="22"/>
          <w:szCs w:val="22"/>
        </w:rPr>
        <w:t xml:space="preserve">Cost per prisoner: £53,801 (up from £51,108 in 2022–23)</w:t>
      </w:r>
    </w:p>
    <w:p>
      <w:pPr>
        <w:pStyle w:val="ListParagraph"/>
        <w:numPr>
          <w:ilvl w:val="0"/>
          <w:numId w:val="2"/>
        </w:numPr>
        <w:spacing w:after="80"/>
      </w:pPr>
      <w:r>
        <w:rPr>
          <w:rFonts w:ascii="Arial" w:cs="Arial" w:eastAsia="Arial" w:hAnsi="Arial"/>
          <w:color w:val="333333"/>
          <w:sz w:val="22"/>
          <w:szCs w:val="22"/>
        </w:rPr>
        <w:t xml:space="preserve">Cost per probation licence case: ~£4,500/person</w:t>
      </w:r>
    </w:p>
    <w:p>
      <w:pPr>
        <w:pStyle w:val="ListParagraph"/>
        <w:numPr>
          <w:ilvl w:val="0"/>
          <w:numId w:val="2"/>
        </w:numPr>
        <w:spacing w:after="80"/>
      </w:pPr>
      <w:r>
        <w:rPr>
          <w:rFonts w:ascii="Arial" w:cs="Arial" w:eastAsia="Arial" w:hAnsi="Arial"/>
          <w:color w:val="333333"/>
          <w:sz w:val="22"/>
          <w:szCs w:val="22"/>
        </w:rPr>
        <w:t xml:space="preserve">Cost per probation court order case: ~£3,150/person</w:t>
      </w:r>
    </w:p>
    <w:p>
      <w:pPr>
        <w:pStyle w:val="ListParagraph"/>
        <w:numPr>
          <w:ilvl w:val="0"/>
          <w:numId w:val="2"/>
        </w:numPr>
        <w:spacing w:after="80"/>
      </w:pPr>
      <w:r>
        <w:rPr>
          <w:rFonts w:ascii="Arial" w:cs="Arial" w:eastAsia="Arial" w:hAnsi="Arial"/>
          <w:color w:val="333333"/>
          <w:sz w:val="22"/>
          <w:szCs w:val="22"/>
        </w:rPr>
        <w:t xml:space="preserve">Digital transaction: as low as £0.22 (vs £6.62 by post, £4.11 by phone)</w:t>
      </w:r>
    </w:p>
    <w:p>
      <w:pPr>
        <w:pStyle w:val="Heading2"/>
      </w:pPr>
      <w:r>
        <w:t xml:space="preserve">HMCTS Spending Breakdown (2023–24)</w:t>
      </w:r>
    </w:p>
    <w:p>
      <w:pPr>
        <w:pStyle w:val="ListParagraph"/>
        <w:numPr>
          <w:ilvl w:val="0"/>
          <w:numId w:val="2"/>
        </w:numPr>
        <w:spacing w:after="80"/>
      </w:pPr>
      <w:r>
        <w:rPr>
          <w:rFonts w:ascii="Arial" w:cs="Arial" w:eastAsia="Arial" w:hAnsi="Arial"/>
          <w:color w:val="333333"/>
          <w:sz w:val="22"/>
          <w:szCs w:val="22"/>
        </w:rPr>
        <w:t xml:space="preserve">Staff costs: £701 million</w:t>
      </w:r>
    </w:p>
    <w:p>
      <w:pPr>
        <w:pStyle w:val="ListParagraph"/>
        <w:numPr>
          <w:ilvl w:val="0"/>
          <w:numId w:val="2"/>
        </w:numPr>
        <w:spacing w:after="80"/>
      </w:pPr>
      <w:r>
        <w:rPr>
          <w:rFonts w:ascii="Arial" w:cs="Arial" w:eastAsia="Arial" w:hAnsi="Arial"/>
          <w:color w:val="333333"/>
          <w:sz w:val="22"/>
          <w:szCs w:val="22"/>
        </w:rPr>
        <w:t xml:space="preserve">Judiciary costs: £678 million</w:t>
      </w:r>
    </w:p>
    <w:p>
      <w:pPr>
        <w:pStyle w:val="ListParagraph"/>
        <w:numPr>
          <w:ilvl w:val="0"/>
          <w:numId w:val="2"/>
        </w:numPr>
        <w:spacing w:after="80"/>
      </w:pPr>
      <w:r>
        <w:rPr>
          <w:rFonts w:ascii="Arial" w:cs="Arial" w:eastAsia="Arial" w:hAnsi="Arial"/>
          <w:color w:val="333333"/>
          <w:sz w:val="22"/>
          <w:szCs w:val="22"/>
        </w:rPr>
        <w:t xml:space="preserve">Accommodation, maintenance &amp; utilities: £307 million</w:t>
      </w:r>
    </w:p>
    <w:p>
      <w:pPr>
        <w:pStyle w:val="ListParagraph"/>
        <w:numPr>
          <w:ilvl w:val="0"/>
          <w:numId w:val="2"/>
        </w:numPr>
        <w:spacing w:after="80"/>
      </w:pPr>
      <w:r>
        <w:rPr>
          <w:rFonts w:ascii="Arial" w:cs="Arial" w:eastAsia="Arial" w:hAnsi="Arial"/>
          <w:color w:val="333333"/>
          <w:sz w:val="22"/>
          <w:szCs w:val="22"/>
        </w:rPr>
        <w:t xml:space="preserve">IT services: £232 million</w:t>
      </w:r>
    </w:p>
    <w:p>
      <w:pPr>
        <w:pStyle w:val="ListParagraph"/>
        <w:numPr>
          <w:ilvl w:val="0"/>
          <w:numId w:val="2"/>
        </w:numPr>
        <w:spacing w:after="80"/>
      </w:pPr>
      <w:r>
        <w:rPr>
          <w:rFonts w:ascii="Arial" w:cs="Arial" w:eastAsia="Arial" w:hAnsi="Arial"/>
          <w:color w:val="333333"/>
          <w:sz w:val="22"/>
          <w:szCs w:val="22"/>
        </w:rPr>
        <w:t xml:space="preserve">Juror costs: £36 million</w:t>
      </w:r>
    </w:p>
    <w:p>
      <w:pPr>
        <w:pStyle w:val="Heading2"/>
      </w:pPr>
      <w:r>
        <w:t xml:space="preserve">Court &amp; Tribunal Investment (2026–27)</w:t>
      </w:r>
    </w:p>
    <w:p>
      <w:pPr>
        <w:spacing w:after="120"/>
      </w:pPr>
      <w:r>
        <w:rPr>
          <w:rFonts w:ascii="Arial" w:cs="Arial" w:eastAsia="Arial" w:hAnsi="Arial"/>
          <w:color w:val="333333"/>
          <w:sz w:val="22"/>
          <w:szCs w:val="22"/>
        </w:rPr>
        <w:t xml:space="preserve">£2.785 billion total settlement agreed (up from £2.538 billion), with £287 million in capital investment for essential repairs, digital infrastructure upgrades, and modernisation.</w:t>
      </w:r>
    </w:p>
    <w:p>
      <w:pPr>
        <w:pStyle w:val="Heading2"/>
      </w:pPr>
      <w:r>
        <w:t xml:space="preserve">Efficiency Savings Targets</w:t>
      </w:r>
    </w:p>
    <w:p>
      <w:pPr>
        <w:spacing w:after="120"/>
      </w:pPr>
      <w:r>
        <w:rPr>
          <w:rFonts w:ascii="Arial" w:cs="Arial" w:eastAsia="Arial" w:hAnsi="Arial"/>
          <w:color w:val="333333"/>
          <w:sz w:val="22"/>
          <w:szCs w:val="22"/>
        </w:rPr>
        <w:t xml:space="preserve">MoJ is targeting £356 million in annual efficiency gains by 2028–29, comprising £121 million from digital reform (AI adoption, tech-enabled offender management, in-sourcing), plus commercial efficiencies and policy transformation. Tech-enabled remote check-ins for probationers could save 27,000 staff hours annually.</w:t>
      </w:r>
    </w:p>
    <w:p>
      <w:pPr>
        <w:pStyle w:val="Heading2"/>
      </w:pPr>
      <w:r>
        <w:t xml:space="preserve">Long-Term Spending Context (IFS Analysis)</w:t>
      </w:r>
    </w:p>
    <w:p>
      <w:pPr>
        <w:spacing w:after="120"/>
      </w:pPr>
      <w:r>
        <w:rPr>
          <w:rFonts w:ascii="Arial" w:cs="Arial" w:eastAsia="Arial" w:hAnsi="Arial"/>
          <w:color w:val="333333"/>
          <w:sz w:val="22"/>
          <w:szCs w:val="22"/>
        </w:rPr>
        <w:t xml:space="preserve">The 2025–26 MoJ budget of £13.5 billion (in today’s prices) is roughly one-third higher than 2019–20. However, resource (day-to-day) spending remains 14% lower than 2007–08 levels. Per-person real-terms spending is 24% lower than 2007–08. Capital investment has more than tripled since 2019–20. The IFS warns that unprotected budgets like MoJ could face real-terms cuts after 2025–26.</w:t>
      </w:r>
    </w:p>
    <w:p>
      <w:pPr>
        <w:spacing w:after="60"/>
      </w:pPr>
    </w:p>
    <w:p>
      <w:pPr>
        <w:pBdr>
          <w:top w:val="single" w:color="2E75B6" w:sz="4" w:space="8"/>
        </w:pBdr>
        <w:spacing w:before="240"/>
      </w:pPr>
      <w:r>
        <w:rPr>
          <w:rFonts w:ascii="Arial" w:cs="Arial" w:eastAsia="Arial" w:hAnsi="Arial"/>
          <w:i/>
          <w:iCs/>
          <w:color w:val="666666"/>
          <w:sz w:val="18"/>
          <w:szCs w:val="18"/>
        </w:rPr>
        <w:t xml:space="preserve">Sources: GOV.UK, NAO, PAC, House of Commons Library, IFS, Institute for Government, Victims’ Commissioner, Law Society, HMCTS Annual Report 2024–25, OPG Annual Report 2024–25, Justice Data Portal (data.justice.gov.uk). All data publicly available as of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999999"/>
        <w:sz w:val="18"/>
        <w:szCs w:val="18"/>
      </w:rPr>
      <w:t xml:space="preserve">Ministry of Justice — Department Briefing</w:t>
    </w:r>
    <w:r>
      <w:rPr>
        <w:rFonts w:ascii="Arial" w:cs="Arial" w:eastAsia="Arial" w:hAnsi="Arial"/>
        <w:i/>
        <w:iCs/>
        <w:color w:val="999999"/>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2026-03-18T17:32:21.640Z</dcterms:created>
  <dcterms:modified xsi:type="dcterms:W3CDTF">2026-03-18T17:32:21.641Z</dcterms:modified>
</cp:coreProperties>
</file>

<file path=docProps/custom.xml><?xml version="1.0" encoding="utf-8"?>
<Properties xmlns="http://schemas.openxmlformats.org/officeDocument/2006/custom-properties" xmlns:vt="http://schemas.openxmlformats.org/officeDocument/2006/docPropsVTypes"/>
</file>