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c4b5090e5029822b5eb99a0cc5b6a58f5f3b48"/>
    <w:p>
      <w:pPr>
        <w:pStyle w:val="Heading1"/>
      </w:pPr>
      <w:r>
        <w:t xml:space="preserve">CADRE NATIONAL D’INTEROPÉRABILITÉ DE SANTÉ NUMÉRIQUE</w:t>
      </w:r>
    </w:p>
    <w:bookmarkStart w:id="20" w:name="santé-numérique-madagascar"/>
    <w:p>
      <w:pPr>
        <w:pStyle w:val="Heading2"/>
      </w:pPr>
      <w:r>
        <w:t xml:space="preserve">Santé numérique — Madagascar</w:t>
      </w:r>
    </w:p>
    <w:p>
      <w:pPr>
        <w:pStyle w:val="FirstParagraph"/>
      </w:pPr>
      <w:r>
        <w:rPr>
          <w:b/>
          <w:bCs/>
        </w:rPr>
        <w:t xml:space="preserve">Sigle :</w:t>
      </w:r>
      <w:r>
        <w:t xml:space="preserve"> </w:t>
      </w:r>
      <w:r>
        <w:t xml:space="preserve">CNISN</w:t>
      </w:r>
      <w:r>
        <w:br/>
      </w:r>
      <w:r>
        <w:rPr>
          <w:b/>
          <w:bCs/>
        </w:rPr>
        <w:t xml:space="preserve">Version :</w:t>
      </w:r>
      <w:r>
        <w:t xml:space="preserve"> </w:t>
      </w:r>
      <w:r>
        <w:t xml:space="preserve">0.5</w:t>
      </w:r>
      <w:r>
        <w:br/>
      </w:r>
      <w:r>
        <w:rPr>
          <w:b/>
          <w:bCs/>
        </w:rPr>
        <w:t xml:space="preserve">Date :</w:t>
      </w:r>
      <w:r>
        <w:t xml:space="preserve"> </w:t>
      </w:r>
      <w:r>
        <w:t xml:space="preserve">Juillet 2026</w:t>
      </w:r>
      <w:r>
        <w:br/>
      </w:r>
      <w:r>
        <w:rPr>
          <w:b/>
          <w:bCs/>
        </w:rPr>
        <w:t xml:space="preserve">Statut :</w:t>
      </w:r>
      <w:r>
        <w:t xml:space="preserve"> </w:t>
      </w:r>
      <w:r>
        <w:t xml:space="preserve">Document de travail soumis à validation</w:t>
      </w:r>
      <w:r>
        <w:br/>
      </w:r>
      <w:r>
        <w:rPr>
          <w:b/>
          <w:bCs/>
        </w:rPr>
        <w:t xml:space="preserve">Document parent :</w:t>
      </w:r>
      <w:r>
        <w:t xml:space="preserve"> </w:t>
      </w:r>
      <w:r>
        <w:t xml:space="preserve">Cadre d’Architecture d’Entreprise pour la Santé Numérique — CAE-SN</w:t>
      </w:r>
      <w:r>
        <w:br/>
      </w:r>
      <w:r>
        <w:rPr>
          <w:b/>
          <w:bCs/>
        </w:rPr>
        <w:t xml:space="preserve">Cadre transversal parent :</w:t>
      </w:r>
      <w:r>
        <w:t xml:space="preserve"> </w:t>
      </w:r>
      <w:r>
        <w:t xml:space="preserve">Cadre national d’interopérabilité porté par l’Unité de Gouvernance Digitale</w:t>
      </w:r>
      <w:r>
        <w:br/>
      </w:r>
      <w:r>
        <w:rPr>
          <w:b/>
          <w:bCs/>
        </w:rPr>
        <w:t xml:space="preserve">Documents dérivés et associés :</w:t>
      </w:r>
    </w:p>
    <w:p>
      <w:pPr>
        <w:pStyle w:val="Compact"/>
        <w:numPr>
          <w:ilvl w:val="0"/>
          <w:numId w:val="1001"/>
        </w:numPr>
      </w:pPr>
      <w:r>
        <w:t xml:space="preserve">Architecture de Référence Technique pour la Santé Numérique — ART-SN ;</w:t>
      </w:r>
    </w:p>
    <w:p>
      <w:pPr>
        <w:pStyle w:val="Compact"/>
        <w:numPr>
          <w:ilvl w:val="0"/>
          <w:numId w:val="1001"/>
        </w:numPr>
      </w:pPr>
      <w:r>
        <w:t xml:space="preserve">Profil Technique d’Interopérabilité de Santé Numérique — PTISN ;</w:t>
      </w:r>
    </w:p>
    <w:p>
      <w:pPr>
        <w:pStyle w:val="Compact"/>
        <w:numPr>
          <w:ilvl w:val="0"/>
          <w:numId w:val="1001"/>
        </w:numPr>
      </w:pPr>
      <w:r>
        <w:t xml:space="preserve">catalogue national et sectoriel des services ;</w:t>
      </w:r>
    </w:p>
    <w:p>
      <w:pPr>
        <w:pStyle w:val="Compact"/>
        <w:numPr>
          <w:ilvl w:val="0"/>
          <w:numId w:val="1001"/>
        </w:numPr>
      </w:pPr>
      <w:r>
        <w:t xml:space="preserve">registre des contrats d’échange ;</w:t>
      </w:r>
    </w:p>
    <w:p>
      <w:pPr>
        <w:pStyle w:val="Compact"/>
        <w:numPr>
          <w:ilvl w:val="0"/>
          <w:numId w:val="1001"/>
        </w:numPr>
      </w:pPr>
      <w:r>
        <w:t xml:space="preserve">spécifications d’architecture propres aux initiatives ;</w:t>
      </w:r>
    </w:p>
    <w:p>
      <w:pPr>
        <w:pStyle w:val="Compact"/>
        <w:numPr>
          <w:ilvl w:val="0"/>
          <w:numId w:val="1001"/>
        </w:numPr>
      </w:pPr>
      <w:r>
        <w:t xml:space="preserve">déclarations de conformité et registres de dérogations.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réambule"/>
    <w:p>
      <w:pPr>
        <w:pStyle w:val="Heading1"/>
      </w:pPr>
      <w:r>
        <w:t xml:space="preserve">Préambule</w:t>
      </w:r>
    </w:p>
    <w:bookmarkStart w:id="22" w:name="nature-du-cadre"/>
    <w:p>
      <w:pPr>
        <w:pStyle w:val="Heading2"/>
      </w:pPr>
      <w:r>
        <w:t xml:space="preserve">1. Nature du cadre</w:t>
      </w:r>
    </w:p>
    <w:p>
      <w:pPr>
        <w:pStyle w:val="FirstParagraph"/>
      </w:pPr>
      <w:r>
        <w:t xml:space="preserve">Le Cadre National d’Interopérabilité de Santé Numérique définit les principes, capacités et règles de gouvernance applicables aux échanges de données et de services impliquant le secteur santé.</w:t>
      </w:r>
    </w:p>
    <w:p>
      <w:pPr>
        <w:pStyle w:val="BodyText"/>
      </w:pPr>
      <w:r>
        <w:t xml:space="preserve">Il constitue la déclinaison sectorielle du cadre national d’interopérabilité pour les besoins spécifiques de la santé numérique.</w:t>
      </w:r>
    </w:p>
    <w:p>
      <w:pPr>
        <w:pStyle w:val="BodyText"/>
      </w:pPr>
      <w:r>
        <w:t xml:space="preserve">Le CNISN fixe :</w:t>
      </w:r>
    </w:p>
    <w:p>
      <w:pPr>
        <w:pStyle w:val="Compact"/>
        <w:numPr>
          <w:ilvl w:val="0"/>
          <w:numId w:val="1002"/>
        </w:numPr>
      </w:pPr>
      <w:r>
        <w:t xml:space="preserve">les principes opposables ;</w:t>
      </w:r>
    </w:p>
    <w:p>
      <w:pPr>
        <w:pStyle w:val="Compact"/>
        <w:numPr>
          <w:ilvl w:val="0"/>
          <w:numId w:val="1002"/>
        </w:numPr>
      </w:pPr>
      <w:r>
        <w:t xml:space="preserve">les responsabilités institutionnelles ;</w:t>
      </w:r>
    </w:p>
    <w:p>
      <w:pPr>
        <w:pStyle w:val="Compact"/>
        <w:numPr>
          <w:ilvl w:val="0"/>
          <w:numId w:val="1002"/>
        </w:numPr>
      </w:pPr>
      <w:r>
        <w:t xml:space="preserve">les capacités nationales nécessaires ;</w:t>
      </w:r>
    </w:p>
    <w:p>
      <w:pPr>
        <w:pStyle w:val="Compact"/>
        <w:numPr>
          <w:ilvl w:val="0"/>
          <w:numId w:val="1002"/>
        </w:numPr>
      </w:pPr>
      <w:r>
        <w:t xml:space="preserve">les règles applicables aux données et services partagés ;</w:t>
      </w:r>
    </w:p>
    <w:p>
      <w:pPr>
        <w:pStyle w:val="Compact"/>
        <w:numPr>
          <w:ilvl w:val="0"/>
          <w:numId w:val="1002"/>
        </w:numPr>
      </w:pPr>
      <w:r>
        <w:t xml:space="preserve">les mécanismes de conformité ;</w:t>
      </w:r>
    </w:p>
    <w:p>
      <w:pPr>
        <w:pStyle w:val="Compact"/>
        <w:numPr>
          <w:ilvl w:val="0"/>
          <w:numId w:val="1002"/>
        </w:numPr>
      </w:pPr>
      <w:r>
        <w:t xml:space="preserve">les conditions de dérogation ;</w:t>
      </w:r>
    </w:p>
    <w:p>
      <w:pPr>
        <w:pStyle w:val="Compact"/>
        <w:numPr>
          <w:ilvl w:val="0"/>
          <w:numId w:val="1002"/>
        </w:numPr>
      </w:pPr>
      <w:r>
        <w:t xml:space="preserve">les responsabilités d’arbitrage.</w:t>
      </w:r>
    </w:p>
    <w:p>
      <w:pPr>
        <w:pStyle w:val="FirstParagraph"/>
      </w:pPr>
      <w:r>
        <w:t xml:space="preserve">Le CNISN ne sélectionne :</w:t>
      </w:r>
    </w:p>
    <w:p>
      <w:pPr>
        <w:pStyle w:val="Compact"/>
        <w:numPr>
          <w:ilvl w:val="0"/>
          <w:numId w:val="1003"/>
        </w:numPr>
      </w:pPr>
      <w:r>
        <w:t xml:space="preserve">aucun produit ;</w:t>
      </w:r>
    </w:p>
    <w:p>
      <w:pPr>
        <w:pStyle w:val="Compact"/>
        <w:numPr>
          <w:ilvl w:val="0"/>
          <w:numId w:val="1003"/>
        </w:numPr>
      </w:pPr>
      <w:r>
        <w:t xml:space="preserve">aucun fournisseur ;</w:t>
      </w:r>
    </w:p>
    <w:p>
      <w:pPr>
        <w:pStyle w:val="Compact"/>
        <w:numPr>
          <w:ilvl w:val="0"/>
          <w:numId w:val="1003"/>
        </w:numPr>
      </w:pPr>
      <w:r>
        <w:t xml:space="preserve">aucune technologie ;</w:t>
      </w:r>
    </w:p>
    <w:p>
      <w:pPr>
        <w:pStyle w:val="Compact"/>
        <w:numPr>
          <w:ilvl w:val="0"/>
          <w:numId w:val="1003"/>
        </w:numPr>
      </w:pPr>
      <w:r>
        <w:t xml:space="preserve">aucun langage ;</w:t>
      </w:r>
    </w:p>
    <w:p>
      <w:pPr>
        <w:pStyle w:val="Compact"/>
        <w:numPr>
          <w:ilvl w:val="0"/>
          <w:numId w:val="1003"/>
        </w:numPr>
      </w:pPr>
      <w:r>
        <w:t xml:space="preserve">aucune plateforme particulière.</w:t>
      </w:r>
    </w:p>
    <w:p>
      <w:pPr>
        <w:pStyle w:val="FirstParagraph"/>
      </w:pPr>
      <w:r>
        <w:t xml:space="preserve">Les contrats architecturaux et patrons sont définis dans l’ART-SN.</w:t>
      </w:r>
    </w:p>
    <w:p>
      <w:pPr>
        <w:pStyle w:val="BodyText"/>
      </w:pPr>
      <w:r>
        <w:t xml:space="preserve">Les standards, profils d’échange, versions et candidats d’implémentation sont définis dans le PTISN.</w:t>
      </w:r>
    </w:p>
    <w:p>
      <w:r>
        <w:pict>
          <v:rect style="width:0;height:1.5pt" o:hralign="center" o:hrstd="t" o:hr="t"/>
        </w:pict>
      </w:r>
    </w:p>
    <w:bookmarkEnd w:id="22"/>
    <w:bookmarkStart w:id="23" w:name="Xf6101708486cd98f327e6dfa55cef498d2e4af1"/>
    <w:p>
      <w:pPr>
        <w:pStyle w:val="Heading2"/>
      </w:pPr>
      <w:r>
        <w:t xml:space="preserve">2. Position dans la hiérarchie architecturale</w:t>
      </w:r>
    </w:p>
    <w:p>
      <w:pPr>
        <w:pStyle w:val="SourceCode"/>
      </w:pPr>
      <w:r>
        <w:rPr>
          <w:rStyle w:val="VerbatimChar"/>
        </w:rPr>
        <w:t xml:space="preserve">Cadre national d’interopérabilité</w:t>
      </w:r>
      <w:r>
        <w:br/>
      </w:r>
      <w:r>
        <w:rPr>
          <w:rStyle w:val="VerbatimChar"/>
        </w:rPr>
        <w:t xml:space="preserve">Transversal à l’ensemble de l’administration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Cadre d’Architecture d’Entreprise</w:t>
      </w:r>
      <w:r>
        <w:br/>
      </w:r>
      <w:r>
        <w:rPr>
          <w:rStyle w:val="VerbatimChar"/>
        </w:rPr>
        <w:t xml:space="preserve">pour la Santé Numérique</w:t>
      </w:r>
      <w:r>
        <w:br/>
      </w:r>
      <w:r>
        <w:rPr>
          <w:rStyle w:val="VerbatimChar"/>
        </w:rPr>
        <w:t xml:space="preserve">Value streams, capacités et gouvernance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▼                       ▼</w:t>
      </w:r>
      <w:r>
        <w:br/>
      </w:r>
      <w:r>
        <w:rPr>
          <w:rStyle w:val="VerbatimChar"/>
        </w:rPr>
        <w:t xml:space="preserve">          CNISN                    ART-SN</w:t>
      </w:r>
      <w:r>
        <w:br/>
      </w:r>
      <w:r>
        <w:rPr>
          <w:rStyle w:val="VerbatimChar"/>
        </w:rPr>
        <w:t xml:space="preserve">Principes, capacités,       Contrats de conformité</w:t>
      </w:r>
      <w:r>
        <w:br/>
      </w:r>
      <w:r>
        <w:rPr>
          <w:rStyle w:val="VerbatimChar"/>
        </w:rPr>
        <w:t xml:space="preserve">gouvernance sectorielle     et patrons architecturaux</w:t>
      </w:r>
      <w:r>
        <w:br/>
      </w:r>
      <w:r>
        <w:rPr>
          <w:rStyle w:val="VerbatimChar"/>
        </w:rPr>
        <w:t xml:space="preserve">             │                       │</w:t>
      </w:r>
      <w:r>
        <w:br/>
      </w:r>
      <w:r>
        <w:rPr>
          <w:rStyle w:val="VerbatimChar"/>
        </w:rPr>
        <w:t xml:space="preserve">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  PTISN</w:t>
      </w:r>
      <w:r>
        <w:br/>
      </w:r>
      <w:r>
        <w:rPr>
          <w:rStyle w:val="VerbatimChar"/>
        </w:rPr>
        <w:t xml:space="preserve">Standards, profils, versions et</w:t>
      </w:r>
      <w:r>
        <w:br/>
      </w:r>
      <w:r>
        <w:rPr>
          <w:rStyle w:val="VerbatimChar"/>
        </w:rPr>
        <w:t xml:space="preserve">candidats d’implémentation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Spécifications propres aux initiatives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Services et systèmes homologués</w:t>
      </w:r>
    </w:p>
    <w:p>
      <w:pPr>
        <w:pStyle w:val="FirstParagraph"/>
      </w:pPr>
      <w:r>
        <w:t xml:space="preserve">Le CNISN répond principalement à la question :</w:t>
      </w:r>
    </w:p>
    <w:p>
      <w:pPr>
        <w:pStyle w:val="BlockText"/>
      </w:pPr>
      <w:r>
        <w:t xml:space="preserve">Quelles garanties institutionnelles, fonctionnelles et de gouvernance doivent être respectées pour qu’un échange de données de santé soit reconnu comme conforme ?</w:t>
      </w:r>
    </w:p>
    <w:p>
      <w:pPr>
        <w:pStyle w:val="FirstParagraph"/>
      </w:pPr>
      <w:r>
        <w:t xml:space="preserve">L’ART-SN répond à la question :</w:t>
      </w:r>
    </w:p>
    <w:p>
      <w:pPr>
        <w:pStyle w:val="BlockText"/>
      </w:pPr>
      <w:r>
        <w:t xml:space="preserve">Quels contrats de conformité et patrons architecturaux permettent de satisfaire ces garanties ?</w:t>
      </w:r>
    </w:p>
    <w:p>
      <w:pPr>
        <w:pStyle w:val="FirstParagraph"/>
      </w:pPr>
      <w:r>
        <w:t xml:space="preserve">Le PTISN répond à la question :</w:t>
      </w:r>
    </w:p>
    <w:p>
      <w:pPr>
        <w:pStyle w:val="BlockText"/>
      </w:pPr>
      <w:r>
        <w:t xml:space="preserve">Quels standards, profils et candidats d’implémentation peuvent être utilisés pour réaliser ces contrats ?</w:t>
      </w:r>
    </w:p>
    <w:p>
      <w:r>
        <w:pict>
          <v:rect style="width:0;height:1.5pt" o:hralign="center" o:hrstd="t" o:hr="t"/>
        </w:pict>
      </w:r>
    </w:p>
    <w:bookmarkEnd w:id="23"/>
    <w:bookmarkStart w:id="24" w:name="X56e0dee1caba7b286c8663cfae56e814d4d5428"/>
    <w:p>
      <w:pPr>
        <w:pStyle w:val="Heading2"/>
      </w:pPr>
      <w:r>
        <w:t xml:space="preserve">3. Articulation avec le cadre national d’interopérabilité</w:t>
      </w:r>
    </w:p>
    <w:p>
      <w:pPr>
        <w:pStyle w:val="FirstParagraph"/>
      </w:pPr>
      <w:r>
        <w:t xml:space="preserve">Le CNISN ne se substitue pas au cadre national d’interopérabilité.</w:t>
      </w:r>
    </w:p>
    <w:p>
      <w:pPr>
        <w:pStyle w:val="BodyText"/>
      </w:pPr>
      <w:r>
        <w:t xml:space="preserve">Il en précise l’application au secteur santé et complète ses principes généraux par des exigences propres aux données et services sanitaires, notamment :</w:t>
      </w:r>
    </w:p>
    <w:p>
      <w:pPr>
        <w:pStyle w:val="Compact"/>
        <w:numPr>
          <w:ilvl w:val="0"/>
          <w:numId w:val="1004"/>
        </w:numPr>
      </w:pPr>
      <w:r>
        <w:t xml:space="preserve">la confidentialité des données de santé ;</w:t>
      </w:r>
    </w:p>
    <w:p>
      <w:pPr>
        <w:pStyle w:val="Compact"/>
        <w:numPr>
          <w:ilvl w:val="0"/>
          <w:numId w:val="1004"/>
        </w:numPr>
      </w:pPr>
      <w:r>
        <w:t xml:space="preserve">les bases d’autorisation ;</w:t>
      </w:r>
    </w:p>
    <w:p>
      <w:pPr>
        <w:pStyle w:val="Compact"/>
        <w:numPr>
          <w:ilvl w:val="0"/>
          <w:numId w:val="1004"/>
        </w:numPr>
      </w:pPr>
      <w:r>
        <w:t xml:space="preserve">la continuité des soins ;</w:t>
      </w:r>
    </w:p>
    <w:p>
      <w:pPr>
        <w:pStyle w:val="Compact"/>
        <w:numPr>
          <w:ilvl w:val="0"/>
          <w:numId w:val="1004"/>
        </w:numPr>
      </w:pPr>
      <w:r>
        <w:t xml:space="preserve">la traçabilité clinique et sanitaire ;</w:t>
      </w:r>
    </w:p>
    <w:p>
      <w:pPr>
        <w:pStyle w:val="Compact"/>
        <w:numPr>
          <w:ilvl w:val="0"/>
          <w:numId w:val="1004"/>
        </w:numPr>
      </w:pPr>
      <w:r>
        <w:t xml:space="preserve">les référentiels sectoriels ;</w:t>
      </w:r>
    </w:p>
    <w:p>
      <w:pPr>
        <w:pStyle w:val="Compact"/>
        <w:numPr>
          <w:ilvl w:val="0"/>
          <w:numId w:val="1004"/>
        </w:numPr>
      </w:pPr>
      <w:r>
        <w:t xml:space="preserve">l’identité fonctionnelle santé ;</w:t>
      </w:r>
    </w:p>
    <w:p>
      <w:pPr>
        <w:pStyle w:val="Compact"/>
        <w:numPr>
          <w:ilvl w:val="0"/>
          <w:numId w:val="1004"/>
        </w:numPr>
      </w:pPr>
      <w:r>
        <w:t xml:space="preserve">les responsabilités de santé publique ;</w:t>
      </w:r>
    </w:p>
    <w:p>
      <w:pPr>
        <w:pStyle w:val="Compact"/>
        <w:numPr>
          <w:ilvl w:val="0"/>
          <w:numId w:val="1004"/>
        </w:numPr>
      </w:pPr>
      <w:r>
        <w:t xml:space="preserve">les échanges intersectoriels ;</w:t>
      </w:r>
    </w:p>
    <w:p>
      <w:pPr>
        <w:pStyle w:val="Compact"/>
        <w:numPr>
          <w:ilvl w:val="0"/>
          <w:numId w:val="1004"/>
        </w:numPr>
      </w:pPr>
      <w:r>
        <w:t xml:space="preserve">les contraintes de résidence et de minimisation.</w:t>
      </w:r>
    </w:p>
    <w:p>
      <w:pPr>
        <w:pStyle w:val="FirstParagraph"/>
      </w:pPr>
      <w:r>
        <w:t xml:space="preserve">Toute divergence entre le CNISN et le cadre national d’interopérabilité doit faire l’objet :</w:t>
      </w:r>
    </w:p>
    <w:p>
      <w:pPr>
        <w:pStyle w:val="Compact"/>
        <w:numPr>
          <w:ilvl w:val="0"/>
          <w:numId w:val="1005"/>
        </w:numPr>
      </w:pPr>
      <w:r>
        <w:t xml:space="preserve">d’une identification formelle ;</w:t>
      </w:r>
    </w:p>
    <w:p>
      <w:pPr>
        <w:pStyle w:val="Compact"/>
        <w:numPr>
          <w:ilvl w:val="0"/>
          <w:numId w:val="1005"/>
        </w:numPr>
      </w:pPr>
      <w:r>
        <w:t xml:space="preserve">d’une analyse conjointe ;</w:t>
      </w:r>
    </w:p>
    <w:p>
      <w:pPr>
        <w:pStyle w:val="Compact"/>
        <w:numPr>
          <w:ilvl w:val="0"/>
          <w:numId w:val="1005"/>
        </w:numPr>
      </w:pPr>
      <w:r>
        <w:t xml:space="preserve">d’une décision de l’instance sectorielle compétente ;</w:t>
      </w:r>
    </w:p>
    <w:p>
      <w:pPr>
        <w:pStyle w:val="Compact"/>
        <w:numPr>
          <w:ilvl w:val="0"/>
          <w:numId w:val="1005"/>
        </w:numPr>
      </w:pPr>
      <w:r>
        <w:t xml:space="preserve">d’une validation par l’instance nationale compétente ;</w:t>
      </w:r>
    </w:p>
    <w:p>
      <w:pPr>
        <w:pStyle w:val="Compact"/>
        <w:numPr>
          <w:ilvl w:val="0"/>
          <w:numId w:val="1005"/>
        </w:numPr>
      </w:pPr>
      <w:r>
        <w:t xml:space="preserve">d’une dérogation enregistrée lorsque la divergence subsiste.</w:t>
      </w:r>
    </w:p>
    <w:p>
      <w:r>
        <w:pict>
          <v:rect style="width:0;height:1.5pt" o:hralign="center" o:hrstd="t" o:hr="t"/>
        </w:pict>
      </w:r>
    </w:p>
    <w:bookmarkEnd w:id="24"/>
    <w:bookmarkStart w:id="25" w:name="portée"/>
    <w:p>
      <w:pPr>
        <w:pStyle w:val="Heading2"/>
      </w:pPr>
      <w:r>
        <w:t xml:space="preserve">4. Portée</w:t>
      </w:r>
    </w:p>
    <w:p>
      <w:pPr>
        <w:pStyle w:val="FirstParagraph"/>
      </w:pPr>
      <w:r>
        <w:t xml:space="preserve">Le CNISN s’applique à tout échange de données, de commandes ou de services impliquant au moins un acteur ou système du secteur santé.</w:t>
      </w:r>
    </w:p>
    <w:p>
      <w:pPr>
        <w:pStyle w:val="BodyText"/>
      </w:pPr>
      <w:r>
        <w:t xml:space="preserve">Il couvre notamment :</w:t>
      </w:r>
    </w:p>
    <w:p>
      <w:pPr>
        <w:pStyle w:val="Compact"/>
        <w:numPr>
          <w:ilvl w:val="0"/>
          <w:numId w:val="1006"/>
        </w:numPr>
      </w:pPr>
      <w:r>
        <w:t xml:space="preserve">les échanges entre systèmes du Ministère de la Santé ;</w:t>
      </w:r>
    </w:p>
    <w:p>
      <w:pPr>
        <w:pStyle w:val="Compact"/>
        <w:numPr>
          <w:ilvl w:val="0"/>
          <w:numId w:val="1006"/>
        </w:numPr>
      </w:pPr>
      <w:r>
        <w:t xml:space="preserve">les échanges avec les établissements sanitaires ;</w:t>
      </w:r>
    </w:p>
    <w:p>
      <w:pPr>
        <w:pStyle w:val="Compact"/>
        <w:numPr>
          <w:ilvl w:val="0"/>
          <w:numId w:val="1006"/>
        </w:numPr>
      </w:pPr>
      <w:r>
        <w:t xml:space="preserve">les échanges avec les professionnels de santé ;</w:t>
      </w:r>
    </w:p>
    <w:p>
      <w:pPr>
        <w:pStyle w:val="Compact"/>
        <w:numPr>
          <w:ilvl w:val="0"/>
          <w:numId w:val="1006"/>
        </w:numPr>
      </w:pPr>
      <w:r>
        <w:t xml:space="preserve">les échanges avec les collectivités territoriales ;</w:t>
      </w:r>
    </w:p>
    <w:p>
      <w:pPr>
        <w:pStyle w:val="Compact"/>
        <w:numPr>
          <w:ilvl w:val="0"/>
          <w:numId w:val="1006"/>
        </w:numPr>
      </w:pPr>
      <w:r>
        <w:t xml:space="preserve">les échanges avec d’autres ministères ;</w:t>
      </w:r>
    </w:p>
    <w:p>
      <w:pPr>
        <w:pStyle w:val="Compact"/>
        <w:numPr>
          <w:ilvl w:val="0"/>
          <w:numId w:val="1006"/>
        </w:numPr>
      </w:pPr>
      <w:r>
        <w:t xml:space="preserve">les échanges avec des organismes de protection sociale ;</w:t>
      </w:r>
    </w:p>
    <w:p>
      <w:pPr>
        <w:pStyle w:val="Compact"/>
        <w:numPr>
          <w:ilvl w:val="0"/>
          <w:numId w:val="1006"/>
        </w:numPr>
      </w:pPr>
      <w:r>
        <w:t xml:space="preserve">les échanges avec les registres nationaux ;</w:t>
      </w:r>
    </w:p>
    <w:p>
      <w:pPr>
        <w:pStyle w:val="Compact"/>
        <w:numPr>
          <w:ilvl w:val="0"/>
          <w:numId w:val="1006"/>
        </w:numPr>
      </w:pPr>
      <w:r>
        <w:t xml:space="preserve">les échanges avec des partenaires autorisés ;</w:t>
      </w:r>
    </w:p>
    <w:p>
      <w:pPr>
        <w:pStyle w:val="Compact"/>
        <w:numPr>
          <w:ilvl w:val="0"/>
          <w:numId w:val="1006"/>
        </w:numPr>
      </w:pPr>
      <w:r>
        <w:t xml:space="preserve">les échanges entre plateformes publiques et privées ;</w:t>
      </w:r>
    </w:p>
    <w:p>
      <w:pPr>
        <w:pStyle w:val="Compact"/>
        <w:numPr>
          <w:ilvl w:val="0"/>
          <w:numId w:val="1006"/>
        </w:numPr>
      </w:pPr>
      <w:r>
        <w:t xml:space="preserve">les services de consultation, notification, synchronisation et publication ;</w:t>
      </w:r>
    </w:p>
    <w:p>
      <w:pPr>
        <w:pStyle w:val="Compact"/>
        <w:numPr>
          <w:ilvl w:val="0"/>
          <w:numId w:val="1006"/>
        </w:numPr>
      </w:pPr>
      <w:r>
        <w:t xml:space="preserve">les données opérationnelles, analytiques et de référence.</w:t>
      </w:r>
    </w:p>
    <w:p>
      <w:pPr>
        <w:pStyle w:val="FirstParagraph"/>
      </w:pPr>
      <w:r>
        <w:t xml:space="preserve">Il s’applique aux échanges :</w:t>
      </w:r>
    </w:p>
    <w:p>
      <w:pPr>
        <w:pStyle w:val="Compact"/>
        <w:numPr>
          <w:ilvl w:val="0"/>
          <w:numId w:val="1007"/>
        </w:numPr>
      </w:pPr>
      <w:r>
        <w:t xml:space="preserve">synchrones ;</w:t>
      </w:r>
    </w:p>
    <w:p>
      <w:pPr>
        <w:pStyle w:val="Compact"/>
        <w:numPr>
          <w:ilvl w:val="0"/>
          <w:numId w:val="1007"/>
        </w:numPr>
      </w:pPr>
      <w:r>
        <w:t xml:space="preserve">asynchrones ;</w:t>
      </w:r>
    </w:p>
    <w:p>
      <w:pPr>
        <w:pStyle w:val="Compact"/>
        <w:numPr>
          <w:ilvl w:val="0"/>
          <w:numId w:val="1007"/>
        </w:numPr>
      </w:pPr>
      <w:r>
        <w:t xml:space="preserve">centralisés ;</w:t>
      </w:r>
    </w:p>
    <w:p>
      <w:pPr>
        <w:pStyle w:val="Compact"/>
        <w:numPr>
          <w:ilvl w:val="0"/>
          <w:numId w:val="1007"/>
        </w:numPr>
      </w:pPr>
      <w:r>
        <w:t xml:space="preserve">fédérés ;</w:t>
      </w:r>
    </w:p>
    <w:p>
      <w:pPr>
        <w:pStyle w:val="Compact"/>
        <w:numPr>
          <w:ilvl w:val="0"/>
          <w:numId w:val="1007"/>
        </w:numPr>
      </w:pPr>
      <w:r>
        <w:t xml:space="preserve">en ligne ;</w:t>
      </w:r>
    </w:p>
    <w:p>
      <w:pPr>
        <w:pStyle w:val="Compact"/>
        <w:numPr>
          <w:ilvl w:val="0"/>
          <w:numId w:val="1007"/>
        </w:numPr>
      </w:pPr>
      <w:r>
        <w:t xml:space="preserve">hors ligne avec synchronisation différée ;</w:t>
      </w:r>
    </w:p>
    <w:p>
      <w:pPr>
        <w:pStyle w:val="Compact"/>
        <w:numPr>
          <w:ilvl w:val="0"/>
          <w:numId w:val="1007"/>
        </w:numPr>
      </w:pPr>
      <w:r>
        <w:t xml:space="preserve">internes au secteur ;</w:t>
      </w:r>
    </w:p>
    <w:p>
      <w:pPr>
        <w:pStyle w:val="Compact"/>
        <w:numPr>
          <w:ilvl w:val="0"/>
          <w:numId w:val="1007"/>
        </w:numPr>
      </w:pPr>
      <w:r>
        <w:t xml:space="preserve">interinstitutionnels ;</w:t>
      </w:r>
    </w:p>
    <w:p>
      <w:pPr>
        <w:pStyle w:val="Compact"/>
        <w:numPr>
          <w:ilvl w:val="0"/>
          <w:numId w:val="1007"/>
        </w:numPr>
      </w:pPr>
      <w:r>
        <w:t xml:space="preserve">intersectoriels.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4a1370920e69fde74ab3b2c8a86e35284884a36"/>
    <w:p>
      <w:pPr>
        <w:pStyle w:val="Heading1"/>
      </w:pPr>
      <w:r>
        <w:t xml:space="preserve">PARTIE I — PRINCIPES NATIONAUX D’INTEROPÉRABILITÉ DE SANTÉ</w:t>
      </w:r>
    </w:p>
    <w:bookmarkEnd w:id="27"/>
    <w:bookmarkStart w:id="32" w:name="Xed9639a205632dea45bbf3614637a2166340b1c"/>
    <w:p>
      <w:pPr>
        <w:pStyle w:val="Heading1"/>
      </w:pPr>
      <w:r>
        <w:t xml:space="preserve">Catégorie A — Autorité et données de référence</w:t>
      </w:r>
    </w:p>
    <w:bookmarkStart w:id="28" w:name="p-int-01-autorité-désignée"/>
    <w:p>
      <w:pPr>
        <w:pStyle w:val="Heading2"/>
      </w:pPr>
      <w:r>
        <w:t xml:space="preserve">P-INT-01 — Autorité désignée</w:t>
      </w:r>
    </w:p>
    <w:p>
      <w:pPr>
        <w:pStyle w:val="FirstParagraph"/>
      </w:pPr>
      <w:r>
        <w:t xml:space="preserve">Toute donnée de référence partagée doit disposer :</w:t>
      </w:r>
    </w:p>
    <w:p>
      <w:pPr>
        <w:pStyle w:val="Compact"/>
        <w:numPr>
          <w:ilvl w:val="0"/>
          <w:numId w:val="1008"/>
        </w:numPr>
      </w:pPr>
      <w:r>
        <w:t xml:space="preserve">d’une autorité fonctionnelle désignée ;</w:t>
      </w:r>
    </w:p>
    <w:p>
      <w:pPr>
        <w:pStyle w:val="Compact"/>
        <w:numPr>
          <w:ilvl w:val="0"/>
          <w:numId w:val="1008"/>
        </w:numPr>
      </w:pPr>
      <w:r>
        <w:t xml:space="preserve">d’un mécanisme officiel de résolution ;</w:t>
      </w:r>
    </w:p>
    <w:p>
      <w:pPr>
        <w:pStyle w:val="Compact"/>
        <w:numPr>
          <w:ilvl w:val="0"/>
          <w:numId w:val="1008"/>
        </w:numPr>
      </w:pPr>
      <w:r>
        <w:t xml:space="preserve">d’une politique de gouvernance ;</w:t>
      </w:r>
    </w:p>
    <w:p>
      <w:pPr>
        <w:pStyle w:val="Compact"/>
        <w:numPr>
          <w:ilvl w:val="0"/>
          <w:numId w:val="1008"/>
        </w:numPr>
      </w:pPr>
      <w:r>
        <w:t xml:space="preserve">d’un identifiant stable ;</w:t>
      </w:r>
    </w:p>
    <w:p>
      <w:pPr>
        <w:pStyle w:val="Compact"/>
        <w:numPr>
          <w:ilvl w:val="0"/>
          <w:numId w:val="1008"/>
        </w:numPr>
      </w:pPr>
      <w:r>
        <w:t xml:space="preserve">d’une responsabilité de maintenance.</w:t>
      </w:r>
    </w:p>
    <w:p>
      <w:pPr>
        <w:pStyle w:val="FirstParagraph"/>
      </w:pPr>
      <w:r>
        <w:t xml:space="preserve">L’autorité peut être mise en œuvre par un référentiel :</w:t>
      </w:r>
    </w:p>
    <w:p>
      <w:pPr>
        <w:pStyle w:val="Compact"/>
        <w:numPr>
          <w:ilvl w:val="0"/>
          <w:numId w:val="1009"/>
        </w:numPr>
      </w:pPr>
      <w:r>
        <w:t xml:space="preserve">centralisé ;</w:t>
      </w:r>
    </w:p>
    <w:p>
      <w:pPr>
        <w:pStyle w:val="Compact"/>
        <w:numPr>
          <w:ilvl w:val="0"/>
          <w:numId w:val="1009"/>
        </w:numPr>
      </w:pPr>
      <w:r>
        <w:t xml:space="preserve">fédéré ;</w:t>
      </w:r>
    </w:p>
    <w:p>
      <w:pPr>
        <w:pStyle w:val="Compact"/>
        <w:numPr>
          <w:ilvl w:val="0"/>
          <w:numId w:val="1009"/>
        </w:numPr>
      </w:pPr>
      <w:r>
        <w:t xml:space="preserve">distribué.</w:t>
      </w:r>
    </w:p>
    <w:p>
      <w:pPr>
        <w:pStyle w:val="FirstParagraph"/>
      </w:pPr>
      <w:r>
        <w:t xml:space="preserve">Le principe d’autorité nationale ne signifie pas nécessairement qu’une seule base physique centralisée doit contenir toutes les données.</w:t>
      </w:r>
    </w:p>
    <w:p>
      <w:pPr>
        <w:pStyle w:val="BodyText"/>
      </w:pPr>
      <w:r>
        <w:t xml:space="preserve">Il signifie qu’une règle non ambiguë doit déterminer :</w:t>
      </w:r>
    </w:p>
    <w:p>
      <w:pPr>
        <w:pStyle w:val="Compact"/>
        <w:numPr>
          <w:ilvl w:val="0"/>
          <w:numId w:val="1010"/>
        </w:numPr>
      </w:pPr>
      <w:r>
        <w:t xml:space="preserve">qui fait autorité ;</w:t>
      </w:r>
    </w:p>
    <w:p>
      <w:pPr>
        <w:pStyle w:val="Compact"/>
        <w:numPr>
          <w:ilvl w:val="0"/>
          <w:numId w:val="1010"/>
        </w:numPr>
      </w:pPr>
      <w:r>
        <w:t xml:space="preserve">quelle donnée fait foi ;</w:t>
      </w:r>
    </w:p>
    <w:p>
      <w:pPr>
        <w:pStyle w:val="Compact"/>
        <w:numPr>
          <w:ilvl w:val="0"/>
          <w:numId w:val="1010"/>
        </w:numPr>
      </w:pPr>
      <w:r>
        <w:t xml:space="preserve">comment elle est résolue ;</w:t>
      </w:r>
    </w:p>
    <w:p>
      <w:pPr>
        <w:pStyle w:val="Compact"/>
        <w:numPr>
          <w:ilvl w:val="0"/>
          <w:numId w:val="1010"/>
        </w:numPr>
      </w:pPr>
      <w:r>
        <w:t xml:space="preserve">comment un conflit est arbitré.</w:t>
      </w:r>
    </w:p>
    <w:p>
      <w:r>
        <w:pict>
          <v:rect style="width:0;height:1.5pt" o:hralign="center" o:hrstd="t" o:hr="t"/>
        </w:pict>
      </w:r>
    </w:p>
    <w:bookmarkEnd w:id="28"/>
    <w:bookmarkStart w:id="29" w:name="p-int-02-résolution-contre-lautorité"/>
    <w:p>
      <w:pPr>
        <w:pStyle w:val="Heading2"/>
      </w:pPr>
      <w:r>
        <w:t xml:space="preserve">P-INT-02 — Résolution contre l’autorité</w:t>
      </w:r>
    </w:p>
    <w:p>
      <w:pPr>
        <w:pStyle w:val="FirstParagraph"/>
      </w:pPr>
      <w:r>
        <w:t xml:space="preserve">Tout système utilisant une donnée de référence partagée doit résoudre cette donnée contre l’autorité désignée.</w:t>
      </w:r>
    </w:p>
    <w:p>
      <w:pPr>
        <w:pStyle w:val="BodyText"/>
      </w:pPr>
      <w:r>
        <w:t xml:space="preserve">Un système ne doit pas créer ou maintenir de manière indépendante une valeur concurrente prétendant faire autorité sur le même domaine.</w:t>
      </w:r>
    </w:p>
    <w:p>
      <w:pPr>
        <w:pStyle w:val="BodyText"/>
      </w:pPr>
      <w:r>
        <w:t xml:space="preserve">Les domaines concernés comprennent notamment :</w:t>
      </w:r>
    </w:p>
    <w:p>
      <w:pPr>
        <w:pStyle w:val="Compact"/>
        <w:numPr>
          <w:ilvl w:val="0"/>
          <w:numId w:val="1011"/>
        </w:numPr>
      </w:pPr>
      <w:r>
        <w:t xml:space="preserve">les bénéficiaires ;</w:t>
      </w:r>
    </w:p>
    <w:p>
      <w:pPr>
        <w:pStyle w:val="Compact"/>
        <w:numPr>
          <w:ilvl w:val="0"/>
          <w:numId w:val="1011"/>
        </w:numPr>
      </w:pPr>
      <w:r>
        <w:t xml:space="preserve">les professionnels de santé ;</w:t>
      </w:r>
    </w:p>
    <w:p>
      <w:pPr>
        <w:pStyle w:val="Compact"/>
        <w:numPr>
          <w:ilvl w:val="0"/>
          <w:numId w:val="1011"/>
        </w:numPr>
      </w:pPr>
      <w:r>
        <w:t xml:space="preserve">les structures et services ;</w:t>
      </w:r>
    </w:p>
    <w:p>
      <w:pPr>
        <w:pStyle w:val="Compact"/>
        <w:numPr>
          <w:ilvl w:val="0"/>
          <w:numId w:val="1011"/>
        </w:numPr>
      </w:pPr>
      <w:r>
        <w:t xml:space="preserve">les terminologies ;</w:t>
      </w:r>
    </w:p>
    <w:p>
      <w:pPr>
        <w:pStyle w:val="Compact"/>
        <w:numPr>
          <w:ilvl w:val="0"/>
          <w:numId w:val="1011"/>
        </w:numPr>
      </w:pPr>
      <w:r>
        <w:t xml:space="preserve">les produits de santé ;</w:t>
      </w:r>
    </w:p>
    <w:p>
      <w:pPr>
        <w:pStyle w:val="Compact"/>
        <w:numPr>
          <w:ilvl w:val="0"/>
          <w:numId w:val="1011"/>
        </w:numPr>
      </w:pPr>
      <w:r>
        <w:t xml:space="preserve">les programmes ;</w:t>
      </w:r>
    </w:p>
    <w:p>
      <w:pPr>
        <w:pStyle w:val="Compact"/>
        <w:numPr>
          <w:ilvl w:val="0"/>
          <w:numId w:val="1011"/>
        </w:numPr>
      </w:pPr>
      <w:r>
        <w:t xml:space="preserve">les territoires ;</w:t>
      </w:r>
    </w:p>
    <w:p>
      <w:pPr>
        <w:pStyle w:val="Compact"/>
        <w:numPr>
          <w:ilvl w:val="0"/>
          <w:numId w:val="1011"/>
        </w:numPr>
      </w:pPr>
      <w:r>
        <w:t xml:space="preserve">les droits et couvertures.</w:t>
      </w:r>
    </w:p>
    <w:p>
      <w:r>
        <w:pict>
          <v:rect style="width:0;height:1.5pt" o:hralign="center" o:hrstd="t" o:hr="t"/>
        </w:pict>
      </w:r>
    </w:p>
    <w:bookmarkEnd w:id="29"/>
    <w:bookmarkStart w:id="30" w:name="X249f09725f1ed592f1467eaaeac68a7e9a229e1"/>
    <w:p>
      <w:pPr>
        <w:pStyle w:val="Heading2"/>
      </w:pPr>
      <w:r>
        <w:t xml:space="preserve">P-INT-03 — Copies locales non autoritatives</w:t>
      </w:r>
    </w:p>
    <w:p>
      <w:pPr>
        <w:pStyle w:val="FirstParagraph"/>
      </w:pPr>
      <w:r>
        <w:t xml:space="preserve">Des copies locales, caches, répliques ou extraits hors ligne peuvent être utilisés lorsque les besoins de performance, de résilience ou de connectivité le justifient.</w:t>
      </w:r>
    </w:p>
    <w:p>
      <w:pPr>
        <w:pStyle w:val="BodyText"/>
      </w:pPr>
      <w:r>
        <w:t xml:space="preserve">Ces copies doivent être :</w:t>
      </w:r>
    </w:p>
    <w:p>
      <w:pPr>
        <w:pStyle w:val="Compact"/>
        <w:numPr>
          <w:ilvl w:val="0"/>
          <w:numId w:val="1012"/>
        </w:numPr>
      </w:pPr>
      <w:r>
        <w:t xml:space="preserve">explicitement non autoritatives ;</w:t>
      </w:r>
    </w:p>
    <w:p>
      <w:pPr>
        <w:pStyle w:val="Compact"/>
        <w:numPr>
          <w:ilvl w:val="0"/>
          <w:numId w:val="1012"/>
        </w:numPr>
      </w:pPr>
      <w:r>
        <w:t xml:space="preserve">associées à une source ;</w:t>
      </w:r>
    </w:p>
    <w:p>
      <w:pPr>
        <w:pStyle w:val="Compact"/>
        <w:numPr>
          <w:ilvl w:val="0"/>
          <w:numId w:val="1012"/>
        </w:numPr>
      </w:pPr>
      <w:r>
        <w:t xml:space="preserve">datées ;</w:t>
      </w:r>
    </w:p>
    <w:p>
      <w:pPr>
        <w:pStyle w:val="Compact"/>
        <w:numPr>
          <w:ilvl w:val="0"/>
          <w:numId w:val="1012"/>
        </w:numPr>
      </w:pPr>
      <w:r>
        <w:t xml:space="preserve">versionnées ;</w:t>
      </w:r>
    </w:p>
    <w:p>
      <w:pPr>
        <w:pStyle w:val="Compact"/>
        <w:numPr>
          <w:ilvl w:val="0"/>
          <w:numId w:val="1012"/>
        </w:numPr>
      </w:pPr>
      <w:r>
        <w:t xml:space="preserve">synchronisées ;</w:t>
      </w:r>
    </w:p>
    <w:p>
      <w:pPr>
        <w:pStyle w:val="Compact"/>
        <w:numPr>
          <w:ilvl w:val="0"/>
          <w:numId w:val="1012"/>
        </w:numPr>
      </w:pPr>
      <w:r>
        <w:t xml:space="preserve">soumises à une politique d’expiration ;</w:t>
      </w:r>
    </w:p>
    <w:p>
      <w:pPr>
        <w:pStyle w:val="Compact"/>
        <w:numPr>
          <w:ilvl w:val="0"/>
          <w:numId w:val="1012"/>
        </w:numPr>
      </w:pPr>
      <w:r>
        <w:t xml:space="preserve">remplacées ou réconciliées lorsqu’une version plus récente est disponible.</w:t>
      </w:r>
    </w:p>
    <w:p>
      <w:pPr>
        <w:pStyle w:val="FirstParagraph"/>
      </w:pPr>
      <w:r>
        <w:t xml:space="preserve">Une copie locale ne doit pas devenir implicitement une nouvelle source faisant autorité.</w:t>
      </w:r>
    </w:p>
    <w:p>
      <w:r>
        <w:pict>
          <v:rect style="width:0;height:1.5pt" o:hralign="center" o:hrstd="t" o:hr="t"/>
        </w:pict>
      </w:r>
    </w:p>
    <w:bookmarkEnd w:id="30"/>
    <w:bookmarkStart w:id="31" w:name="p-int-04-historisation-des-références"/>
    <w:p>
      <w:pPr>
        <w:pStyle w:val="Heading2"/>
      </w:pPr>
      <w:r>
        <w:t xml:space="preserve">P-INT-04 — Historisation des références</w:t>
      </w:r>
    </w:p>
    <w:p>
      <w:pPr>
        <w:pStyle w:val="FirstParagraph"/>
      </w:pPr>
      <w:r>
        <w:t xml:space="preserve">Toute donnée de référence susceptible d’évoluer doit être versionnée dans le temps.</w:t>
      </w:r>
    </w:p>
    <w:p>
      <w:pPr>
        <w:pStyle w:val="BodyText"/>
      </w:pPr>
      <w:r>
        <w:t xml:space="preserve">Une mise à jour ne doit pas rendre impossible la compréhension d’une situation historique.</w:t>
      </w:r>
    </w:p>
    <w:p>
      <w:pPr>
        <w:pStyle w:val="BodyText"/>
      </w:pPr>
      <w:r>
        <w:t xml:space="preserve">Les analyses et décisions historiques doivent pouvoir utiliser la version de référence applicable à la période concernée.</w:t>
      </w:r>
    </w:p>
    <w:p>
      <w:pPr>
        <w:pStyle w:val="BodyText"/>
      </w:pPr>
      <w:r>
        <w:t xml:space="preserve">Les correspondances entre deux référentiels doivent également être :</w:t>
      </w:r>
    </w:p>
    <w:p>
      <w:pPr>
        <w:pStyle w:val="Compact"/>
        <w:numPr>
          <w:ilvl w:val="0"/>
          <w:numId w:val="1013"/>
        </w:numPr>
      </w:pPr>
      <w:r>
        <w:t xml:space="preserve">gouvernées ;</w:t>
      </w:r>
    </w:p>
    <w:p>
      <w:pPr>
        <w:pStyle w:val="Compact"/>
        <w:numPr>
          <w:ilvl w:val="0"/>
          <w:numId w:val="1013"/>
        </w:numPr>
      </w:pPr>
      <w:r>
        <w:t xml:space="preserve">versionnées ;</w:t>
      </w:r>
    </w:p>
    <w:p>
      <w:pPr>
        <w:pStyle w:val="Compact"/>
        <w:numPr>
          <w:ilvl w:val="0"/>
          <w:numId w:val="1013"/>
        </w:numPr>
      </w:pPr>
      <w:r>
        <w:t xml:space="preserve">datées ;</w:t>
      </w:r>
    </w:p>
    <w:p>
      <w:pPr>
        <w:pStyle w:val="Compact"/>
        <w:numPr>
          <w:ilvl w:val="0"/>
          <w:numId w:val="1013"/>
        </w:numPr>
      </w:pPr>
      <w:r>
        <w:t xml:space="preserve">réconciliées.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X4f520c22fb7fdc374b47ce13d29f7cc81a55ae8"/>
    <w:p>
      <w:pPr>
        <w:pStyle w:val="Heading1"/>
      </w:pPr>
      <w:r>
        <w:t xml:space="preserve">Catégorie B — Contractualisation des échanges et services</w:t>
      </w:r>
    </w:p>
    <w:bookmarkStart w:id="33" w:name="p-int-05-contrat-explicite"/>
    <w:p>
      <w:pPr>
        <w:pStyle w:val="Heading2"/>
      </w:pPr>
      <w:r>
        <w:t xml:space="preserve">P-INT-05 — Contrat explicite</w:t>
      </w:r>
    </w:p>
    <w:p>
      <w:pPr>
        <w:pStyle w:val="FirstParagraph"/>
      </w:pPr>
      <w:r>
        <w:t xml:space="preserve">Tout échange entre deux systèmes doit être régi par un contrat explicite.</w:t>
      </w:r>
    </w:p>
    <w:p>
      <w:pPr>
        <w:pStyle w:val="BodyText"/>
      </w:pPr>
      <w:r>
        <w:t xml:space="preserve">Le contrat doit préciser au minimum :</w:t>
      </w:r>
    </w:p>
    <w:p>
      <w:pPr>
        <w:pStyle w:val="Compact"/>
        <w:numPr>
          <w:ilvl w:val="0"/>
          <w:numId w:val="1014"/>
        </w:numPr>
      </w:pPr>
      <w:r>
        <w:t xml:space="preserve">le producteur ;</w:t>
      </w:r>
    </w:p>
    <w:p>
      <w:pPr>
        <w:pStyle w:val="Compact"/>
        <w:numPr>
          <w:ilvl w:val="0"/>
          <w:numId w:val="1014"/>
        </w:numPr>
      </w:pPr>
      <w:r>
        <w:t xml:space="preserve">le consommateur ;</w:t>
      </w:r>
    </w:p>
    <w:p>
      <w:pPr>
        <w:pStyle w:val="Compact"/>
        <w:numPr>
          <w:ilvl w:val="0"/>
          <w:numId w:val="1014"/>
        </w:numPr>
      </w:pPr>
      <w:r>
        <w:t xml:space="preserve">le propriétaire fonctionnel ;</w:t>
      </w:r>
    </w:p>
    <w:p>
      <w:pPr>
        <w:pStyle w:val="Compact"/>
        <w:numPr>
          <w:ilvl w:val="0"/>
          <w:numId w:val="1014"/>
        </w:numPr>
      </w:pPr>
      <w:r>
        <w:t xml:space="preserve">les données échangées ;</w:t>
      </w:r>
    </w:p>
    <w:p>
      <w:pPr>
        <w:pStyle w:val="Compact"/>
        <w:numPr>
          <w:ilvl w:val="0"/>
          <w:numId w:val="1014"/>
        </w:numPr>
      </w:pPr>
      <w:r>
        <w:t xml:space="preserve">la finalité ;</w:t>
      </w:r>
    </w:p>
    <w:p>
      <w:pPr>
        <w:pStyle w:val="Compact"/>
        <w:numPr>
          <w:ilvl w:val="0"/>
          <w:numId w:val="1014"/>
        </w:numPr>
      </w:pPr>
      <w:r>
        <w:t xml:space="preserve">les responsabilités ;</w:t>
      </w:r>
    </w:p>
    <w:p>
      <w:pPr>
        <w:pStyle w:val="Compact"/>
        <w:numPr>
          <w:ilvl w:val="0"/>
          <w:numId w:val="1014"/>
        </w:numPr>
      </w:pPr>
      <w:r>
        <w:t xml:space="preserve">la version ;</w:t>
      </w:r>
    </w:p>
    <w:p>
      <w:pPr>
        <w:pStyle w:val="Compact"/>
        <w:numPr>
          <w:ilvl w:val="0"/>
          <w:numId w:val="1014"/>
        </w:numPr>
      </w:pPr>
      <w:r>
        <w:t xml:space="preserve">les règles de sécurité ;</w:t>
      </w:r>
    </w:p>
    <w:p>
      <w:pPr>
        <w:pStyle w:val="Compact"/>
        <w:numPr>
          <w:ilvl w:val="0"/>
          <w:numId w:val="1014"/>
        </w:numPr>
      </w:pPr>
      <w:r>
        <w:t xml:space="preserve">les erreurs possibles ;</w:t>
      </w:r>
    </w:p>
    <w:p>
      <w:pPr>
        <w:pStyle w:val="Compact"/>
        <w:numPr>
          <w:ilvl w:val="0"/>
          <w:numId w:val="1014"/>
        </w:numPr>
      </w:pPr>
      <w:r>
        <w:t xml:space="preserve">les niveaux de service ;</w:t>
      </w:r>
    </w:p>
    <w:p>
      <w:pPr>
        <w:pStyle w:val="Compact"/>
        <w:numPr>
          <w:ilvl w:val="0"/>
          <w:numId w:val="1014"/>
        </w:numPr>
      </w:pPr>
      <w:r>
        <w:t xml:space="preserve">la politique d’évolution.</w:t>
      </w:r>
    </w:p>
    <w:p>
      <w:pPr>
        <w:pStyle w:val="FirstParagraph"/>
      </w:pPr>
      <w:r>
        <w:t xml:space="preserve">Aucune intégration durable ne doit dépendre uniquement :</w:t>
      </w:r>
    </w:p>
    <w:p>
      <w:pPr>
        <w:pStyle w:val="Compact"/>
        <w:numPr>
          <w:ilvl w:val="0"/>
          <w:numId w:val="1015"/>
        </w:numPr>
      </w:pPr>
      <w:r>
        <w:t xml:space="preserve">d’une connaissance informelle ;</w:t>
      </w:r>
    </w:p>
    <w:p>
      <w:pPr>
        <w:pStyle w:val="Compact"/>
        <w:numPr>
          <w:ilvl w:val="0"/>
          <w:numId w:val="1015"/>
        </w:numPr>
      </w:pPr>
      <w:r>
        <w:t xml:space="preserve">d’un accord verbal ;</w:t>
      </w:r>
    </w:p>
    <w:p>
      <w:pPr>
        <w:pStyle w:val="Compact"/>
        <w:numPr>
          <w:ilvl w:val="0"/>
          <w:numId w:val="1015"/>
        </w:numPr>
      </w:pPr>
      <w:r>
        <w:t xml:space="preserve">d’un format non documenté ;</w:t>
      </w:r>
    </w:p>
    <w:p>
      <w:pPr>
        <w:pStyle w:val="Compact"/>
        <w:numPr>
          <w:ilvl w:val="0"/>
          <w:numId w:val="1015"/>
        </w:numPr>
      </w:pPr>
      <w:r>
        <w:t xml:space="preserve">d’un accès direct non gouverné ;</w:t>
      </w:r>
    </w:p>
    <w:p>
      <w:pPr>
        <w:pStyle w:val="Compact"/>
        <w:numPr>
          <w:ilvl w:val="0"/>
          <w:numId w:val="1015"/>
        </w:numPr>
      </w:pPr>
      <w:r>
        <w:t xml:space="preserve">d’une dépendance à une personne déterminée.</w:t>
      </w:r>
    </w:p>
    <w:p>
      <w:r>
        <w:pict>
          <v:rect style="width:0;height:1.5pt" o:hralign="center" o:hrstd="t" o:hr="t"/>
        </w:pict>
      </w:r>
    </w:p>
    <w:bookmarkEnd w:id="33"/>
    <w:bookmarkStart w:id="34" w:name="p-int-06-versionnement-et-compatibilité"/>
    <w:p>
      <w:pPr>
        <w:pStyle w:val="Heading2"/>
      </w:pPr>
      <w:r>
        <w:t xml:space="preserve">P-INT-06 — Versionnement et compatibilité</w:t>
      </w:r>
    </w:p>
    <w:p>
      <w:pPr>
        <w:pStyle w:val="FirstParagraph"/>
      </w:pPr>
      <w:r>
        <w:t xml:space="preserve">Tout contrat d’échange doit être versionné.</w:t>
      </w:r>
    </w:p>
    <w:p>
      <w:pPr>
        <w:pStyle w:val="BodyText"/>
      </w:pPr>
      <w:r>
        <w:t xml:space="preserve">Avant toute évolution, les règles suivantes doivent être documentées :</w:t>
      </w:r>
    </w:p>
    <w:p>
      <w:pPr>
        <w:pStyle w:val="Compact"/>
        <w:numPr>
          <w:ilvl w:val="0"/>
          <w:numId w:val="1016"/>
        </w:numPr>
      </w:pPr>
      <w:r>
        <w:t xml:space="preserve">compatibilité avec les producteurs existants ;</w:t>
      </w:r>
    </w:p>
    <w:p>
      <w:pPr>
        <w:pStyle w:val="Compact"/>
        <w:numPr>
          <w:ilvl w:val="0"/>
          <w:numId w:val="1016"/>
        </w:numPr>
      </w:pPr>
      <w:r>
        <w:t xml:space="preserve">compatibilité avec les consommateurs existants ;</w:t>
      </w:r>
    </w:p>
    <w:p>
      <w:pPr>
        <w:pStyle w:val="Compact"/>
        <w:numPr>
          <w:ilvl w:val="0"/>
          <w:numId w:val="1016"/>
        </w:numPr>
      </w:pPr>
      <w:r>
        <w:t xml:space="preserve">période de coexistence ;</w:t>
      </w:r>
    </w:p>
    <w:p>
      <w:pPr>
        <w:pStyle w:val="Compact"/>
        <w:numPr>
          <w:ilvl w:val="0"/>
          <w:numId w:val="1016"/>
        </w:numPr>
      </w:pPr>
      <w:r>
        <w:t xml:space="preserve">mécanisme de migration ;</w:t>
      </w:r>
    </w:p>
    <w:p>
      <w:pPr>
        <w:pStyle w:val="Compact"/>
        <w:numPr>
          <w:ilvl w:val="0"/>
          <w:numId w:val="1016"/>
        </w:numPr>
      </w:pPr>
      <w:r>
        <w:t xml:space="preserve">date de dépréciation ;</w:t>
      </w:r>
    </w:p>
    <w:p>
      <w:pPr>
        <w:pStyle w:val="Compact"/>
        <w:numPr>
          <w:ilvl w:val="0"/>
          <w:numId w:val="1016"/>
        </w:numPr>
      </w:pPr>
      <w:r>
        <w:t xml:space="preserve">date de retrait ;</w:t>
      </w:r>
    </w:p>
    <w:p>
      <w:pPr>
        <w:pStyle w:val="Compact"/>
        <w:numPr>
          <w:ilvl w:val="0"/>
          <w:numId w:val="1016"/>
        </w:numPr>
      </w:pPr>
      <w:r>
        <w:t xml:space="preserve">responsabilités de mise à niveau.</w:t>
      </w:r>
    </w:p>
    <w:p>
      <w:pPr>
        <w:pStyle w:val="FirstParagraph"/>
      </w:pPr>
      <w:r>
        <w:t xml:space="preserve">Aucune modification ne doit rompre silencieusement un système déjà intégré.</w:t>
      </w:r>
    </w:p>
    <w:p>
      <w:r>
        <w:pict>
          <v:rect style="width:0;height:1.5pt" o:hralign="center" o:hrstd="t" o:hr="t"/>
        </w:pict>
      </w:r>
    </w:p>
    <w:bookmarkEnd w:id="34"/>
    <w:bookmarkStart w:id="35" w:name="p-int-07-responsabilité-de-la-donnée"/>
    <w:p>
      <w:pPr>
        <w:pStyle w:val="Heading2"/>
      </w:pPr>
      <w:r>
        <w:t xml:space="preserve">P-INT-07 — Responsabilité de la donnée</w:t>
      </w:r>
    </w:p>
    <w:p>
      <w:pPr>
        <w:pStyle w:val="FirstParagraph"/>
      </w:pPr>
      <w:r>
        <w:t xml:space="preserve">Pour chaque donnée ou événement échangé, les responsabilités suivantes doivent être explicites :</w:t>
      </w:r>
    </w:p>
    <w:p>
      <w:pPr>
        <w:pStyle w:val="Compact"/>
        <w:numPr>
          <w:ilvl w:val="0"/>
          <w:numId w:val="1017"/>
        </w:numPr>
      </w:pPr>
      <w:r>
        <w:t xml:space="preserve">source autoritative de l’état courant ;</w:t>
      </w:r>
    </w:p>
    <w:p>
      <w:pPr>
        <w:pStyle w:val="Compact"/>
        <w:numPr>
          <w:ilvl w:val="0"/>
          <w:numId w:val="1017"/>
        </w:numPr>
      </w:pPr>
      <w:r>
        <w:t xml:space="preserve">propriétaire fonctionnel ;</w:t>
      </w:r>
    </w:p>
    <w:p>
      <w:pPr>
        <w:pStyle w:val="Compact"/>
        <w:numPr>
          <w:ilvl w:val="0"/>
          <w:numId w:val="1017"/>
        </w:numPr>
      </w:pPr>
      <w:r>
        <w:t xml:space="preserve">responsable technique ;</w:t>
      </w:r>
    </w:p>
    <w:p>
      <w:pPr>
        <w:pStyle w:val="Compact"/>
        <w:numPr>
          <w:ilvl w:val="0"/>
          <w:numId w:val="1017"/>
        </w:numPr>
      </w:pPr>
      <w:r>
        <w:t xml:space="preserve">producteur ;</w:t>
      </w:r>
    </w:p>
    <w:p>
      <w:pPr>
        <w:pStyle w:val="Compact"/>
        <w:numPr>
          <w:ilvl w:val="0"/>
          <w:numId w:val="1017"/>
        </w:numPr>
      </w:pPr>
      <w:r>
        <w:t xml:space="preserve">consommateur ;</w:t>
      </w:r>
    </w:p>
    <w:p>
      <w:pPr>
        <w:pStyle w:val="Compact"/>
        <w:numPr>
          <w:ilvl w:val="0"/>
          <w:numId w:val="1017"/>
        </w:numPr>
      </w:pPr>
      <w:r>
        <w:t xml:space="preserve">responsable de la qualité ;</w:t>
      </w:r>
    </w:p>
    <w:p>
      <w:pPr>
        <w:pStyle w:val="Compact"/>
        <w:numPr>
          <w:ilvl w:val="0"/>
          <w:numId w:val="1017"/>
        </w:numPr>
      </w:pPr>
      <w:r>
        <w:t xml:space="preserve">responsable de la correction ;</w:t>
      </w:r>
    </w:p>
    <w:p>
      <w:pPr>
        <w:pStyle w:val="Compact"/>
        <w:numPr>
          <w:ilvl w:val="0"/>
          <w:numId w:val="1017"/>
        </w:numPr>
      </w:pPr>
      <w:r>
        <w:t xml:space="preserve">responsable de la conservation.</w:t>
      </w:r>
    </w:p>
    <w:p>
      <w:pPr>
        <w:pStyle w:val="FirstParagraph"/>
      </w:pPr>
      <w:r>
        <w:t xml:space="preserve">Aucun composant ne doit être déclaré « source unique de vérité » sans préciser la responsabilité exacte concernée.</w:t>
      </w:r>
    </w:p>
    <w:p>
      <w:pPr>
        <w:pStyle w:val="BodyText"/>
      </w:pPr>
      <w:r>
        <w:t xml:space="preserve">Il convient de distinguer :</w:t>
      </w:r>
    </w:p>
    <w:p>
      <w:pPr>
        <w:pStyle w:val="Compact"/>
        <w:numPr>
          <w:ilvl w:val="0"/>
          <w:numId w:val="1018"/>
        </w:numPr>
      </w:pPr>
      <w:r>
        <w:t xml:space="preserve">l’état opérationnel courant ;</w:t>
      </w:r>
    </w:p>
    <w:p>
      <w:pPr>
        <w:pStyle w:val="Compact"/>
        <w:numPr>
          <w:ilvl w:val="0"/>
          <w:numId w:val="1018"/>
        </w:numPr>
      </w:pPr>
      <w:r>
        <w:t xml:space="preserve">l’historique capturé ;</w:t>
      </w:r>
    </w:p>
    <w:p>
      <w:pPr>
        <w:pStyle w:val="Compact"/>
        <w:numPr>
          <w:ilvl w:val="0"/>
          <w:numId w:val="1018"/>
        </w:numPr>
      </w:pPr>
      <w:r>
        <w:t xml:space="preserve">la preuve de réception ;</w:t>
      </w:r>
    </w:p>
    <w:p>
      <w:pPr>
        <w:pStyle w:val="Compact"/>
        <w:numPr>
          <w:ilvl w:val="0"/>
          <w:numId w:val="1018"/>
        </w:numPr>
      </w:pPr>
      <w:r>
        <w:t xml:space="preserve">les métadonnées ;</w:t>
      </w:r>
    </w:p>
    <w:p>
      <w:pPr>
        <w:pStyle w:val="Compact"/>
        <w:numPr>
          <w:ilvl w:val="0"/>
          <w:numId w:val="1018"/>
        </w:numPr>
      </w:pPr>
      <w:r>
        <w:t xml:space="preserve">la projection analytique ;</w:t>
      </w:r>
    </w:p>
    <w:p>
      <w:pPr>
        <w:pStyle w:val="Compact"/>
        <w:numPr>
          <w:ilvl w:val="0"/>
          <w:numId w:val="1018"/>
        </w:numPr>
      </w:pPr>
      <w:r>
        <w:t xml:space="preserve">la restitution.</w:t>
      </w:r>
    </w:p>
    <w:p>
      <w:r>
        <w:pict>
          <v:rect style="width:0;height:1.5pt" o:hralign="center" o:hrstd="t" o:hr="t"/>
        </w:pict>
      </w:r>
    </w:p>
    <w:bookmarkEnd w:id="35"/>
    <w:bookmarkStart w:id="36" w:name="Xd12a58e6ebffd714022b452a06c4b3c742bf3ca"/>
    <w:p>
      <w:pPr>
        <w:pStyle w:val="Heading2"/>
      </w:pPr>
      <w:r>
        <w:t xml:space="preserve">P-INT-08 — Publication au catalogue des services</w:t>
      </w:r>
    </w:p>
    <w:p>
      <w:pPr>
        <w:pStyle w:val="FirstParagraph"/>
      </w:pPr>
      <w:r>
        <w:t xml:space="preserve">Tout service partagé ou exposé à plusieurs systèmes doit être enregistré dans le catalogue national ou sectoriel applicable.</w:t>
      </w:r>
    </w:p>
    <w:p>
      <w:pPr>
        <w:pStyle w:val="BodyText"/>
      </w:pPr>
      <w:r>
        <w:t xml:space="preserve">L’enregistrement doit inclure :</w:t>
      </w:r>
    </w:p>
    <w:p>
      <w:pPr>
        <w:pStyle w:val="Compact"/>
        <w:numPr>
          <w:ilvl w:val="0"/>
          <w:numId w:val="1019"/>
        </w:numPr>
      </w:pPr>
      <w:r>
        <w:t xml:space="preserve">le nom du service ;</w:t>
      </w:r>
    </w:p>
    <w:p>
      <w:pPr>
        <w:pStyle w:val="Compact"/>
        <w:numPr>
          <w:ilvl w:val="0"/>
          <w:numId w:val="1019"/>
        </w:numPr>
      </w:pPr>
      <w:r>
        <w:t xml:space="preserve">la finalité ;</w:t>
      </w:r>
    </w:p>
    <w:p>
      <w:pPr>
        <w:pStyle w:val="Compact"/>
        <w:numPr>
          <w:ilvl w:val="0"/>
          <w:numId w:val="1019"/>
        </w:numPr>
      </w:pPr>
      <w:r>
        <w:t xml:space="preserve">le propriétaire ;</w:t>
      </w:r>
    </w:p>
    <w:p>
      <w:pPr>
        <w:pStyle w:val="Compact"/>
        <w:numPr>
          <w:ilvl w:val="0"/>
          <w:numId w:val="1019"/>
        </w:numPr>
      </w:pPr>
      <w:r>
        <w:t xml:space="preserve">le fournisseur ;</w:t>
      </w:r>
    </w:p>
    <w:p>
      <w:pPr>
        <w:pStyle w:val="Compact"/>
        <w:numPr>
          <w:ilvl w:val="0"/>
          <w:numId w:val="1019"/>
        </w:numPr>
      </w:pPr>
      <w:r>
        <w:t xml:space="preserve">les consommateurs ;</w:t>
      </w:r>
    </w:p>
    <w:p>
      <w:pPr>
        <w:pStyle w:val="Compact"/>
        <w:numPr>
          <w:ilvl w:val="0"/>
          <w:numId w:val="1019"/>
        </w:numPr>
      </w:pPr>
      <w:r>
        <w:t xml:space="preserve">la version ;</w:t>
      </w:r>
    </w:p>
    <w:p>
      <w:pPr>
        <w:pStyle w:val="Compact"/>
        <w:numPr>
          <w:ilvl w:val="0"/>
          <w:numId w:val="1019"/>
        </w:numPr>
      </w:pPr>
      <w:r>
        <w:t xml:space="preserve">les conditions d’accès ;</w:t>
      </w:r>
    </w:p>
    <w:p>
      <w:pPr>
        <w:pStyle w:val="Compact"/>
        <w:numPr>
          <w:ilvl w:val="0"/>
          <w:numId w:val="1019"/>
        </w:numPr>
      </w:pPr>
      <w:r>
        <w:t xml:space="preserve">le niveau de service ;</w:t>
      </w:r>
    </w:p>
    <w:p>
      <w:pPr>
        <w:pStyle w:val="Compact"/>
        <w:numPr>
          <w:ilvl w:val="0"/>
          <w:numId w:val="1019"/>
        </w:numPr>
      </w:pPr>
      <w:r>
        <w:t xml:space="preserve">le statut ;</w:t>
      </w:r>
    </w:p>
    <w:p>
      <w:pPr>
        <w:pStyle w:val="Compact"/>
        <w:numPr>
          <w:ilvl w:val="0"/>
          <w:numId w:val="1019"/>
        </w:numPr>
      </w:pPr>
      <w:r>
        <w:t xml:space="preserve">les environnements disponibles ;</w:t>
      </w:r>
    </w:p>
    <w:p>
      <w:pPr>
        <w:pStyle w:val="Compact"/>
        <w:numPr>
          <w:ilvl w:val="0"/>
          <w:numId w:val="1019"/>
        </w:numPr>
      </w:pPr>
      <w:r>
        <w:t xml:space="preserve">les contacts opérationnels.</w:t>
      </w:r>
    </w:p>
    <w:p>
      <w:pPr>
        <w:pStyle w:val="FirstParagraph"/>
      </w:pPr>
      <w:r>
        <w:t xml:space="preserve">Un service non enregistré ne doit pas être considéré comme un service national ou sectoriel officiel.</w:t>
      </w:r>
    </w:p>
    <w:p>
      <w:r>
        <w:pict>
          <v:rect style="width:0;height:1.5pt" o:hralign="center" o:hrstd="t" o:hr="t"/>
        </w:pict>
      </w:r>
    </w:p>
    <w:bookmarkEnd w:id="36"/>
    <w:bookmarkStart w:id="37" w:name="p-int-09-publication-des-contrats"/>
    <w:p>
      <w:pPr>
        <w:pStyle w:val="Heading2"/>
      </w:pPr>
      <w:r>
        <w:t xml:space="preserve">P-INT-09 — Publication des contrats</w:t>
      </w:r>
    </w:p>
    <w:p>
      <w:pPr>
        <w:pStyle w:val="FirstParagraph"/>
      </w:pPr>
      <w:r>
        <w:t xml:space="preserve">Tout contrat d’interface, d’événement, de notification ou de fichier doit être publié dans un registre gouverné.</w:t>
      </w:r>
    </w:p>
    <w:p>
      <w:pPr>
        <w:pStyle w:val="BodyText"/>
      </w:pPr>
      <w:r>
        <w:t xml:space="preserve">Ce registre doit permettre de connaître :</w:t>
      </w:r>
    </w:p>
    <w:p>
      <w:pPr>
        <w:pStyle w:val="Compact"/>
        <w:numPr>
          <w:ilvl w:val="0"/>
          <w:numId w:val="1020"/>
        </w:numPr>
      </w:pPr>
      <w:r>
        <w:t xml:space="preserve">les versions actives ;</w:t>
      </w:r>
    </w:p>
    <w:p>
      <w:pPr>
        <w:pStyle w:val="Compact"/>
        <w:numPr>
          <w:ilvl w:val="0"/>
          <w:numId w:val="1020"/>
        </w:numPr>
      </w:pPr>
      <w:r>
        <w:t xml:space="preserve">les versions en transition ;</w:t>
      </w:r>
    </w:p>
    <w:p>
      <w:pPr>
        <w:pStyle w:val="Compact"/>
        <w:numPr>
          <w:ilvl w:val="0"/>
          <w:numId w:val="1020"/>
        </w:numPr>
      </w:pPr>
      <w:r>
        <w:t xml:space="preserve">les versions dépréciées ;</w:t>
      </w:r>
    </w:p>
    <w:p>
      <w:pPr>
        <w:pStyle w:val="Compact"/>
        <w:numPr>
          <w:ilvl w:val="0"/>
          <w:numId w:val="1020"/>
        </w:numPr>
      </w:pPr>
      <w:r>
        <w:t xml:space="preserve">les propriétaires ;</w:t>
      </w:r>
    </w:p>
    <w:p>
      <w:pPr>
        <w:pStyle w:val="Compact"/>
        <w:numPr>
          <w:ilvl w:val="0"/>
          <w:numId w:val="1020"/>
        </w:numPr>
      </w:pPr>
      <w:r>
        <w:t xml:space="preserve">les producteurs ;</w:t>
      </w:r>
    </w:p>
    <w:p>
      <w:pPr>
        <w:pStyle w:val="Compact"/>
        <w:numPr>
          <w:ilvl w:val="0"/>
          <w:numId w:val="1020"/>
        </w:numPr>
      </w:pPr>
      <w:r>
        <w:t xml:space="preserve">les consommateurs ;</w:t>
      </w:r>
    </w:p>
    <w:p>
      <w:pPr>
        <w:pStyle w:val="Compact"/>
        <w:numPr>
          <w:ilvl w:val="0"/>
          <w:numId w:val="1020"/>
        </w:numPr>
      </w:pPr>
      <w:r>
        <w:t xml:space="preserve">les règles de compatibilité ;</w:t>
      </w:r>
    </w:p>
    <w:p>
      <w:pPr>
        <w:pStyle w:val="Compact"/>
        <w:numPr>
          <w:ilvl w:val="0"/>
          <w:numId w:val="1020"/>
        </w:numPr>
      </w:pPr>
      <w:r>
        <w:t xml:space="preserve">les extensions nationales.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6ac670bf61abd88d294f83bccc829b2572428e7"/>
    <w:p>
      <w:pPr>
        <w:pStyle w:val="Heading1"/>
      </w:pPr>
      <w:r>
        <w:t xml:space="preserve">Catégorie C — Gouvernance interinstitutionnelle</w:t>
      </w:r>
    </w:p>
    <w:bookmarkStart w:id="39" w:name="p-int-10-accord-préalable"/>
    <w:p>
      <w:pPr>
        <w:pStyle w:val="Heading2"/>
      </w:pPr>
      <w:r>
        <w:t xml:space="preserve">P-INT-10 — Accord préalable</w:t>
      </w:r>
    </w:p>
    <w:p>
      <w:pPr>
        <w:pStyle w:val="FirstParagraph"/>
      </w:pPr>
      <w:r>
        <w:t xml:space="preserve">Toute intégration impliquant une source ou un consommateur relevant d’une autorité différente doit être couverte par un accord explicite.</w:t>
      </w:r>
    </w:p>
    <w:p>
      <w:pPr>
        <w:pStyle w:val="BodyText"/>
      </w:pPr>
      <w:r>
        <w:t xml:space="preserve">L’accord doit être validé avant la mise en production de l’échange.</w:t>
      </w:r>
    </w:p>
    <w:p>
      <w:pPr>
        <w:pStyle w:val="BodyText"/>
      </w:pPr>
      <w:r>
        <w:t xml:space="preserve">Il doit préciser :</w:t>
      </w:r>
    </w:p>
    <w:p>
      <w:pPr>
        <w:pStyle w:val="Compact"/>
        <w:numPr>
          <w:ilvl w:val="0"/>
          <w:numId w:val="1021"/>
        </w:numPr>
      </w:pPr>
      <w:r>
        <w:t xml:space="preserve">la finalité ;</w:t>
      </w:r>
    </w:p>
    <w:p>
      <w:pPr>
        <w:pStyle w:val="Compact"/>
        <w:numPr>
          <w:ilvl w:val="0"/>
          <w:numId w:val="1021"/>
        </w:numPr>
      </w:pPr>
      <w:r>
        <w:t xml:space="preserve">le périmètre ;</w:t>
      </w:r>
    </w:p>
    <w:p>
      <w:pPr>
        <w:pStyle w:val="Compact"/>
        <w:numPr>
          <w:ilvl w:val="0"/>
          <w:numId w:val="1021"/>
        </w:numPr>
      </w:pPr>
      <w:r>
        <w:t xml:space="preserve">les données ;</w:t>
      </w:r>
    </w:p>
    <w:p>
      <w:pPr>
        <w:pStyle w:val="Compact"/>
        <w:numPr>
          <w:ilvl w:val="0"/>
          <w:numId w:val="1021"/>
        </w:numPr>
      </w:pPr>
      <w:r>
        <w:t xml:space="preserve">les responsabilités ;</w:t>
      </w:r>
    </w:p>
    <w:p>
      <w:pPr>
        <w:pStyle w:val="Compact"/>
        <w:numPr>
          <w:ilvl w:val="0"/>
          <w:numId w:val="1021"/>
        </w:numPr>
      </w:pPr>
      <w:r>
        <w:t xml:space="preserve">les usages autorisés ;</w:t>
      </w:r>
    </w:p>
    <w:p>
      <w:pPr>
        <w:pStyle w:val="Compact"/>
        <w:numPr>
          <w:ilvl w:val="0"/>
          <w:numId w:val="1021"/>
        </w:numPr>
      </w:pPr>
      <w:r>
        <w:t xml:space="preserve">la résidence ;</w:t>
      </w:r>
    </w:p>
    <w:p>
      <w:pPr>
        <w:pStyle w:val="Compact"/>
        <w:numPr>
          <w:ilvl w:val="0"/>
          <w:numId w:val="1021"/>
        </w:numPr>
      </w:pPr>
      <w:r>
        <w:t xml:space="preserve">la conservation ;</w:t>
      </w:r>
    </w:p>
    <w:p>
      <w:pPr>
        <w:pStyle w:val="Compact"/>
        <w:numPr>
          <w:ilvl w:val="0"/>
          <w:numId w:val="1021"/>
        </w:numPr>
      </w:pPr>
      <w:r>
        <w:t xml:space="preserve">la sécurité ;</w:t>
      </w:r>
    </w:p>
    <w:p>
      <w:pPr>
        <w:pStyle w:val="Compact"/>
        <w:numPr>
          <w:ilvl w:val="0"/>
          <w:numId w:val="1021"/>
        </w:numPr>
      </w:pPr>
      <w:r>
        <w:t xml:space="preserve">les incidents ;</w:t>
      </w:r>
    </w:p>
    <w:p>
      <w:pPr>
        <w:pStyle w:val="Compact"/>
        <w:numPr>
          <w:ilvl w:val="0"/>
          <w:numId w:val="1021"/>
        </w:numPr>
      </w:pPr>
      <w:r>
        <w:t xml:space="preserve">l’arbitrage ;</w:t>
      </w:r>
    </w:p>
    <w:p>
      <w:pPr>
        <w:pStyle w:val="Compact"/>
        <w:numPr>
          <w:ilvl w:val="0"/>
          <w:numId w:val="1021"/>
        </w:numPr>
      </w:pPr>
      <w:r>
        <w:t xml:space="preserve">la sortie de l’accord.</w:t>
      </w:r>
    </w:p>
    <w:p>
      <w:pPr>
        <w:pStyle w:val="FirstParagraph"/>
      </w:pPr>
      <w:r>
        <w:t xml:space="preserve">Une intégration technique ne peut pas compenser l’absence d’un accord de gouvernance.</w:t>
      </w:r>
    </w:p>
    <w:p>
      <w:r>
        <w:pict>
          <v:rect style="width:0;height:1.5pt" o:hralign="center" o:hrstd="t" o:hr="t"/>
        </w:pict>
      </w:r>
    </w:p>
    <w:bookmarkEnd w:id="39"/>
    <w:bookmarkStart w:id="40" w:name="Xdc349cf2894d5170a166fa305558b297de3d489"/>
    <w:p>
      <w:pPr>
        <w:pStyle w:val="Heading2"/>
      </w:pPr>
      <w:r>
        <w:t xml:space="preserve">P-INT-11 — Arbitrage des conflits d’autorité</w:t>
      </w:r>
    </w:p>
    <w:p>
      <w:pPr>
        <w:pStyle w:val="FirstParagraph"/>
      </w:pPr>
      <w:r>
        <w:t xml:space="preserve">Toute divergence portant sur :</w:t>
      </w:r>
    </w:p>
    <w:p>
      <w:pPr>
        <w:pStyle w:val="Compact"/>
        <w:numPr>
          <w:ilvl w:val="0"/>
          <w:numId w:val="1022"/>
        </w:numPr>
      </w:pPr>
      <w:r>
        <w:t xml:space="preserve">l’autorité d’un référentiel ;</w:t>
      </w:r>
    </w:p>
    <w:p>
      <w:pPr>
        <w:pStyle w:val="Compact"/>
        <w:numPr>
          <w:ilvl w:val="0"/>
          <w:numId w:val="1022"/>
        </w:numPr>
      </w:pPr>
      <w:r>
        <w:t xml:space="preserve">la définition d’une donnée ;</w:t>
      </w:r>
    </w:p>
    <w:p>
      <w:pPr>
        <w:pStyle w:val="Compact"/>
        <w:numPr>
          <w:ilvl w:val="0"/>
          <w:numId w:val="1022"/>
        </w:numPr>
      </w:pPr>
      <w:r>
        <w:t xml:space="preserve">un contrat d’échange ;</w:t>
      </w:r>
    </w:p>
    <w:p>
      <w:pPr>
        <w:pStyle w:val="Compact"/>
        <w:numPr>
          <w:ilvl w:val="0"/>
          <w:numId w:val="1022"/>
        </w:numPr>
      </w:pPr>
      <w:r>
        <w:t xml:space="preserve">une règle d’accès ;</w:t>
      </w:r>
    </w:p>
    <w:p>
      <w:pPr>
        <w:pStyle w:val="Compact"/>
        <w:numPr>
          <w:ilvl w:val="0"/>
          <w:numId w:val="1022"/>
        </w:numPr>
      </w:pPr>
      <w:r>
        <w:t xml:space="preserve">une politique de résidence ;</w:t>
      </w:r>
    </w:p>
    <w:p>
      <w:pPr>
        <w:pStyle w:val="Compact"/>
        <w:numPr>
          <w:ilvl w:val="0"/>
          <w:numId w:val="1022"/>
        </w:numPr>
      </w:pPr>
      <w:r>
        <w:t xml:space="preserve">une définition d’indicateur ;</w:t>
      </w:r>
    </w:p>
    <w:p>
      <w:pPr>
        <w:pStyle w:val="FirstParagraph"/>
      </w:pPr>
      <w:r>
        <w:t xml:space="preserve">doit être arbitrée par l’instance compétente.</w:t>
      </w:r>
    </w:p>
    <w:p>
      <w:pPr>
        <w:pStyle w:val="BodyText"/>
      </w:pPr>
      <w:r>
        <w:t xml:space="preserve">Elle ne doit pas être résolue durablement par un arrangement informel entre équipes techniques.</w:t>
      </w:r>
    </w:p>
    <w:p>
      <w:r>
        <w:pict>
          <v:rect style="width:0;height:1.5pt" o:hralign="center" o:hrstd="t" o:hr="t"/>
        </w:pict>
      </w:r>
    </w:p>
    <w:bookmarkEnd w:id="40"/>
    <w:bookmarkStart w:id="41" w:name="p-int-12-dérogation-explicite"/>
    <w:p>
      <w:pPr>
        <w:pStyle w:val="Heading2"/>
      </w:pPr>
      <w:r>
        <w:t xml:space="preserve">P-INT-12 — Dérogation explicite</w:t>
      </w:r>
    </w:p>
    <w:p>
      <w:pPr>
        <w:pStyle w:val="FirstParagraph"/>
      </w:pPr>
      <w:r>
        <w:t xml:space="preserve">Toute initiative s’écartant d’un principe du CNISN doit produire une dérogation explicite.</w:t>
      </w:r>
    </w:p>
    <w:p>
      <w:pPr>
        <w:pStyle w:val="BodyText"/>
      </w:pPr>
      <w:r>
        <w:t xml:space="preserve">La dérogation doit préciser :</w:t>
      </w:r>
    </w:p>
    <w:p>
      <w:pPr>
        <w:pStyle w:val="Compact"/>
        <w:numPr>
          <w:ilvl w:val="0"/>
          <w:numId w:val="1023"/>
        </w:numPr>
      </w:pPr>
      <w:r>
        <w:t xml:space="preserve">le principe concerné ;</w:t>
      </w:r>
    </w:p>
    <w:p>
      <w:pPr>
        <w:pStyle w:val="Compact"/>
        <w:numPr>
          <w:ilvl w:val="0"/>
          <w:numId w:val="1023"/>
        </w:numPr>
      </w:pPr>
      <w:r>
        <w:t xml:space="preserve">la justification ;</w:t>
      </w:r>
    </w:p>
    <w:p>
      <w:pPr>
        <w:pStyle w:val="Compact"/>
        <w:numPr>
          <w:ilvl w:val="0"/>
          <w:numId w:val="1023"/>
        </w:numPr>
      </w:pPr>
      <w:r>
        <w:t xml:space="preserve">les risques ;</w:t>
      </w:r>
    </w:p>
    <w:p>
      <w:pPr>
        <w:pStyle w:val="Compact"/>
        <w:numPr>
          <w:ilvl w:val="0"/>
          <w:numId w:val="1023"/>
        </w:numPr>
      </w:pPr>
      <w:r>
        <w:t xml:space="preserve">les alternatives examinées ;</w:t>
      </w:r>
    </w:p>
    <w:p>
      <w:pPr>
        <w:pStyle w:val="Compact"/>
        <w:numPr>
          <w:ilvl w:val="0"/>
          <w:numId w:val="1023"/>
        </w:numPr>
      </w:pPr>
      <w:r>
        <w:t xml:space="preserve">les mesures compensatoires ;</w:t>
      </w:r>
    </w:p>
    <w:p>
      <w:pPr>
        <w:pStyle w:val="Compact"/>
        <w:numPr>
          <w:ilvl w:val="0"/>
          <w:numId w:val="1023"/>
        </w:numPr>
      </w:pPr>
      <w:r>
        <w:t xml:space="preserve">la durée ;</w:t>
      </w:r>
    </w:p>
    <w:p>
      <w:pPr>
        <w:pStyle w:val="Compact"/>
        <w:numPr>
          <w:ilvl w:val="0"/>
          <w:numId w:val="1023"/>
        </w:numPr>
      </w:pPr>
      <w:r>
        <w:t xml:space="preserve">les conditions de sortie ;</w:t>
      </w:r>
    </w:p>
    <w:p>
      <w:pPr>
        <w:pStyle w:val="Compact"/>
        <w:numPr>
          <w:ilvl w:val="0"/>
          <w:numId w:val="1023"/>
        </w:numPr>
      </w:pPr>
      <w:r>
        <w:t xml:space="preserve">le responsable.</w:t>
      </w:r>
    </w:p>
    <w:p>
      <w:pPr>
        <w:pStyle w:val="FirstParagraph"/>
      </w:pPr>
      <w:r>
        <w:t xml:space="preserve">Une dérogation non enregistrée constitue une non-conformité.</w:t>
      </w:r>
    </w:p>
    <w:p>
      <w:r>
        <w:pict>
          <v:rect style="width:0;height:1.5pt" o:hralign="center" o:hrstd="t" o:hr="t"/>
        </w:pict>
      </w:r>
    </w:p>
    <w:bookmarkEnd w:id="41"/>
    <w:bookmarkStart w:id="42" w:name="p-int-13-dérogation-durgence"/>
    <w:p>
      <w:pPr>
        <w:pStyle w:val="Heading2"/>
      </w:pPr>
      <w:r>
        <w:t xml:space="preserve">P-INT-13 — Dérogation d’urgence</w:t>
      </w:r>
    </w:p>
    <w:p>
      <w:pPr>
        <w:pStyle w:val="FirstParagraph"/>
      </w:pPr>
      <w:r>
        <w:t xml:space="preserve">Une procédure accélérée peut être utilisée lorsqu’une urgence sanitaire ou opérationnelle ne permet pas de suivre le processus normal.</w:t>
      </w:r>
    </w:p>
    <w:p>
      <w:pPr>
        <w:pStyle w:val="BodyText"/>
      </w:pPr>
      <w:r>
        <w:t xml:space="preserve">La dérogation d’urgence doit être :</w:t>
      </w:r>
    </w:p>
    <w:p>
      <w:pPr>
        <w:pStyle w:val="Compact"/>
        <w:numPr>
          <w:ilvl w:val="0"/>
          <w:numId w:val="1024"/>
        </w:numPr>
      </w:pPr>
      <w:r>
        <w:t xml:space="preserve">autorisée par une personne ou instance habilitée ;</w:t>
      </w:r>
    </w:p>
    <w:p>
      <w:pPr>
        <w:pStyle w:val="Compact"/>
        <w:numPr>
          <w:ilvl w:val="0"/>
          <w:numId w:val="1024"/>
        </w:numPr>
      </w:pPr>
      <w:r>
        <w:t xml:space="preserve">limitée dans le temps ;</w:t>
      </w:r>
    </w:p>
    <w:p>
      <w:pPr>
        <w:pStyle w:val="Compact"/>
        <w:numPr>
          <w:ilvl w:val="0"/>
          <w:numId w:val="1024"/>
        </w:numPr>
      </w:pPr>
      <w:r>
        <w:t xml:space="preserve">limitée au périmètre strictement nécessaire ;</w:t>
      </w:r>
    </w:p>
    <w:p>
      <w:pPr>
        <w:pStyle w:val="Compact"/>
        <w:numPr>
          <w:ilvl w:val="0"/>
          <w:numId w:val="1024"/>
        </w:numPr>
      </w:pPr>
      <w:r>
        <w:t xml:space="preserve">assortie d’un niveau minimal de sécurité ;</w:t>
      </w:r>
    </w:p>
    <w:p>
      <w:pPr>
        <w:pStyle w:val="Compact"/>
        <w:numPr>
          <w:ilvl w:val="0"/>
          <w:numId w:val="1024"/>
        </w:numPr>
      </w:pPr>
      <w:r>
        <w:t xml:space="preserve">enregistrée ;</w:t>
      </w:r>
    </w:p>
    <w:p>
      <w:pPr>
        <w:pStyle w:val="Compact"/>
        <w:numPr>
          <w:ilvl w:val="0"/>
          <w:numId w:val="1024"/>
        </w:numPr>
      </w:pPr>
      <w:r>
        <w:t xml:space="preserve">réévaluée après l’urgence.</w:t>
      </w:r>
    </w:p>
    <w:p>
      <w:pPr>
        <w:pStyle w:val="FirstParagraph"/>
      </w:pPr>
      <w:r>
        <w:t xml:space="preserve">À l’issue de la période d’urgence, l’intégration doit être :</w:t>
      </w:r>
    </w:p>
    <w:p>
      <w:pPr>
        <w:pStyle w:val="Compact"/>
        <w:numPr>
          <w:ilvl w:val="0"/>
          <w:numId w:val="1025"/>
        </w:numPr>
      </w:pPr>
      <w:r>
        <w:t xml:space="preserve">retirée ;</w:t>
      </w:r>
    </w:p>
    <w:p>
      <w:pPr>
        <w:pStyle w:val="Compact"/>
        <w:numPr>
          <w:ilvl w:val="0"/>
          <w:numId w:val="1025"/>
        </w:numPr>
      </w:pPr>
      <w:r>
        <w:t xml:space="preserve">mise en conformité ;</w:t>
      </w:r>
    </w:p>
    <w:p>
      <w:pPr>
        <w:pStyle w:val="Compact"/>
        <w:numPr>
          <w:ilvl w:val="0"/>
          <w:numId w:val="1025"/>
        </w:numPr>
      </w:pPr>
      <w:r>
        <w:t xml:space="preserve">ou régularisée par une dérogation ordinaire.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Xf1b15e91b9fa324f0cd35fb6e0cf3f25d72b841"/>
    <w:p>
      <w:pPr>
        <w:pStyle w:val="Heading1"/>
      </w:pPr>
      <w:r>
        <w:t xml:space="preserve">Catégorie D — Sécurité, confiance et bases d’autorisation</w:t>
      </w:r>
    </w:p>
    <w:bookmarkStart w:id="44" w:name="p-int-14-base-dautorisation-explicite"/>
    <w:p>
      <w:pPr>
        <w:pStyle w:val="Heading2"/>
      </w:pPr>
      <w:r>
        <w:t xml:space="preserve">P-INT-14 — Base d’autorisation explicite</w:t>
      </w:r>
    </w:p>
    <w:p>
      <w:pPr>
        <w:pStyle w:val="FirstParagraph"/>
      </w:pPr>
      <w:r>
        <w:t xml:space="preserve">Tout traitement ou accès à une donnée échangée doit reposer sur une base d’autorisation explicite et documentée.</w:t>
      </w:r>
    </w:p>
    <w:p>
      <w:pPr>
        <w:pStyle w:val="BodyText"/>
      </w:pPr>
      <w:r>
        <w:t xml:space="preserve">Cette base peut notamment être :</w:t>
      </w:r>
    </w:p>
    <w:p>
      <w:pPr>
        <w:pStyle w:val="Compact"/>
        <w:numPr>
          <w:ilvl w:val="0"/>
          <w:numId w:val="1026"/>
        </w:numPr>
      </w:pPr>
      <w:r>
        <w:t xml:space="preserve">le consentement ;</w:t>
      </w:r>
    </w:p>
    <w:p>
      <w:pPr>
        <w:pStyle w:val="Compact"/>
        <w:numPr>
          <w:ilvl w:val="0"/>
          <w:numId w:val="1026"/>
        </w:numPr>
      </w:pPr>
      <w:r>
        <w:t xml:space="preserve">le mandat de soins ;</w:t>
      </w:r>
    </w:p>
    <w:p>
      <w:pPr>
        <w:pStyle w:val="Compact"/>
        <w:numPr>
          <w:ilvl w:val="0"/>
          <w:numId w:val="1026"/>
        </w:numPr>
      </w:pPr>
      <w:r>
        <w:t xml:space="preserve">le mandat de santé publique ;</w:t>
      </w:r>
    </w:p>
    <w:p>
      <w:pPr>
        <w:pStyle w:val="Compact"/>
        <w:numPr>
          <w:ilvl w:val="0"/>
          <w:numId w:val="1026"/>
        </w:numPr>
      </w:pPr>
      <w:r>
        <w:t xml:space="preserve">une obligation légale ;</w:t>
      </w:r>
    </w:p>
    <w:p>
      <w:pPr>
        <w:pStyle w:val="Compact"/>
        <w:numPr>
          <w:ilvl w:val="0"/>
          <w:numId w:val="1026"/>
        </w:numPr>
      </w:pPr>
      <w:r>
        <w:t xml:space="preserve">un intérêt vital ;</w:t>
      </w:r>
    </w:p>
    <w:p>
      <w:pPr>
        <w:pStyle w:val="Compact"/>
        <w:numPr>
          <w:ilvl w:val="0"/>
          <w:numId w:val="1026"/>
        </w:numPr>
      </w:pPr>
      <w:r>
        <w:t xml:space="preserve">un accord interinstitutionnel ;</w:t>
      </w:r>
    </w:p>
    <w:p>
      <w:pPr>
        <w:pStyle w:val="Compact"/>
        <w:numPr>
          <w:ilvl w:val="0"/>
          <w:numId w:val="1026"/>
        </w:numPr>
      </w:pPr>
      <w:r>
        <w:t xml:space="preserve">une autre base légale reconnue.</w:t>
      </w:r>
    </w:p>
    <w:p>
      <w:pPr>
        <w:pStyle w:val="FirstParagraph"/>
      </w:pPr>
      <w:r>
        <w:t xml:space="preserve">L’autorisation ne doit jamais être présumée uniquement parce qu’un système peut techniquement accéder à une donnée.</w:t>
      </w:r>
    </w:p>
    <w:p>
      <w:r>
        <w:pict>
          <v:rect style="width:0;height:1.5pt" o:hralign="center" o:hrstd="t" o:hr="t"/>
        </w:pict>
      </w:r>
    </w:p>
    <w:bookmarkEnd w:id="44"/>
    <w:bookmarkStart w:id="45" w:name="p-int-15-limitation-à-la-finalité"/>
    <w:p>
      <w:pPr>
        <w:pStyle w:val="Heading2"/>
      </w:pPr>
      <w:r>
        <w:t xml:space="preserve">P-INT-15 — Limitation à la finalité</w:t>
      </w:r>
    </w:p>
    <w:p>
      <w:pPr>
        <w:pStyle w:val="FirstParagraph"/>
      </w:pPr>
      <w:r>
        <w:t xml:space="preserve">Une donnée obtenue pour une finalité ne doit pas être réutilisée pour une autre finalité sans :</w:t>
      </w:r>
    </w:p>
    <w:p>
      <w:pPr>
        <w:pStyle w:val="Compact"/>
        <w:numPr>
          <w:ilvl w:val="0"/>
          <w:numId w:val="1027"/>
        </w:numPr>
      </w:pPr>
      <w:r>
        <w:t xml:space="preserve">vérification de la base d’autorisation ;</w:t>
      </w:r>
    </w:p>
    <w:p>
      <w:pPr>
        <w:pStyle w:val="Compact"/>
        <w:numPr>
          <w:ilvl w:val="0"/>
          <w:numId w:val="1027"/>
        </w:numPr>
      </w:pPr>
      <w:r>
        <w:t xml:space="preserve">validation de la gouvernance ;</w:t>
      </w:r>
    </w:p>
    <w:p>
      <w:pPr>
        <w:pStyle w:val="Compact"/>
        <w:numPr>
          <w:ilvl w:val="0"/>
          <w:numId w:val="1027"/>
        </w:numPr>
      </w:pPr>
      <w:r>
        <w:t xml:space="preserve">mise à jour du contrat ;</w:t>
      </w:r>
    </w:p>
    <w:p>
      <w:pPr>
        <w:pStyle w:val="Compact"/>
        <w:numPr>
          <w:ilvl w:val="0"/>
          <w:numId w:val="1027"/>
        </w:numPr>
      </w:pPr>
      <w:r>
        <w:t xml:space="preserve">information ou consentement lorsque requis.</w:t>
      </w:r>
    </w:p>
    <w:p>
      <w:pPr>
        <w:pStyle w:val="FirstParagraph"/>
      </w:pPr>
      <w:r>
        <w:t xml:space="preserve">Les droits d’accès doivent être limités selon :</w:t>
      </w:r>
    </w:p>
    <w:p>
      <w:pPr>
        <w:pStyle w:val="Compact"/>
        <w:numPr>
          <w:ilvl w:val="0"/>
          <w:numId w:val="1028"/>
        </w:numPr>
      </w:pPr>
      <w:r>
        <w:t xml:space="preserve">le rôle ;</w:t>
      </w:r>
    </w:p>
    <w:p>
      <w:pPr>
        <w:pStyle w:val="Compact"/>
        <w:numPr>
          <w:ilvl w:val="0"/>
          <w:numId w:val="1028"/>
        </w:numPr>
      </w:pPr>
      <w:r>
        <w:t xml:space="preserve">la responsabilité ;</w:t>
      </w:r>
    </w:p>
    <w:p>
      <w:pPr>
        <w:pStyle w:val="Compact"/>
        <w:numPr>
          <w:ilvl w:val="0"/>
          <w:numId w:val="1028"/>
        </w:numPr>
      </w:pPr>
      <w:r>
        <w:t xml:space="preserve">le territoire ;</w:t>
      </w:r>
    </w:p>
    <w:p>
      <w:pPr>
        <w:pStyle w:val="Compact"/>
        <w:numPr>
          <w:ilvl w:val="0"/>
          <w:numId w:val="1028"/>
        </w:numPr>
      </w:pPr>
      <w:r>
        <w:t xml:space="preserve">le programme ;</w:t>
      </w:r>
    </w:p>
    <w:p>
      <w:pPr>
        <w:pStyle w:val="Compact"/>
        <w:numPr>
          <w:ilvl w:val="0"/>
          <w:numId w:val="1028"/>
        </w:numPr>
      </w:pPr>
      <w:r>
        <w:t xml:space="preserve">le contexte ;</w:t>
      </w:r>
    </w:p>
    <w:p>
      <w:pPr>
        <w:pStyle w:val="Compact"/>
        <w:numPr>
          <w:ilvl w:val="0"/>
          <w:numId w:val="1028"/>
        </w:numPr>
      </w:pPr>
      <w:r>
        <w:t xml:space="preserve">la finalité ;</w:t>
      </w:r>
    </w:p>
    <w:p>
      <w:pPr>
        <w:pStyle w:val="Compact"/>
        <w:numPr>
          <w:ilvl w:val="0"/>
          <w:numId w:val="1028"/>
        </w:numPr>
      </w:pPr>
      <w:r>
        <w:t xml:space="preserve">la durée.</w:t>
      </w:r>
    </w:p>
    <w:p>
      <w:r>
        <w:pict>
          <v:rect style="width:0;height:1.5pt" o:hralign="center" o:hrstd="t" o:hr="t"/>
        </w:pict>
      </w:r>
    </w:p>
    <w:bookmarkEnd w:id="45"/>
    <w:bookmarkStart w:id="46" w:name="p-int-16-résidence-et-non-réplication"/>
    <w:p>
      <w:pPr>
        <w:pStyle w:val="Heading2"/>
      </w:pPr>
      <w:r>
        <w:t xml:space="preserve">P-INT-16 — Résidence et non-réplication</w:t>
      </w:r>
    </w:p>
    <w:p>
      <w:pPr>
        <w:pStyle w:val="FirstParagraph"/>
      </w:pPr>
      <w:r>
        <w:t xml:space="preserve">Toute contrainte de résidence doit être respectée.</w:t>
      </w:r>
    </w:p>
    <w:p>
      <w:pPr>
        <w:pStyle w:val="BodyText"/>
      </w:pPr>
      <w:r>
        <w:t xml:space="preserve">Lorsqu’une donnée ne doit pas quitter son système ou son institution d’origine, l’architecture doit privilégier :</w:t>
      </w:r>
    </w:p>
    <w:p>
      <w:pPr>
        <w:pStyle w:val="Compact"/>
        <w:numPr>
          <w:ilvl w:val="0"/>
          <w:numId w:val="1029"/>
        </w:numPr>
      </w:pPr>
      <w:r>
        <w:t xml:space="preserve">l’interrogation fédérée ;</w:t>
      </w:r>
    </w:p>
    <w:p>
      <w:pPr>
        <w:pStyle w:val="Compact"/>
        <w:numPr>
          <w:ilvl w:val="0"/>
          <w:numId w:val="1029"/>
        </w:numPr>
      </w:pPr>
      <w:r>
        <w:t xml:space="preserve">l’agrégation à la source ;</w:t>
      </w:r>
    </w:p>
    <w:p>
      <w:pPr>
        <w:pStyle w:val="Compact"/>
        <w:numPr>
          <w:ilvl w:val="0"/>
          <w:numId w:val="1029"/>
        </w:numPr>
      </w:pPr>
      <w:r>
        <w:t xml:space="preserve">la transmission d’un résultat minimisé ;</w:t>
      </w:r>
    </w:p>
    <w:p>
      <w:pPr>
        <w:pStyle w:val="Compact"/>
        <w:numPr>
          <w:ilvl w:val="0"/>
          <w:numId w:val="1029"/>
        </w:numPr>
      </w:pPr>
      <w:r>
        <w:t xml:space="preserve">la pseudonymisation ;</w:t>
      </w:r>
    </w:p>
    <w:p>
      <w:pPr>
        <w:pStyle w:val="Compact"/>
        <w:numPr>
          <w:ilvl w:val="0"/>
          <w:numId w:val="1029"/>
        </w:numPr>
      </w:pPr>
      <w:r>
        <w:t xml:space="preserve">la transmission d’une preuve plutôt que de la donnée complète.</w:t>
      </w:r>
    </w:p>
    <w:p>
      <w:pPr>
        <w:pStyle w:val="FirstParagraph"/>
      </w:pPr>
      <w:r>
        <w:t xml:space="preserve">Une copie ne doit pas être créée uniquement parce qu’elle est techniquement possible.</w:t>
      </w:r>
    </w:p>
    <w:p>
      <w:r>
        <w:pict>
          <v:rect style="width:0;height:1.5pt" o:hralign="center" o:hrstd="t" o:hr="t"/>
        </w:pict>
      </w:r>
    </w:p>
    <w:bookmarkEnd w:id="46"/>
    <w:bookmarkStart w:id="47" w:name="p-int-17-minimisation"/>
    <w:p>
      <w:pPr>
        <w:pStyle w:val="Heading2"/>
      </w:pPr>
      <w:r>
        <w:t xml:space="preserve">P-INT-17 — Minimisation</w:t>
      </w:r>
    </w:p>
    <w:p>
      <w:pPr>
        <w:pStyle w:val="FirstParagraph"/>
      </w:pPr>
      <w:r>
        <w:t xml:space="preserve">Tout échange doit se limiter aux données nécessaires à la finalité déclarée.</w:t>
      </w:r>
    </w:p>
    <w:p>
      <w:pPr>
        <w:pStyle w:val="BodyText"/>
      </w:pPr>
      <w:r>
        <w:t xml:space="preserve">Les contrats doivent distinguer :</w:t>
      </w:r>
    </w:p>
    <w:p>
      <w:pPr>
        <w:pStyle w:val="Compact"/>
        <w:numPr>
          <w:ilvl w:val="0"/>
          <w:numId w:val="1030"/>
        </w:numPr>
      </w:pPr>
      <w:r>
        <w:t xml:space="preserve">les données obligatoires ;</w:t>
      </w:r>
    </w:p>
    <w:p>
      <w:pPr>
        <w:pStyle w:val="Compact"/>
        <w:numPr>
          <w:ilvl w:val="0"/>
          <w:numId w:val="1030"/>
        </w:numPr>
      </w:pPr>
      <w:r>
        <w:t xml:space="preserve">les données optionnelles ;</w:t>
      </w:r>
    </w:p>
    <w:p>
      <w:pPr>
        <w:pStyle w:val="Compact"/>
        <w:numPr>
          <w:ilvl w:val="0"/>
          <w:numId w:val="1030"/>
        </w:numPr>
      </w:pPr>
      <w:r>
        <w:t xml:space="preserve">les données interdites ;</w:t>
      </w:r>
    </w:p>
    <w:p>
      <w:pPr>
        <w:pStyle w:val="Compact"/>
        <w:numPr>
          <w:ilvl w:val="0"/>
          <w:numId w:val="1030"/>
        </w:numPr>
      </w:pPr>
      <w:r>
        <w:t xml:space="preserve">les données sensibles ;</w:t>
      </w:r>
    </w:p>
    <w:p>
      <w:pPr>
        <w:pStyle w:val="Compact"/>
        <w:numPr>
          <w:ilvl w:val="0"/>
          <w:numId w:val="1030"/>
        </w:numPr>
      </w:pPr>
      <w:r>
        <w:t xml:space="preserve">les données directement identifiantes.</w:t>
      </w:r>
    </w:p>
    <w:p>
      <w:pPr>
        <w:pStyle w:val="FirstParagraph"/>
      </w:pPr>
      <w:r>
        <w:t xml:space="preserve">Les données personnelles ou cliniques ne doivent pas être ajoutées à un flux agrégé sans nécessité démontrée.</w:t>
      </w:r>
    </w:p>
    <w:p>
      <w:r>
        <w:pict>
          <v:rect style="width:0;height:1.5pt" o:hralign="center" o:hrstd="t" o:hr="t"/>
        </w:pict>
      </w:r>
    </w:p>
    <w:bookmarkEnd w:id="47"/>
    <w:bookmarkStart w:id="48" w:name="p-int-18-traçabilité-différenciée"/>
    <w:p>
      <w:pPr>
        <w:pStyle w:val="Heading2"/>
      </w:pPr>
      <w:r>
        <w:t xml:space="preserve">P-INT-18 — Traçabilité différenciée</w:t>
      </w:r>
    </w:p>
    <w:p>
      <w:pPr>
        <w:pStyle w:val="FirstParagraph"/>
      </w:pPr>
      <w:r>
        <w:t xml:space="preserve">Les initiatives doivent distinguer :</w:t>
      </w:r>
    </w:p>
    <w:p>
      <w:pPr>
        <w:pStyle w:val="Compact"/>
        <w:numPr>
          <w:ilvl w:val="0"/>
          <w:numId w:val="1031"/>
        </w:numPr>
      </w:pPr>
      <w:r>
        <w:t xml:space="preserve">les événements métier ;</w:t>
      </w:r>
    </w:p>
    <w:p>
      <w:pPr>
        <w:pStyle w:val="Compact"/>
        <w:numPr>
          <w:ilvl w:val="0"/>
          <w:numId w:val="1031"/>
        </w:numPr>
      </w:pPr>
      <w:r>
        <w:t xml:space="preserve">la provenance des données ;</w:t>
      </w:r>
    </w:p>
    <w:p>
      <w:pPr>
        <w:pStyle w:val="Compact"/>
        <w:numPr>
          <w:ilvl w:val="0"/>
          <w:numId w:val="1031"/>
        </w:numPr>
      </w:pPr>
      <w:r>
        <w:t xml:space="preserve">les événements d’audit ;</w:t>
      </w:r>
    </w:p>
    <w:p>
      <w:pPr>
        <w:pStyle w:val="Compact"/>
        <w:numPr>
          <w:ilvl w:val="0"/>
          <w:numId w:val="1031"/>
        </w:numPr>
      </w:pPr>
      <w:r>
        <w:t xml:space="preserve">les journaux techniques.</w:t>
      </w:r>
    </w:p>
    <w:p>
      <w:pPr>
        <w:pStyle w:val="FirstParagraph"/>
      </w:pPr>
      <w:r>
        <w:t xml:space="preserve">Ces traces peuvent être corrélées mais ne doivent pas être confondues.</w:t>
      </w:r>
    </w:p>
    <w:p>
      <w:pPr>
        <w:pStyle w:val="BodyText"/>
      </w:pPr>
      <w:r>
        <w:t xml:space="preserve">Elles peuvent disposer :</w:t>
      </w:r>
    </w:p>
    <w:p>
      <w:pPr>
        <w:pStyle w:val="Compact"/>
        <w:numPr>
          <w:ilvl w:val="0"/>
          <w:numId w:val="1032"/>
        </w:numPr>
      </w:pPr>
      <w:r>
        <w:t xml:space="preserve">de formats distincts ;</w:t>
      </w:r>
    </w:p>
    <w:p>
      <w:pPr>
        <w:pStyle w:val="Compact"/>
        <w:numPr>
          <w:ilvl w:val="0"/>
          <w:numId w:val="1032"/>
        </w:numPr>
      </w:pPr>
      <w:r>
        <w:t xml:space="preserve">de stockages distincts ;</w:t>
      </w:r>
    </w:p>
    <w:p>
      <w:pPr>
        <w:pStyle w:val="Compact"/>
        <w:numPr>
          <w:ilvl w:val="0"/>
          <w:numId w:val="1032"/>
        </w:numPr>
      </w:pPr>
      <w:r>
        <w:t xml:space="preserve">de règles d’accès distinctes ;</w:t>
      </w:r>
    </w:p>
    <w:p>
      <w:pPr>
        <w:pStyle w:val="Compact"/>
        <w:numPr>
          <w:ilvl w:val="0"/>
          <w:numId w:val="1032"/>
        </w:numPr>
      </w:pPr>
      <w:r>
        <w:t xml:space="preserve">de durées de conservation distinctes.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a0a07d773a3ca9afd22c05e9eca566122f77e0d"/>
    <w:p>
      <w:pPr>
        <w:pStyle w:val="Heading1"/>
      </w:pPr>
      <w:r>
        <w:t xml:space="preserve">Catégorie E — Neutralité, réversibilité et progressivité</w:t>
      </w:r>
    </w:p>
    <w:bookmarkStart w:id="50" w:name="p-int-19-neutralité-technologique"/>
    <w:p>
      <w:pPr>
        <w:pStyle w:val="Heading2"/>
      </w:pPr>
      <w:r>
        <w:t xml:space="preserve">P-INT-19 — Neutralité technologique</w:t>
      </w:r>
    </w:p>
    <w:p>
      <w:pPr>
        <w:pStyle w:val="FirstParagraph"/>
      </w:pPr>
      <w:r>
        <w:t xml:space="preserve">Le CNISN ne prescrit aucun produit, fournisseur ou technologie.</w:t>
      </w:r>
    </w:p>
    <w:p>
      <w:pPr>
        <w:pStyle w:val="BodyText"/>
      </w:pPr>
      <w:r>
        <w:t xml:space="preserve">La conformité est évaluée à partir :</w:t>
      </w:r>
    </w:p>
    <w:p>
      <w:pPr>
        <w:pStyle w:val="Compact"/>
        <w:numPr>
          <w:ilvl w:val="0"/>
          <w:numId w:val="1033"/>
        </w:numPr>
      </w:pPr>
      <w:r>
        <w:t xml:space="preserve">des services fournis ;</w:t>
      </w:r>
    </w:p>
    <w:p>
      <w:pPr>
        <w:pStyle w:val="Compact"/>
        <w:numPr>
          <w:ilvl w:val="0"/>
          <w:numId w:val="1033"/>
        </w:numPr>
      </w:pPr>
      <w:r>
        <w:t xml:space="preserve">des contrats ;</w:t>
      </w:r>
    </w:p>
    <w:p>
      <w:pPr>
        <w:pStyle w:val="Compact"/>
        <w:numPr>
          <w:ilvl w:val="0"/>
          <w:numId w:val="1033"/>
        </w:numPr>
      </w:pPr>
      <w:r>
        <w:t xml:space="preserve">des garanties ;</w:t>
      </w:r>
    </w:p>
    <w:p>
      <w:pPr>
        <w:pStyle w:val="Compact"/>
        <w:numPr>
          <w:ilvl w:val="0"/>
          <w:numId w:val="1033"/>
        </w:numPr>
      </w:pPr>
      <w:r>
        <w:t xml:space="preserve">des preuves ;</w:t>
      </w:r>
    </w:p>
    <w:p>
      <w:pPr>
        <w:pStyle w:val="Compact"/>
        <w:numPr>
          <w:ilvl w:val="0"/>
          <w:numId w:val="1033"/>
        </w:numPr>
      </w:pPr>
      <w:r>
        <w:t xml:space="preserve">des résultats de tests.</w:t>
      </w:r>
    </w:p>
    <w:p>
      <w:pPr>
        <w:pStyle w:val="FirstParagraph"/>
      </w:pPr>
      <w:r>
        <w:t xml:space="preserve">L’utilisation d’un produit connu ou recommandé ne prouve pas automatiquement la conformité.</w:t>
      </w:r>
    </w:p>
    <w:p>
      <w:r>
        <w:pict>
          <v:rect style="width:0;height:1.5pt" o:hralign="center" o:hrstd="t" o:hr="t"/>
        </w:pict>
      </w:r>
    </w:p>
    <w:bookmarkEnd w:id="50"/>
    <w:bookmarkStart w:id="51" w:name="p-int-20-portabilité-et-réversibilité"/>
    <w:p>
      <w:pPr>
        <w:pStyle w:val="Heading2"/>
      </w:pPr>
      <w:r>
        <w:t xml:space="preserve">P-INT-20 — Portabilité et réversibilité</w:t>
      </w:r>
    </w:p>
    <w:p>
      <w:pPr>
        <w:pStyle w:val="FirstParagraph"/>
      </w:pPr>
      <w:r>
        <w:t xml:space="preserve">Toute initiative doit prévoir la possibilité de :</w:t>
      </w:r>
    </w:p>
    <w:p>
      <w:pPr>
        <w:pStyle w:val="Compact"/>
        <w:numPr>
          <w:ilvl w:val="0"/>
          <w:numId w:val="1034"/>
        </w:numPr>
      </w:pPr>
      <w:r>
        <w:t xml:space="preserve">récupérer ses données ;</w:t>
      </w:r>
    </w:p>
    <w:p>
      <w:pPr>
        <w:pStyle w:val="Compact"/>
        <w:numPr>
          <w:ilvl w:val="0"/>
          <w:numId w:val="1034"/>
        </w:numPr>
      </w:pPr>
      <w:r>
        <w:t xml:space="preserve">récupérer ses configurations essentielles ;</w:t>
      </w:r>
    </w:p>
    <w:p>
      <w:pPr>
        <w:pStyle w:val="Compact"/>
        <w:numPr>
          <w:ilvl w:val="0"/>
          <w:numId w:val="1034"/>
        </w:numPr>
      </w:pPr>
      <w:r>
        <w:t xml:space="preserve">documenter ses contrats ;</w:t>
      </w:r>
    </w:p>
    <w:p>
      <w:pPr>
        <w:pStyle w:val="Compact"/>
        <w:numPr>
          <w:ilvl w:val="0"/>
          <w:numId w:val="1034"/>
        </w:numPr>
      </w:pPr>
      <w:r>
        <w:t xml:space="preserve">migrer vers une autre implémentation ;</w:t>
      </w:r>
    </w:p>
    <w:p>
      <w:pPr>
        <w:pStyle w:val="Compact"/>
        <w:numPr>
          <w:ilvl w:val="0"/>
          <w:numId w:val="1034"/>
        </w:numPr>
      </w:pPr>
      <w:r>
        <w:t xml:space="preserve">continuer à exploiter les données après changement de fournisseur ;</w:t>
      </w:r>
    </w:p>
    <w:p>
      <w:pPr>
        <w:pStyle w:val="Compact"/>
        <w:numPr>
          <w:ilvl w:val="0"/>
          <w:numId w:val="1034"/>
        </w:numPr>
      </w:pPr>
      <w:r>
        <w:t xml:space="preserve">éviter les formats propriétaires non documentés.</w:t>
      </w:r>
    </w:p>
    <w:p>
      <w:pPr>
        <w:pStyle w:val="FirstParagraph"/>
      </w:pPr>
      <w:r>
        <w:t xml:space="preserve">La stratégie de sortie doit être définie avant la mise en production des services critiques.</w:t>
      </w:r>
    </w:p>
    <w:p>
      <w:r>
        <w:pict>
          <v:rect style="width:0;height:1.5pt" o:hralign="center" o:hrstd="t" o:hr="t"/>
        </w:pict>
      </w:r>
    </w:p>
    <w:bookmarkEnd w:id="51"/>
    <w:bookmarkStart w:id="52" w:name="p-int-21-progressivité"/>
    <w:p>
      <w:pPr>
        <w:pStyle w:val="Heading2"/>
      </w:pPr>
      <w:r>
        <w:t xml:space="preserve">P-INT-21 — Progressivité</w:t>
      </w:r>
    </w:p>
    <w:p>
      <w:pPr>
        <w:pStyle w:val="FirstParagraph"/>
      </w:pPr>
      <w:r>
        <w:t xml:space="preserve">La mise en œuvre doit être progressive.</w:t>
      </w:r>
    </w:p>
    <w:p>
      <w:pPr>
        <w:pStyle w:val="BodyText"/>
      </w:pPr>
      <w:r>
        <w:t xml:space="preserve">Un périmètre limité doit précéder toute extension nationale lorsque :</w:t>
      </w:r>
    </w:p>
    <w:p>
      <w:pPr>
        <w:pStyle w:val="Compact"/>
        <w:numPr>
          <w:ilvl w:val="0"/>
          <w:numId w:val="1035"/>
        </w:numPr>
      </w:pPr>
      <w:r>
        <w:t xml:space="preserve">le service est nouveau ;</w:t>
      </w:r>
    </w:p>
    <w:p>
      <w:pPr>
        <w:pStyle w:val="Compact"/>
        <w:numPr>
          <w:ilvl w:val="0"/>
          <w:numId w:val="1035"/>
        </w:numPr>
      </w:pPr>
      <w:r>
        <w:t xml:space="preserve">le profil est provisoire ;</w:t>
      </w:r>
    </w:p>
    <w:p>
      <w:pPr>
        <w:pStyle w:val="Compact"/>
        <w:numPr>
          <w:ilvl w:val="0"/>
          <w:numId w:val="1035"/>
        </w:numPr>
      </w:pPr>
      <w:r>
        <w:t xml:space="preserve">le niveau de risque est élevé ;</w:t>
      </w:r>
    </w:p>
    <w:p>
      <w:pPr>
        <w:pStyle w:val="Compact"/>
        <w:numPr>
          <w:ilvl w:val="0"/>
          <w:numId w:val="1035"/>
        </w:numPr>
      </w:pPr>
      <w:r>
        <w:t xml:space="preserve">les capacités d’exploitation ne sont pas encore éprouvées.</w:t>
      </w:r>
    </w:p>
    <w:p>
      <w:pPr>
        <w:pStyle w:val="FirstParagraph"/>
      </w:pPr>
      <w:r>
        <w:t xml:space="preserve">Toute extension doit s’appuyer sur :</w:t>
      </w:r>
    </w:p>
    <w:p>
      <w:pPr>
        <w:pStyle w:val="Compact"/>
        <w:numPr>
          <w:ilvl w:val="0"/>
          <w:numId w:val="1036"/>
        </w:numPr>
      </w:pPr>
      <w:r>
        <w:t xml:space="preserve">les résultats du pilote ;</w:t>
      </w:r>
    </w:p>
    <w:p>
      <w:pPr>
        <w:pStyle w:val="Compact"/>
        <w:numPr>
          <w:ilvl w:val="0"/>
          <w:numId w:val="1036"/>
        </w:numPr>
      </w:pPr>
      <w:r>
        <w:t xml:space="preserve">les preuves de conformité ;</w:t>
      </w:r>
    </w:p>
    <w:p>
      <w:pPr>
        <w:pStyle w:val="Compact"/>
        <w:numPr>
          <w:ilvl w:val="0"/>
          <w:numId w:val="1036"/>
        </w:numPr>
      </w:pPr>
      <w:r>
        <w:t xml:space="preserve">les retours d’exploitation ;</w:t>
      </w:r>
    </w:p>
    <w:p>
      <w:pPr>
        <w:pStyle w:val="Compact"/>
        <w:numPr>
          <w:ilvl w:val="0"/>
          <w:numId w:val="1036"/>
        </w:numPr>
      </w:pPr>
      <w:r>
        <w:t xml:space="preserve">l’évaluation des bénéfices ;</w:t>
      </w:r>
    </w:p>
    <w:p>
      <w:pPr>
        <w:pStyle w:val="Compact"/>
        <w:numPr>
          <w:ilvl w:val="0"/>
          <w:numId w:val="1036"/>
        </w:numPr>
      </w:pPr>
      <w:r>
        <w:t xml:space="preserve">l’évaluation du coût total de possession.</w:t>
      </w:r>
    </w:p>
    <w:p>
      <w:r>
        <w:pict>
          <v:rect style="width:0;height:1.5pt" o:hralign="center" o:hrstd="t" o:hr="t"/>
        </w:pict>
      </w:r>
    </w:p>
    <w:bookmarkEnd w:id="52"/>
    <w:bookmarkStart w:id="53" w:name="X62f7b08c1b4293b49c46a4f508398a58f38f2ad"/>
    <w:p>
      <w:pPr>
        <w:pStyle w:val="Heading2"/>
      </w:pPr>
      <w:r>
        <w:t xml:space="preserve">P-INT-22 — Fonctionnement en connectivité contrainte</w:t>
      </w:r>
    </w:p>
    <w:p>
      <w:pPr>
        <w:pStyle w:val="FirstParagraph"/>
      </w:pPr>
      <w:r>
        <w:t xml:space="preserve">Les services nationaux doivent prendre en compte les conditions réelles de connectivité.</w:t>
      </w:r>
    </w:p>
    <w:p>
      <w:pPr>
        <w:pStyle w:val="BodyText"/>
      </w:pPr>
      <w:r>
        <w:t xml:space="preserve">Lorsqu’un usage doit fonctionner hors ligne ou avec une connectivité intermittente, l’architecture doit définir :</w:t>
      </w:r>
    </w:p>
    <w:p>
      <w:pPr>
        <w:pStyle w:val="Compact"/>
        <w:numPr>
          <w:ilvl w:val="0"/>
          <w:numId w:val="1037"/>
        </w:numPr>
      </w:pPr>
      <w:r>
        <w:t xml:space="preserve">les copies locales autorisées ;</w:t>
      </w:r>
    </w:p>
    <w:p>
      <w:pPr>
        <w:pStyle w:val="Compact"/>
        <w:numPr>
          <w:ilvl w:val="0"/>
          <w:numId w:val="1037"/>
        </w:numPr>
      </w:pPr>
      <w:r>
        <w:t xml:space="preserve">les règles de synchronisation ;</w:t>
      </w:r>
    </w:p>
    <w:p>
      <w:pPr>
        <w:pStyle w:val="Compact"/>
        <w:numPr>
          <w:ilvl w:val="0"/>
          <w:numId w:val="1037"/>
        </w:numPr>
      </w:pPr>
      <w:r>
        <w:t xml:space="preserve">la résolution des conflits ;</w:t>
      </w:r>
    </w:p>
    <w:p>
      <w:pPr>
        <w:pStyle w:val="Compact"/>
        <w:numPr>
          <w:ilvl w:val="0"/>
          <w:numId w:val="1037"/>
        </w:numPr>
      </w:pPr>
      <w:r>
        <w:t xml:space="preserve">la date de validité des données ;</w:t>
      </w:r>
    </w:p>
    <w:p>
      <w:pPr>
        <w:pStyle w:val="Compact"/>
        <w:numPr>
          <w:ilvl w:val="0"/>
          <w:numId w:val="1037"/>
        </w:numPr>
      </w:pPr>
      <w:r>
        <w:t xml:space="preserve">la sécurité locale ;</w:t>
      </w:r>
    </w:p>
    <w:p>
      <w:pPr>
        <w:pStyle w:val="Compact"/>
        <w:numPr>
          <w:ilvl w:val="0"/>
          <w:numId w:val="1037"/>
        </w:numPr>
      </w:pPr>
      <w:r>
        <w:t xml:space="preserve">le traitement des opérations en attente ;</w:t>
      </w:r>
    </w:p>
    <w:p>
      <w:pPr>
        <w:pStyle w:val="Compact"/>
        <w:numPr>
          <w:ilvl w:val="0"/>
          <w:numId w:val="1037"/>
        </w:numPr>
      </w:pPr>
      <w:r>
        <w:t xml:space="preserve">les conditions d’expiration.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catégorie-f-conformité-et-homologation"/>
    <w:p>
      <w:pPr>
        <w:pStyle w:val="Heading1"/>
      </w:pPr>
      <w:r>
        <w:t xml:space="preserve">Catégorie F — Conformité et homologation</w:t>
      </w:r>
    </w:p>
    <w:bookmarkStart w:id="55" w:name="X2cd6609d49afa2cddd856dc57fdcec2d56a120a"/>
    <w:p>
      <w:pPr>
        <w:pStyle w:val="Heading2"/>
      </w:pPr>
      <w:r>
        <w:t xml:space="preserve">P-INT-23 — Conformité fondée sur des preuves</w:t>
      </w:r>
    </w:p>
    <w:p>
      <w:pPr>
        <w:pStyle w:val="FirstParagraph"/>
      </w:pPr>
      <w:r>
        <w:t xml:space="preserve">La conformité au CNISN ne peut pas être établie uniquement par une déclaration narrative.</w:t>
      </w:r>
    </w:p>
    <w:p>
      <w:pPr>
        <w:pStyle w:val="BodyText"/>
      </w:pPr>
      <w:r>
        <w:t xml:space="preserve">Elle doit être démontrée par des preuves telles que :</w:t>
      </w:r>
    </w:p>
    <w:p>
      <w:pPr>
        <w:pStyle w:val="Compact"/>
        <w:numPr>
          <w:ilvl w:val="0"/>
          <w:numId w:val="1038"/>
        </w:numPr>
      </w:pPr>
      <w:r>
        <w:t xml:space="preserve">contrats publiés ;</w:t>
      </w:r>
    </w:p>
    <w:p>
      <w:pPr>
        <w:pStyle w:val="Compact"/>
        <w:numPr>
          <w:ilvl w:val="0"/>
          <w:numId w:val="1038"/>
        </w:numPr>
      </w:pPr>
      <w:r>
        <w:t xml:space="preserve">résultats de tests ;</w:t>
      </w:r>
    </w:p>
    <w:p>
      <w:pPr>
        <w:pStyle w:val="Compact"/>
        <w:numPr>
          <w:ilvl w:val="0"/>
          <w:numId w:val="1038"/>
        </w:numPr>
      </w:pPr>
      <w:r>
        <w:t xml:space="preserve">matrices de responsabilités ;</w:t>
      </w:r>
    </w:p>
    <w:p>
      <w:pPr>
        <w:pStyle w:val="Compact"/>
        <w:numPr>
          <w:ilvl w:val="0"/>
          <w:numId w:val="1038"/>
        </w:numPr>
      </w:pPr>
      <w:r>
        <w:t xml:space="preserve">preuves de sécurité ;</w:t>
      </w:r>
    </w:p>
    <w:p>
      <w:pPr>
        <w:pStyle w:val="Compact"/>
        <w:numPr>
          <w:ilvl w:val="0"/>
          <w:numId w:val="1038"/>
        </w:numPr>
      </w:pPr>
      <w:r>
        <w:t xml:space="preserve">mesures de performance ;</w:t>
      </w:r>
    </w:p>
    <w:p>
      <w:pPr>
        <w:pStyle w:val="Compact"/>
        <w:numPr>
          <w:ilvl w:val="0"/>
          <w:numId w:val="1038"/>
        </w:numPr>
      </w:pPr>
      <w:r>
        <w:t xml:space="preserve">preuves de versionnement ;</w:t>
      </w:r>
    </w:p>
    <w:p>
      <w:pPr>
        <w:pStyle w:val="Compact"/>
        <w:numPr>
          <w:ilvl w:val="0"/>
          <w:numId w:val="1038"/>
        </w:numPr>
      </w:pPr>
      <w:r>
        <w:t xml:space="preserve">rapports de réconciliation ;</w:t>
      </w:r>
    </w:p>
    <w:p>
      <w:pPr>
        <w:pStyle w:val="Compact"/>
        <w:numPr>
          <w:ilvl w:val="0"/>
          <w:numId w:val="1038"/>
        </w:numPr>
      </w:pPr>
      <w:r>
        <w:t xml:space="preserve">procédures de reprise ;</w:t>
      </w:r>
    </w:p>
    <w:p>
      <w:pPr>
        <w:pStyle w:val="Compact"/>
        <w:numPr>
          <w:ilvl w:val="0"/>
          <w:numId w:val="1038"/>
        </w:numPr>
      </w:pPr>
      <w:r>
        <w:t xml:space="preserve">décisions architecturales ;</w:t>
      </w:r>
    </w:p>
    <w:p>
      <w:pPr>
        <w:pStyle w:val="Compact"/>
        <w:numPr>
          <w:ilvl w:val="0"/>
          <w:numId w:val="1038"/>
        </w:numPr>
      </w:pPr>
      <w:r>
        <w:t xml:space="preserve">dérogations approuvées.</w:t>
      </w:r>
    </w:p>
    <w:p>
      <w:r>
        <w:pict>
          <v:rect style="width:0;height:1.5pt" o:hralign="center" o:hrstd="t" o:hr="t"/>
        </w:pict>
      </w:r>
    </w:p>
    <w:bookmarkEnd w:id="55"/>
    <w:bookmarkStart w:id="56" w:name="p-int-24-applicabilité-déclarée"/>
    <w:p>
      <w:pPr>
        <w:pStyle w:val="Heading2"/>
      </w:pPr>
      <w:r>
        <w:t xml:space="preserve">P-INT-24 — Applicabilité déclarée</w:t>
      </w:r>
    </w:p>
    <w:p>
      <w:pPr>
        <w:pStyle w:val="FirstParagraph"/>
      </w:pPr>
      <w:r>
        <w:t xml:space="preserve">Toute initiative doit déclarer :</w:t>
      </w:r>
    </w:p>
    <w:p>
      <w:pPr>
        <w:pStyle w:val="Compact"/>
        <w:numPr>
          <w:ilvl w:val="0"/>
          <w:numId w:val="1039"/>
        </w:numPr>
      </w:pPr>
      <w:r>
        <w:t xml:space="preserve">les principes qui lui sont applicables ;</w:t>
      </w:r>
    </w:p>
    <w:p>
      <w:pPr>
        <w:pStyle w:val="Compact"/>
        <w:numPr>
          <w:ilvl w:val="0"/>
          <w:numId w:val="1039"/>
        </w:numPr>
      </w:pPr>
      <w:r>
        <w:t xml:space="preserve">les capacités qu’elle fournit ou consomme ;</w:t>
      </w:r>
    </w:p>
    <w:p>
      <w:pPr>
        <w:pStyle w:val="Compact"/>
        <w:numPr>
          <w:ilvl w:val="0"/>
          <w:numId w:val="1039"/>
        </w:numPr>
      </w:pPr>
      <w:r>
        <w:t xml:space="preserve">les contrats ART applicables ;</w:t>
      </w:r>
    </w:p>
    <w:p>
      <w:pPr>
        <w:pStyle w:val="Compact"/>
        <w:numPr>
          <w:ilvl w:val="0"/>
          <w:numId w:val="1039"/>
        </w:numPr>
      </w:pPr>
      <w:r>
        <w:t xml:space="preserve">les profils techniques utilisés ;</w:t>
      </w:r>
    </w:p>
    <w:p>
      <w:pPr>
        <w:pStyle w:val="Compact"/>
        <w:numPr>
          <w:ilvl w:val="0"/>
          <w:numId w:val="1039"/>
        </w:numPr>
      </w:pPr>
      <w:r>
        <w:t xml:space="preserve">les écarts ;</w:t>
      </w:r>
    </w:p>
    <w:p>
      <w:pPr>
        <w:pStyle w:val="Compact"/>
        <w:numPr>
          <w:ilvl w:val="0"/>
          <w:numId w:val="1039"/>
        </w:numPr>
      </w:pPr>
      <w:r>
        <w:t xml:space="preserve">les preuves attendues.</w:t>
      </w:r>
    </w:p>
    <w:p>
      <w:pPr>
        <w:pStyle w:val="FirstParagraph"/>
      </w:pPr>
      <w:r>
        <w:t xml:space="preserve">L’absence d’applicabilité doit être justifiée lorsqu’un domaine semble directement concerné.</w:t>
      </w:r>
    </w:p>
    <w:p>
      <w:r>
        <w:pict>
          <v:rect style="width:0;height:1.5pt" o:hralign="center" o:hrstd="t" o:hr="t"/>
        </w:pict>
      </w:r>
    </w:p>
    <w:bookmarkEnd w:id="56"/>
    <w:bookmarkStart w:id="57" w:name="p-int-25-réévaluation-continue"/>
    <w:p>
      <w:pPr>
        <w:pStyle w:val="Heading2"/>
      </w:pPr>
      <w:r>
        <w:t xml:space="preserve">P-INT-25 — Réévaluation continue</w:t>
      </w:r>
    </w:p>
    <w:p>
      <w:pPr>
        <w:pStyle w:val="FirstParagraph"/>
      </w:pPr>
      <w:r>
        <w:t xml:space="preserve">La conformité doit être réévaluée lorsqu’intervient :</w:t>
      </w:r>
    </w:p>
    <w:p>
      <w:pPr>
        <w:pStyle w:val="Compact"/>
        <w:numPr>
          <w:ilvl w:val="0"/>
          <w:numId w:val="1040"/>
        </w:numPr>
      </w:pPr>
      <w:r>
        <w:t xml:space="preserve">une évolution majeure du système ;</w:t>
      </w:r>
    </w:p>
    <w:p>
      <w:pPr>
        <w:pStyle w:val="Compact"/>
        <w:numPr>
          <w:ilvl w:val="0"/>
          <w:numId w:val="1040"/>
        </w:numPr>
      </w:pPr>
      <w:r>
        <w:t xml:space="preserve">une nouvelle catégorie de données ;</w:t>
      </w:r>
    </w:p>
    <w:p>
      <w:pPr>
        <w:pStyle w:val="Compact"/>
        <w:numPr>
          <w:ilvl w:val="0"/>
          <w:numId w:val="1040"/>
        </w:numPr>
      </w:pPr>
      <w:r>
        <w:t xml:space="preserve">une nouvelle institution partenaire ;</w:t>
      </w:r>
    </w:p>
    <w:p>
      <w:pPr>
        <w:pStyle w:val="Compact"/>
        <w:numPr>
          <w:ilvl w:val="0"/>
          <w:numId w:val="1040"/>
        </w:numPr>
      </w:pPr>
      <w:r>
        <w:t xml:space="preserve">un changement de source autoritative ;</w:t>
      </w:r>
    </w:p>
    <w:p>
      <w:pPr>
        <w:pStyle w:val="Compact"/>
        <w:numPr>
          <w:ilvl w:val="0"/>
          <w:numId w:val="1040"/>
        </w:numPr>
      </w:pPr>
      <w:r>
        <w:t xml:space="preserve">une nouvelle version d’un contrat ;</w:t>
      </w:r>
    </w:p>
    <w:p>
      <w:pPr>
        <w:pStyle w:val="Compact"/>
        <w:numPr>
          <w:ilvl w:val="0"/>
          <w:numId w:val="1040"/>
        </w:numPr>
      </w:pPr>
      <w:r>
        <w:t xml:space="preserve">un incident majeur ;</w:t>
      </w:r>
    </w:p>
    <w:p>
      <w:pPr>
        <w:pStyle w:val="Compact"/>
        <w:numPr>
          <w:ilvl w:val="0"/>
          <w:numId w:val="1040"/>
        </w:numPr>
      </w:pPr>
      <w:r>
        <w:t xml:space="preserve">une modification de la base d’autorisation ;</w:t>
      </w:r>
    </w:p>
    <w:p>
      <w:pPr>
        <w:pStyle w:val="Compact"/>
        <w:numPr>
          <w:ilvl w:val="0"/>
          <w:numId w:val="1040"/>
        </w:numPr>
      </w:pPr>
      <w:r>
        <w:t xml:space="preserve">l’expiration d’une dérogation.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partie-ii-capacités-nationales-requises"/>
    <w:p>
      <w:pPr>
        <w:pStyle w:val="Heading1"/>
      </w:pPr>
      <w:r>
        <w:t xml:space="preserve">PARTIE II — CAPACITÉS NATIONALES REQUISES</w:t>
      </w:r>
    </w:p>
    <w:p>
      <w:pPr>
        <w:pStyle w:val="FirstParagraph"/>
      </w:pPr>
      <w:r>
        <w:t xml:space="preserve">Les capacités suivantes opérationnalisent les principes du CNISN.</w:t>
      </w:r>
    </w:p>
    <w:p>
      <w:pPr>
        <w:pStyle w:val="BodyText"/>
      </w:pPr>
      <w:r>
        <w:t xml:space="preserve">Elles ne nomment aucun produit ou standard.</w:t>
      </w:r>
    </w:p>
    <w:p>
      <w:r>
        <w:pict>
          <v:rect style="width:0;height:1.5pt" o:hralign="center" o:hrstd="t" o:hr="t"/>
        </w:pict>
      </w:r>
    </w:p>
    <w:bookmarkEnd w:id="59"/>
    <w:bookmarkStart w:id="63" w:name="X86f3e3f73d5acd24fe05f384b22f8db01921bcc"/>
    <w:p>
      <w:pPr>
        <w:pStyle w:val="Heading1"/>
      </w:pPr>
      <w:r>
        <w:t xml:space="preserve">CAP-INT-01 — Résolution d’identité du bénéficiaire</w:t>
      </w:r>
    </w:p>
    <w:bookmarkStart w:id="60" w:name="finalité"/>
    <w:p>
      <w:pPr>
        <w:pStyle w:val="Heading2"/>
      </w:pPr>
      <w:r>
        <w:t xml:space="preserve">Finalité</w:t>
      </w:r>
    </w:p>
    <w:p>
      <w:pPr>
        <w:pStyle w:val="FirstParagraph"/>
      </w:pPr>
      <w:r>
        <w:t xml:space="preserve">Permettre aux systèmes autorisés de relier plusieurs représentations d’un même bénéficiaire sans confondre :</w:t>
      </w:r>
    </w:p>
    <w:p>
      <w:pPr>
        <w:pStyle w:val="Compact"/>
        <w:numPr>
          <w:ilvl w:val="0"/>
          <w:numId w:val="1041"/>
        </w:numPr>
      </w:pPr>
      <w:r>
        <w:t xml:space="preserve">identité fondationnelle ;</w:t>
      </w:r>
    </w:p>
    <w:p>
      <w:pPr>
        <w:pStyle w:val="Compact"/>
        <w:numPr>
          <w:ilvl w:val="0"/>
          <w:numId w:val="1041"/>
        </w:numPr>
      </w:pPr>
      <w:r>
        <w:t xml:space="preserve">identité fonctionnelle santé ;</w:t>
      </w:r>
    </w:p>
    <w:p>
      <w:pPr>
        <w:pStyle w:val="Compact"/>
        <w:numPr>
          <w:ilvl w:val="0"/>
          <w:numId w:val="1041"/>
        </w:numPr>
      </w:pPr>
      <w:r>
        <w:t xml:space="preserve">identifiants locaux ;</w:t>
      </w:r>
    </w:p>
    <w:p>
      <w:pPr>
        <w:pStyle w:val="Compact"/>
        <w:numPr>
          <w:ilvl w:val="0"/>
          <w:numId w:val="1041"/>
        </w:numPr>
      </w:pPr>
      <w:r>
        <w:t xml:space="preserve">identifiants temporaires ;</w:t>
      </w:r>
    </w:p>
    <w:p>
      <w:pPr>
        <w:pStyle w:val="Compact"/>
        <w:numPr>
          <w:ilvl w:val="0"/>
          <w:numId w:val="1041"/>
        </w:numPr>
      </w:pPr>
      <w:r>
        <w:t xml:space="preserve">identifiants de dossiers.</w:t>
      </w:r>
    </w:p>
    <w:bookmarkEnd w:id="60"/>
    <w:bookmarkStart w:id="61" w:name="services-attendus"/>
    <w:p>
      <w:pPr>
        <w:pStyle w:val="Heading2"/>
      </w:pPr>
      <w:r>
        <w:t xml:space="preserve">Services attendus</w:t>
      </w:r>
    </w:p>
    <w:p>
      <w:pPr>
        <w:pStyle w:val="Compact"/>
        <w:numPr>
          <w:ilvl w:val="0"/>
          <w:numId w:val="1042"/>
        </w:numPr>
      </w:pPr>
      <w:r>
        <w:t xml:space="preserve">recherche démographique ;</w:t>
      </w:r>
    </w:p>
    <w:p>
      <w:pPr>
        <w:pStyle w:val="Compact"/>
        <w:numPr>
          <w:ilvl w:val="0"/>
          <w:numId w:val="1042"/>
        </w:numPr>
      </w:pPr>
      <w:r>
        <w:t xml:space="preserve">résolution d’identifiants ;</w:t>
      </w:r>
    </w:p>
    <w:p>
      <w:pPr>
        <w:pStyle w:val="Compact"/>
        <w:numPr>
          <w:ilvl w:val="0"/>
          <w:numId w:val="1042"/>
        </w:numPr>
      </w:pPr>
      <w:r>
        <w:t xml:space="preserve">rapprochement ;</w:t>
      </w:r>
    </w:p>
    <w:p>
      <w:pPr>
        <w:pStyle w:val="Compact"/>
        <w:numPr>
          <w:ilvl w:val="0"/>
          <w:numId w:val="1042"/>
        </w:numPr>
      </w:pPr>
      <w:r>
        <w:t xml:space="preserve">détection de doublons ;</w:t>
      </w:r>
    </w:p>
    <w:p>
      <w:pPr>
        <w:pStyle w:val="Compact"/>
        <w:numPr>
          <w:ilvl w:val="0"/>
          <w:numId w:val="1042"/>
        </w:numPr>
      </w:pPr>
      <w:r>
        <w:t xml:space="preserve">fusion contrôlée ;</w:t>
      </w:r>
    </w:p>
    <w:p>
      <w:pPr>
        <w:pStyle w:val="Compact"/>
        <w:numPr>
          <w:ilvl w:val="0"/>
          <w:numId w:val="1042"/>
        </w:numPr>
      </w:pPr>
      <w:r>
        <w:t xml:space="preserve">séparation après erreur ;</w:t>
      </w:r>
    </w:p>
    <w:p>
      <w:pPr>
        <w:pStyle w:val="Compact"/>
        <w:numPr>
          <w:ilvl w:val="0"/>
          <w:numId w:val="1042"/>
        </w:numPr>
      </w:pPr>
      <w:r>
        <w:t xml:space="preserve">gestion des identités temporaires ;</w:t>
      </w:r>
    </w:p>
    <w:p>
      <w:pPr>
        <w:pStyle w:val="Compact"/>
        <w:numPr>
          <w:ilvl w:val="0"/>
          <w:numId w:val="1042"/>
        </w:numPr>
      </w:pPr>
      <w:r>
        <w:t xml:space="preserve">conservation de la provenance ;</w:t>
      </w:r>
    </w:p>
    <w:p>
      <w:pPr>
        <w:pStyle w:val="Compact"/>
        <w:numPr>
          <w:ilvl w:val="0"/>
          <w:numId w:val="1042"/>
        </w:numPr>
      </w:pPr>
      <w:r>
        <w:t xml:space="preserve">vérification auprès de l’autorité fondationnelle lorsque autorisée.</w:t>
      </w:r>
    </w:p>
    <w:bookmarkEnd w:id="61"/>
    <w:bookmarkStart w:id="62" w:name="principes-associés"/>
    <w:p>
      <w:pPr>
        <w:pStyle w:val="Heading2"/>
      </w:pPr>
      <w:r>
        <w:t xml:space="preserve">Principes associés</w:t>
      </w:r>
    </w:p>
    <w:p>
      <w:pPr>
        <w:pStyle w:val="FirstParagraph"/>
      </w:pPr>
      <w:r>
        <w:t xml:space="preserve">P-INT-01 à P-INT-04, P-INT-14 à P-INT-18.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X237390acafdb34f03466f52232f588660fc11ee"/>
    <w:p>
      <w:pPr>
        <w:pStyle w:val="Heading1"/>
      </w:pPr>
      <w:r>
        <w:t xml:space="preserve">CAP-INT-02 — Registre et résolution des professionnels de santé</w:t>
      </w:r>
    </w:p>
    <w:bookmarkStart w:id="64" w:name="finalité-1"/>
    <w:p>
      <w:pPr>
        <w:pStyle w:val="Heading2"/>
      </w:pPr>
      <w:r>
        <w:t xml:space="preserve">Finalité</w:t>
      </w:r>
    </w:p>
    <w:p>
      <w:pPr>
        <w:pStyle w:val="FirstParagraph"/>
      </w:pPr>
      <w:r>
        <w:t xml:space="preserve">Permettre de déterminer l’identité professionnelle, la qualification, le statut et l’affectation d’un professionnel ou travailleur de santé.</w:t>
      </w:r>
    </w:p>
    <w:bookmarkEnd w:id="64"/>
    <w:bookmarkStart w:id="65" w:name="services-attendus-1"/>
    <w:p>
      <w:pPr>
        <w:pStyle w:val="Heading2"/>
      </w:pPr>
      <w:r>
        <w:t xml:space="preserve">Services attendus</w:t>
      </w:r>
    </w:p>
    <w:p>
      <w:pPr>
        <w:pStyle w:val="Compact"/>
        <w:numPr>
          <w:ilvl w:val="0"/>
          <w:numId w:val="1043"/>
        </w:numPr>
      </w:pPr>
      <w:r>
        <w:t xml:space="preserve">recherche d’un professionnel ;</w:t>
      </w:r>
    </w:p>
    <w:p>
      <w:pPr>
        <w:pStyle w:val="Compact"/>
        <w:numPr>
          <w:ilvl w:val="0"/>
          <w:numId w:val="1043"/>
        </w:numPr>
      </w:pPr>
      <w:r>
        <w:t xml:space="preserve">vérification de la profession ;</w:t>
      </w:r>
    </w:p>
    <w:p>
      <w:pPr>
        <w:pStyle w:val="Compact"/>
        <w:numPr>
          <w:ilvl w:val="0"/>
          <w:numId w:val="1043"/>
        </w:numPr>
      </w:pPr>
      <w:r>
        <w:t xml:space="preserve">vérification de la qualification ;</w:t>
      </w:r>
    </w:p>
    <w:p>
      <w:pPr>
        <w:pStyle w:val="Compact"/>
        <w:numPr>
          <w:ilvl w:val="0"/>
          <w:numId w:val="1043"/>
        </w:numPr>
      </w:pPr>
      <w:r>
        <w:t xml:space="preserve">vérification de la licence ;</w:t>
      </w:r>
    </w:p>
    <w:p>
      <w:pPr>
        <w:pStyle w:val="Compact"/>
        <w:numPr>
          <w:ilvl w:val="0"/>
          <w:numId w:val="1043"/>
        </w:numPr>
      </w:pPr>
      <w:r>
        <w:t xml:space="preserve">vérification du statut d’exercice ;</w:t>
      </w:r>
    </w:p>
    <w:p>
      <w:pPr>
        <w:pStyle w:val="Compact"/>
        <w:numPr>
          <w:ilvl w:val="0"/>
          <w:numId w:val="1043"/>
        </w:numPr>
      </w:pPr>
      <w:r>
        <w:t xml:space="preserve">consultation de l’affectation ;</w:t>
      </w:r>
    </w:p>
    <w:p>
      <w:pPr>
        <w:pStyle w:val="Compact"/>
        <w:numPr>
          <w:ilvl w:val="0"/>
          <w:numId w:val="1043"/>
        </w:numPr>
      </w:pPr>
      <w:r>
        <w:t xml:space="preserve">consultation des habilitations ;</w:t>
      </w:r>
    </w:p>
    <w:p>
      <w:pPr>
        <w:pStyle w:val="Compact"/>
        <w:numPr>
          <w:ilvl w:val="0"/>
          <w:numId w:val="1043"/>
        </w:numPr>
      </w:pPr>
      <w:r>
        <w:t xml:space="preserve">historisation des changements.</w:t>
      </w:r>
    </w:p>
    <w:bookmarkEnd w:id="65"/>
    <w:bookmarkStart w:id="66" w:name="principe-de-séparation"/>
    <w:p>
      <w:pPr>
        <w:pStyle w:val="Heading2"/>
      </w:pPr>
      <w:r>
        <w:t xml:space="preserve">Principe de séparation</w:t>
      </w:r>
    </w:p>
    <w:p>
      <w:pPr>
        <w:pStyle w:val="FirstParagraph"/>
      </w:pPr>
      <w:r>
        <w:t xml:space="preserve">Cette capacité est distincte :</w:t>
      </w:r>
    </w:p>
    <w:p>
      <w:pPr>
        <w:pStyle w:val="Compact"/>
        <w:numPr>
          <w:ilvl w:val="0"/>
          <w:numId w:val="1044"/>
        </w:numPr>
      </w:pPr>
      <w:r>
        <w:t xml:space="preserve">de l’authentification ;</w:t>
      </w:r>
    </w:p>
    <w:p>
      <w:pPr>
        <w:pStyle w:val="Compact"/>
        <w:numPr>
          <w:ilvl w:val="0"/>
          <w:numId w:val="1044"/>
        </w:numPr>
      </w:pPr>
      <w:r>
        <w:t xml:space="preserve">du registre des bénéficiaires ;</w:t>
      </w:r>
    </w:p>
    <w:p>
      <w:pPr>
        <w:pStyle w:val="Compact"/>
        <w:numPr>
          <w:ilvl w:val="0"/>
          <w:numId w:val="1044"/>
        </w:numPr>
      </w:pPr>
      <w:r>
        <w:t xml:space="preserve">de l’identité fondationnelle ;</w:t>
      </w:r>
    </w:p>
    <w:p>
      <w:pPr>
        <w:pStyle w:val="Compact"/>
        <w:numPr>
          <w:ilvl w:val="0"/>
          <w:numId w:val="1044"/>
        </w:numPr>
      </w:pPr>
      <w:r>
        <w:t xml:space="preserve">de la décision d’autorisation.</w:t>
      </w:r>
    </w:p>
    <w:bookmarkEnd w:id="66"/>
    <w:bookmarkStart w:id="67" w:name="principes-associés-1"/>
    <w:p>
      <w:pPr>
        <w:pStyle w:val="Heading2"/>
      </w:pPr>
      <w:r>
        <w:t xml:space="preserve">Principes associés</w:t>
      </w:r>
    </w:p>
    <w:p>
      <w:pPr>
        <w:pStyle w:val="FirstParagraph"/>
      </w:pPr>
      <w:r>
        <w:t xml:space="preserve">P-INT-01 à P-INT-04, P-INT-14 et P-INT-15.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X7022d0daafc0fd6c3c5936ae91b9df8c1a78363"/>
    <w:p>
      <w:pPr>
        <w:pStyle w:val="Heading1"/>
      </w:pPr>
      <w:r>
        <w:t xml:space="preserve">CAP-INT-03 — Échange et médiation inter-systèmes</w:t>
      </w:r>
    </w:p>
    <w:bookmarkStart w:id="69" w:name="finalité-2"/>
    <w:p>
      <w:pPr>
        <w:pStyle w:val="Heading2"/>
      </w:pPr>
      <w:r>
        <w:t xml:space="preserve">Finalité</w:t>
      </w:r>
    </w:p>
    <w:p>
      <w:pPr>
        <w:pStyle w:val="FirstParagraph"/>
      </w:pPr>
      <w:r>
        <w:t xml:space="preserve">Permettre aux systèmes de transmettre, recevoir, transformer et acheminer des données ou commandes de manière gouvernée.</w:t>
      </w:r>
    </w:p>
    <w:bookmarkEnd w:id="69"/>
    <w:bookmarkStart w:id="70" w:name="services-attendus-2"/>
    <w:p>
      <w:pPr>
        <w:pStyle w:val="Heading2"/>
      </w:pPr>
      <w:r>
        <w:t xml:space="preserve">Services attendus</w:t>
      </w:r>
    </w:p>
    <w:p>
      <w:pPr>
        <w:pStyle w:val="Compact"/>
        <w:numPr>
          <w:ilvl w:val="0"/>
          <w:numId w:val="1045"/>
        </w:numPr>
      </w:pPr>
      <w:r>
        <w:t xml:space="preserve">réception ;</w:t>
      </w:r>
    </w:p>
    <w:p>
      <w:pPr>
        <w:pStyle w:val="Compact"/>
        <w:numPr>
          <w:ilvl w:val="0"/>
          <w:numId w:val="1045"/>
        </w:numPr>
      </w:pPr>
      <w:r>
        <w:t xml:space="preserve">publication ;</w:t>
      </w:r>
    </w:p>
    <w:p>
      <w:pPr>
        <w:pStyle w:val="Compact"/>
        <w:numPr>
          <w:ilvl w:val="0"/>
          <w:numId w:val="1045"/>
        </w:numPr>
      </w:pPr>
      <w:r>
        <w:t xml:space="preserve">interrogation ;</w:t>
      </w:r>
    </w:p>
    <w:p>
      <w:pPr>
        <w:pStyle w:val="Compact"/>
        <w:numPr>
          <w:ilvl w:val="0"/>
          <w:numId w:val="1045"/>
        </w:numPr>
      </w:pPr>
      <w:r>
        <w:t xml:space="preserve">notification ;</w:t>
      </w:r>
    </w:p>
    <w:p>
      <w:pPr>
        <w:pStyle w:val="Compact"/>
        <w:numPr>
          <w:ilvl w:val="0"/>
          <w:numId w:val="1045"/>
        </w:numPr>
      </w:pPr>
      <w:r>
        <w:t xml:space="preserve">synchronisation ;</w:t>
      </w:r>
    </w:p>
    <w:p>
      <w:pPr>
        <w:pStyle w:val="Compact"/>
        <w:numPr>
          <w:ilvl w:val="0"/>
          <w:numId w:val="1045"/>
        </w:numPr>
      </w:pPr>
      <w:r>
        <w:t xml:space="preserve">routage ;</w:t>
      </w:r>
    </w:p>
    <w:p>
      <w:pPr>
        <w:pStyle w:val="Compact"/>
        <w:numPr>
          <w:ilvl w:val="0"/>
          <w:numId w:val="1045"/>
        </w:numPr>
      </w:pPr>
      <w:r>
        <w:t xml:space="preserve">transformation ;</w:t>
      </w:r>
    </w:p>
    <w:p>
      <w:pPr>
        <w:pStyle w:val="Compact"/>
        <w:numPr>
          <w:ilvl w:val="0"/>
          <w:numId w:val="1045"/>
        </w:numPr>
      </w:pPr>
      <w:r>
        <w:t xml:space="preserve">validation ;</w:t>
      </w:r>
    </w:p>
    <w:p>
      <w:pPr>
        <w:pStyle w:val="Compact"/>
        <w:numPr>
          <w:ilvl w:val="0"/>
          <w:numId w:val="1045"/>
        </w:numPr>
      </w:pPr>
      <w:r>
        <w:t xml:space="preserve">gestion des erreurs ;</w:t>
      </w:r>
    </w:p>
    <w:p>
      <w:pPr>
        <w:pStyle w:val="Compact"/>
        <w:numPr>
          <w:ilvl w:val="0"/>
          <w:numId w:val="1045"/>
        </w:numPr>
      </w:pPr>
      <w:r>
        <w:t xml:space="preserve">corrélation ;</w:t>
      </w:r>
    </w:p>
    <w:p>
      <w:pPr>
        <w:pStyle w:val="Compact"/>
        <w:numPr>
          <w:ilvl w:val="0"/>
          <w:numId w:val="1045"/>
        </w:numPr>
      </w:pPr>
      <w:r>
        <w:t xml:space="preserve">réconciliation ;</w:t>
      </w:r>
    </w:p>
    <w:p>
      <w:pPr>
        <w:pStyle w:val="Compact"/>
        <w:numPr>
          <w:ilvl w:val="0"/>
          <w:numId w:val="1045"/>
        </w:numPr>
      </w:pPr>
      <w:r>
        <w:t xml:space="preserve">intégration sortante.</w:t>
      </w:r>
    </w:p>
    <w:bookmarkEnd w:id="70"/>
    <w:bookmarkStart w:id="71" w:name="principes-associés-2"/>
    <w:p>
      <w:pPr>
        <w:pStyle w:val="Heading2"/>
      </w:pPr>
      <w:r>
        <w:t xml:space="preserve">Principes associés</w:t>
      </w:r>
    </w:p>
    <w:p>
      <w:pPr>
        <w:pStyle w:val="FirstParagraph"/>
      </w:pPr>
      <w:r>
        <w:t xml:space="preserve">P-INT-05 à P-INT-13, P-INT-18 à P-INT-25.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X0b9bccaa2719366582ded1be5d4b20db1329040"/>
    <w:p>
      <w:pPr>
        <w:pStyle w:val="Heading1"/>
      </w:pPr>
      <w:r>
        <w:t xml:space="preserve">CAP-INT-04 — Référentiel des structures et services de santé</w:t>
      </w:r>
    </w:p>
    <w:bookmarkStart w:id="73" w:name="finalité-3"/>
    <w:p>
      <w:pPr>
        <w:pStyle w:val="Heading2"/>
      </w:pPr>
      <w:r>
        <w:t xml:space="preserve">Finalité</w:t>
      </w:r>
    </w:p>
    <w:p>
      <w:pPr>
        <w:pStyle w:val="FirstParagraph"/>
      </w:pPr>
      <w:r>
        <w:t xml:space="preserve">Fournir une autorité commune sur :</w:t>
      </w:r>
    </w:p>
    <w:p>
      <w:pPr>
        <w:pStyle w:val="Compact"/>
        <w:numPr>
          <w:ilvl w:val="0"/>
          <w:numId w:val="1046"/>
        </w:numPr>
      </w:pPr>
      <w:r>
        <w:t xml:space="preserve">les formations sanitaires ;</w:t>
      </w:r>
    </w:p>
    <w:p>
      <w:pPr>
        <w:pStyle w:val="Compact"/>
        <w:numPr>
          <w:ilvl w:val="0"/>
          <w:numId w:val="1046"/>
        </w:numPr>
      </w:pPr>
      <w:r>
        <w:t xml:space="preserve">les structures communautaires ;</w:t>
      </w:r>
    </w:p>
    <w:p>
      <w:pPr>
        <w:pStyle w:val="Compact"/>
        <w:numPr>
          <w:ilvl w:val="0"/>
          <w:numId w:val="1046"/>
        </w:numPr>
      </w:pPr>
      <w:r>
        <w:t xml:space="preserve">les laboratoires ;</w:t>
      </w:r>
    </w:p>
    <w:p>
      <w:pPr>
        <w:pStyle w:val="Compact"/>
        <w:numPr>
          <w:ilvl w:val="0"/>
          <w:numId w:val="1046"/>
        </w:numPr>
      </w:pPr>
      <w:r>
        <w:t xml:space="preserve">les services de santé ;</w:t>
      </w:r>
    </w:p>
    <w:p>
      <w:pPr>
        <w:pStyle w:val="Compact"/>
        <w:numPr>
          <w:ilvl w:val="0"/>
          <w:numId w:val="1046"/>
        </w:numPr>
      </w:pPr>
      <w:r>
        <w:t xml:space="preserve">les rattachements ;</w:t>
      </w:r>
    </w:p>
    <w:p>
      <w:pPr>
        <w:pStyle w:val="Compact"/>
        <w:numPr>
          <w:ilvl w:val="0"/>
          <w:numId w:val="1046"/>
        </w:numPr>
      </w:pPr>
      <w:r>
        <w:t xml:space="preserve">les localisations ;</w:t>
      </w:r>
    </w:p>
    <w:p>
      <w:pPr>
        <w:pStyle w:val="Compact"/>
        <w:numPr>
          <w:ilvl w:val="0"/>
          <w:numId w:val="1046"/>
        </w:numPr>
      </w:pPr>
      <w:r>
        <w:t xml:space="preserve">les périodes d’activité.</w:t>
      </w:r>
    </w:p>
    <w:bookmarkEnd w:id="73"/>
    <w:bookmarkStart w:id="74" w:name="services-attendus-3"/>
    <w:p>
      <w:pPr>
        <w:pStyle w:val="Heading2"/>
      </w:pPr>
      <w:r>
        <w:t xml:space="preserve">Services attendus</w:t>
      </w:r>
    </w:p>
    <w:p>
      <w:pPr>
        <w:pStyle w:val="Compact"/>
        <w:numPr>
          <w:ilvl w:val="0"/>
          <w:numId w:val="1047"/>
        </w:numPr>
      </w:pPr>
      <w:r>
        <w:t xml:space="preserve">recherche ;</w:t>
      </w:r>
    </w:p>
    <w:p>
      <w:pPr>
        <w:pStyle w:val="Compact"/>
        <w:numPr>
          <w:ilvl w:val="0"/>
          <w:numId w:val="1047"/>
        </w:numPr>
      </w:pPr>
      <w:r>
        <w:t xml:space="preserve">consultation ;</w:t>
      </w:r>
    </w:p>
    <w:p>
      <w:pPr>
        <w:pStyle w:val="Compact"/>
        <w:numPr>
          <w:ilvl w:val="0"/>
          <w:numId w:val="1047"/>
        </w:numPr>
      </w:pPr>
      <w:r>
        <w:t xml:space="preserve">résolution d’identifiants ;</w:t>
      </w:r>
    </w:p>
    <w:p>
      <w:pPr>
        <w:pStyle w:val="Compact"/>
        <w:numPr>
          <w:ilvl w:val="0"/>
          <w:numId w:val="1047"/>
        </w:numPr>
      </w:pPr>
      <w:r>
        <w:t xml:space="preserve">historique ;</w:t>
      </w:r>
    </w:p>
    <w:p>
      <w:pPr>
        <w:pStyle w:val="Compact"/>
        <w:numPr>
          <w:ilvl w:val="0"/>
          <w:numId w:val="1047"/>
        </w:numPr>
      </w:pPr>
      <w:r>
        <w:t xml:space="preserve">synchronisation ;</w:t>
      </w:r>
    </w:p>
    <w:p>
      <w:pPr>
        <w:pStyle w:val="Compact"/>
        <w:numPr>
          <w:ilvl w:val="0"/>
          <w:numId w:val="1047"/>
        </w:numPr>
      </w:pPr>
      <w:r>
        <w:t xml:space="preserve">publication ;</w:t>
      </w:r>
    </w:p>
    <w:p>
      <w:pPr>
        <w:pStyle w:val="Compact"/>
        <w:numPr>
          <w:ilvl w:val="0"/>
          <w:numId w:val="1047"/>
        </w:numPr>
      </w:pPr>
      <w:r>
        <w:t xml:space="preserve">gestion des correspondances ;</w:t>
      </w:r>
    </w:p>
    <w:p>
      <w:pPr>
        <w:pStyle w:val="Compact"/>
        <w:numPr>
          <w:ilvl w:val="0"/>
          <w:numId w:val="1047"/>
        </w:numPr>
      </w:pPr>
      <w:r>
        <w:t xml:space="preserve">vérification de validité.</w:t>
      </w:r>
    </w:p>
    <w:bookmarkEnd w:id="74"/>
    <w:bookmarkStart w:id="75" w:name="principes-associés-3"/>
    <w:p>
      <w:pPr>
        <w:pStyle w:val="Heading2"/>
      </w:pPr>
      <w:r>
        <w:t xml:space="preserve">Principes associés</w:t>
      </w:r>
    </w:p>
    <w:p>
      <w:pPr>
        <w:pStyle w:val="FirstParagraph"/>
      </w:pPr>
      <w:r>
        <w:t xml:space="preserve">P-INT-01 à P-INT-04.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X9d0e0825705784cc089daf36223562081abea7d"/>
    <w:p>
      <w:pPr>
        <w:pStyle w:val="Heading1"/>
      </w:pPr>
      <w:r>
        <w:t xml:space="preserve">CAP-INT-05 — Terminologie et codification communes</w:t>
      </w:r>
    </w:p>
    <w:bookmarkStart w:id="77" w:name="finalité-4"/>
    <w:p>
      <w:pPr>
        <w:pStyle w:val="Heading2"/>
      </w:pPr>
      <w:r>
        <w:t xml:space="preserve">Finalité</w:t>
      </w:r>
    </w:p>
    <w:p>
      <w:pPr>
        <w:pStyle w:val="FirstParagraph"/>
      </w:pPr>
      <w:r>
        <w:t xml:space="preserve">Permettre aux systèmes de partager des définitions et codifications cohérentes.</w:t>
      </w:r>
    </w:p>
    <w:bookmarkEnd w:id="77"/>
    <w:bookmarkStart w:id="78" w:name="services-attendus-4"/>
    <w:p>
      <w:pPr>
        <w:pStyle w:val="Heading2"/>
      </w:pPr>
      <w:r>
        <w:t xml:space="preserve">Services attendus</w:t>
      </w:r>
    </w:p>
    <w:p>
      <w:pPr>
        <w:pStyle w:val="Compact"/>
        <w:numPr>
          <w:ilvl w:val="0"/>
          <w:numId w:val="1048"/>
        </w:numPr>
      </w:pPr>
      <w:r>
        <w:t xml:space="preserve">consultation de systèmes de codes ;</w:t>
      </w:r>
    </w:p>
    <w:p>
      <w:pPr>
        <w:pStyle w:val="Compact"/>
        <w:numPr>
          <w:ilvl w:val="0"/>
          <w:numId w:val="1048"/>
        </w:numPr>
      </w:pPr>
      <w:r>
        <w:t xml:space="preserve">consultation d’ensembles de valeurs ;</w:t>
      </w:r>
    </w:p>
    <w:p>
      <w:pPr>
        <w:pStyle w:val="Compact"/>
        <w:numPr>
          <w:ilvl w:val="0"/>
          <w:numId w:val="1048"/>
        </w:numPr>
      </w:pPr>
      <w:r>
        <w:t xml:space="preserve">validation de codes ;</w:t>
      </w:r>
    </w:p>
    <w:p>
      <w:pPr>
        <w:pStyle w:val="Compact"/>
        <w:numPr>
          <w:ilvl w:val="0"/>
          <w:numId w:val="1048"/>
        </w:numPr>
      </w:pPr>
      <w:r>
        <w:t xml:space="preserve">expansion ;</w:t>
      </w:r>
    </w:p>
    <w:p>
      <w:pPr>
        <w:pStyle w:val="Compact"/>
        <w:numPr>
          <w:ilvl w:val="0"/>
          <w:numId w:val="1048"/>
        </w:numPr>
      </w:pPr>
      <w:r>
        <w:t xml:space="preserve">recherche de concepts ;</w:t>
      </w:r>
    </w:p>
    <w:p>
      <w:pPr>
        <w:pStyle w:val="Compact"/>
        <w:numPr>
          <w:ilvl w:val="0"/>
          <w:numId w:val="1048"/>
        </w:numPr>
      </w:pPr>
      <w:r>
        <w:t xml:space="preserve">traduction ;</w:t>
      </w:r>
    </w:p>
    <w:p>
      <w:pPr>
        <w:pStyle w:val="Compact"/>
        <w:numPr>
          <w:ilvl w:val="0"/>
          <w:numId w:val="1048"/>
        </w:numPr>
      </w:pPr>
      <w:r>
        <w:t xml:space="preserve">publication de correspondances ;</w:t>
      </w:r>
    </w:p>
    <w:p>
      <w:pPr>
        <w:pStyle w:val="Compact"/>
        <w:numPr>
          <w:ilvl w:val="0"/>
          <w:numId w:val="1048"/>
        </w:numPr>
      </w:pPr>
      <w:r>
        <w:t xml:space="preserve">gestion des versions ;</w:t>
      </w:r>
    </w:p>
    <w:p>
      <w:pPr>
        <w:pStyle w:val="Compact"/>
        <w:numPr>
          <w:ilvl w:val="0"/>
          <w:numId w:val="1048"/>
        </w:numPr>
      </w:pPr>
      <w:r>
        <w:t xml:space="preserve">dépréciation.</w:t>
      </w:r>
    </w:p>
    <w:bookmarkEnd w:id="78"/>
    <w:bookmarkStart w:id="79" w:name="principes-associés-4"/>
    <w:p>
      <w:pPr>
        <w:pStyle w:val="Heading2"/>
      </w:pPr>
      <w:r>
        <w:t xml:space="preserve">Principes associés</w:t>
      </w:r>
    </w:p>
    <w:p>
      <w:pPr>
        <w:pStyle w:val="FirstParagraph"/>
      </w:pPr>
      <w:r>
        <w:t xml:space="preserve">P-INT-01 à P-INT-06.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Xc416cabff97b1facf4dcac506e175448dd628cd"/>
    <w:p>
      <w:pPr>
        <w:pStyle w:val="Heading1"/>
      </w:pPr>
      <w:r>
        <w:t xml:space="preserve">CAP-INT-06 — Catalogue des services et registre des contrats</w:t>
      </w:r>
    </w:p>
    <w:bookmarkStart w:id="81" w:name="finalité-5"/>
    <w:p>
      <w:pPr>
        <w:pStyle w:val="Heading2"/>
      </w:pPr>
      <w:r>
        <w:t xml:space="preserve">Finalité</w:t>
      </w:r>
    </w:p>
    <w:p>
      <w:pPr>
        <w:pStyle w:val="FirstParagraph"/>
      </w:pPr>
      <w:r>
        <w:t xml:space="preserve">Rendre visibles, gouvernables et réutilisables les services et interfaces du secteur.</w:t>
      </w:r>
    </w:p>
    <w:bookmarkEnd w:id="81"/>
    <w:bookmarkStart w:id="84" w:name="services-attendus-5"/>
    <w:p>
      <w:pPr>
        <w:pStyle w:val="Heading2"/>
      </w:pPr>
      <w:r>
        <w:t xml:space="preserve">Services attendus</w:t>
      </w:r>
    </w:p>
    <w:bookmarkStart w:id="82" w:name="catalogue-des-services"/>
    <w:p>
      <w:pPr>
        <w:pStyle w:val="Heading3"/>
      </w:pPr>
      <w:r>
        <w:t xml:space="preserve">Catalogue des services</w:t>
      </w:r>
    </w:p>
    <w:p>
      <w:pPr>
        <w:pStyle w:val="Compact"/>
        <w:numPr>
          <w:ilvl w:val="0"/>
          <w:numId w:val="1049"/>
        </w:numPr>
      </w:pPr>
      <w:r>
        <w:t xml:space="preserve">enregistrement des services ;</w:t>
      </w:r>
    </w:p>
    <w:p>
      <w:pPr>
        <w:pStyle w:val="Compact"/>
        <w:numPr>
          <w:ilvl w:val="0"/>
          <w:numId w:val="1049"/>
        </w:numPr>
      </w:pPr>
      <w:r>
        <w:t xml:space="preserve">publication des propriétaires ;</w:t>
      </w:r>
    </w:p>
    <w:p>
      <w:pPr>
        <w:pStyle w:val="Compact"/>
        <w:numPr>
          <w:ilvl w:val="0"/>
          <w:numId w:val="1049"/>
        </w:numPr>
      </w:pPr>
      <w:r>
        <w:t xml:space="preserve">publication des consommateurs ;</w:t>
      </w:r>
    </w:p>
    <w:p>
      <w:pPr>
        <w:pStyle w:val="Compact"/>
        <w:numPr>
          <w:ilvl w:val="0"/>
          <w:numId w:val="1049"/>
        </w:numPr>
      </w:pPr>
      <w:r>
        <w:t xml:space="preserve">publication des niveaux de service ;</w:t>
      </w:r>
    </w:p>
    <w:p>
      <w:pPr>
        <w:pStyle w:val="Compact"/>
        <w:numPr>
          <w:ilvl w:val="0"/>
          <w:numId w:val="1049"/>
        </w:numPr>
      </w:pPr>
      <w:r>
        <w:t xml:space="preserve">publication des conditions d’accès ;</w:t>
      </w:r>
    </w:p>
    <w:p>
      <w:pPr>
        <w:pStyle w:val="Compact"/>
        <w:numPr>
          <w:ilvl w:val="0"/>
          <w:numId w:val="1049"/>
        </w:numPr>
      </w:pPr>
      <w:r>
        <w:t xml:space="preserve">publication du statut.</w:t>
      </w:r>
    </w:p>
    <w:bookmarkEnd w:id="82"/>
    <w:bookmarkStart w:id="83" w:name="registre-des-contrats"/>
    <w:p>
      <w:pPr>
        <w:pStyle w:val="Heading3"/>
      </w:pPr>
      <w:r>
        <w:t xml:space="preserve">Registre des contrats</w:t>
      </w:r>
    </w:p>
    <w:p>
      <w:pPr>
        <w:pStyle w:val="Compact"/>
        <w:numPr>
          <w:ilvl w:val="0"/>
          <w:numId w:val="1050"/>
        </w:numPr>
      </w:pPr>
      <w:r>
        <w:t xml:space="preserve">publication des interfaces ;</w:t>
      </w:r>
    </w:p>
    <w:p>
      <w:pPr>
        <w:pStyle w:val="Compact"/>
        <w:numPr>
          <w:ilvl w:val="0"/>
          <w:numId w:val="1050"/>
        </w:numPr>
      </w:pPr>
      <w:r>
        <w:t xml:space="preserve">publication des événements ;</w:t>
      </w:r>
    </w:p>
    <w:p>
      <w:pPr>
        <w:pStyle w:val="Compact"/>
        <w:numPr>
          <w:ilvl w:val="0"/>
          <w:numId w:val="1050"/>
        </w:numPr>
      </w:pPr>
      <w:r>
        <w:t xml:space="preserve">publication des schémas ;</w:t>
      </w:r>
    </w:p>
    <w:p>
      <w:pPr>
        <w:pStyle w:val="Compact"/>
        <w:numPr>
          <w:ilvl w:val="0"/>
          <w:numId w:val="1050"/>
        </w:numPr>
      </w:pPr>
      <w:r>
        <w:t xml:space="preserve">versionnement ;</w:t>
      </w:r>
    </w:p>
    <w:p>
      <w:pPr>
        <w:pStyle w:val="Compact"/>
        <w:numPr>
          <w:ilvl w:val="0"/>
          <w:numId w:val="1050"/>
        </w:numPr>
      </w:pPr>
      <w:r>
        <w:t xml:space="preserve">compatibilité ;</w:t>
      </w:r>
    </w:p>
    <w:p>
      <w:pPr>
        <w:pStyle w:val="Compact"/>
        <w:numPr>
          <w:ilvl w:val="0"/>
          <w:numId w:val="1050"/>
        </w:numPr>
      </w:pPr>
      <w:r>
        <w:t xml:space="preserve">dépréciation ;</w:t>
      </w:r>
    </w:p>
    <w:p>
      <w:pPr>
        <w:pStyle w:val="Compact"/>
        <w:numPr>
          <w:ilvl w:val="0"/>
          <w:numId w:val="1050"/>
        </w:numPr>
      </w:pPr>
      <w:r>
        <w:t xml:space="preserve">gestion des extensions nationales.</w:t>
      </w:r>
    </w:p>
    <w:bookmarkEnd w:id="83"/>
    <w:bookmarkEnd w:id="84"/>
    <w:bookmarkStart w:id="85" w:name="principes-associés-5"/>
    <w:p>
      <w:pPr>
        <w:pStyle w:val="Heading2"/>
      </w:pPr>
      <w:r>
        <w:t xml:space="preserve">Principes associés</w:t>
      </w:r>
    </w:p>
    <w:p>
      <w:pPr>
        <w:pStyle w:val="FirstParagraph"/>
      </w:pPr>
      <w:r>
        <w:t xml:space="preserve">P-INT-05 à P-INT-09, P-INT-23 à P-INT-25.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X20812d903d5b79c055bfe25890414397e133127"/>
    <w:p>
      <w:pPr>
        <w:pStyle w:val="Heading1"/>
      </w:pPr>
      <w:r>
        <w:t xml:space="preserve">CAP-INT-07 — Accès et exposition des données analytiques</w:t>
      </w:r>
    </w:p>
    <w:bookmarkStart w:id="87" w:name="finalité-6"/>
    <w:p>
      <w:pPr>
        <w:pStyle w:val="Heading2"/>
      </w:pPr>
      <w:r>
        <w:t xml:space="preserve">Finalité</w:t>
      </w:r>
    </w:p>
    <w:p>
      <w:pPr>
        <w:pStyle w:val="FirstParagraph"/>
      </w:pPr>
      <w:r>
        <w:t xml:space="preserve">Permettre l’accès gouverné aux données et indicateurs destinés à la décision, sans imposer une charge excessive aux systèmes opérationnels.</w:t>
      </w:r>
    </w:p>
    <w:bookmarkEnd w:id="87"/>
    <w:bookmarkStart w:id="88" w:name="services-attendus-6"/>
    <w:p>
      <w:pPr>
        <w:pStyle w:val="Heading2"/>
      </w:pPr>
      <w:r>
        <w:t xml:space="preserve">Services attendus</w:t>
      </w:r>
    </w:p>
    <w:p>
      <w:pPr>
        <w:pStyle w:val="Compact"/>
        <w:numPr>
          <w:ilvl w:val="0"/>
          <w:numId w:val="1051"/>
        </w:numPr>
      </w:pPr>
      <w:r>
        <w:t xml:space="preserve">publication d’indicateurs ;</w:t>
      </w:r>
    </w:p>
    <w:p>
      <w:pPr>
        <w:pStyle w:val="Compact"/>
        <w:numPr>
          <w:ilvl w:val="0"/>
          <w:numId w:val="1051"/>
        </w:numPr>
      </w:pPr>
      <w:r>
        <w:t xml:space="preserve">consultation de données agrégées ;</w:t>
      </w:r>
    </w:p>
    <w:p>
      <w:pPr>
        <w:pStyle w:val="Compact"/>
        <w:numPr>
          <w:ilvl w:val="0"/>
          <w:numId w:val="1051"/>
        </w:numPr>
      </w:pPr>
      <w:r>
        <w:t xml:space="preserve">publication de métadonnées analytiques ;</w:t>
      </w:r>
    </w:p>
    <w:p>
      <w:pPr>
        <w:pStyle w:val="Compact"/>
        <w:numPr>
          <w:ilvl w:val="0"/>
          <w:numId w:val="1051"/>
        </w:numPr>
      </w:pPr>
      <w:r>
        <w:t xml:space="preserve">accès aux modèles validés ;</w:t>
      </w:r>
    </w:p>
    <w:p>
      <w:pPr>
        <w:pStyle w:val="Compact"/>
        <w:numPr>
          <w:ilvl w:val="0"/>
          <w:numId w:val="1051"/>
        </w:numPr>
      </w:pPr>
      <w:r>
        <w:t xml:space="preserve">exposition de données historiques ;</w:t>
      </w:r>
    </w:p>
    <w:p>
      <w:pPr>
        <w:pStyle w:val="Compact"/>
        <w:numPr>
          <w:ilvl w:val="0"/>
          <w:numId w:val="1051"/>
        </w:numPr>
      </w:pPr>
      <w:r>
        <w:t xml:space="preserve">publication de la qualité ;</w:t>
      </w:r>
    </w:p>
    <w:p>
      <w:pPr>
        <w:pStyle w:val="Compact"/>
        <w:numPr>
          <w:ilvl w:val="0"/>
          <w:numId w:val="1051"/>
        </w:numPr>
      </w:pPr>
      <w:r>
        <w:t xml:space="preserve">export contrôlé ;</w:t>
      </w:r>
    </w:p>
    <w:p>
      <w:pPr>
        <w:pStyle w:val="Compact"/>
        <w:numPr>
          <w:ilvl w:val="0"/>
          <w:numId w:val="1051"/>
        </w:numPr>
      </w:pPr>
      <w:r>
        <w:t xml:space="preserve">catalogue des données disponibles.</w:t>
      </w:r>
    </w:p>
    <w:bookmarkEnd w:id="88"/>
    <w:bookmarkStart w:id="89" w:name="limite-de-portée"/>
    <w:p>
      <w:pPr>
        <w:pStyle w:val="Heading2"/>
      </w:pPr>
      <w:r>
        <w:t xml:space="preserve">Limite de portée</w:t>
      </w:r>
    </w:p>
    <w:p>
      <w:pPr>
        <w:pStyle w:val="FirstParagraph"/>
      </w:pPr>
      <w:r>
        <w:t xml:space="preserve">Cette capacité concerne l’exposition et l’accès interopérables.</w:t>
      </w:r>
    </w:p>
    <w:p>
      <w:pPr>
        <w:pStyle w:val="BodyText"/>
      </w:pPr>
      <w:r>
        <w:t xml:space="preserve">La conception interne des entrepôts, projections et modèles analytiques relève de l’ART-SN et des architectures propres aux initiatives.</w:t>
      </w:r>
    </w:p>
    <w:bookmarkEnd w:id="89"/>
    <w:bookmarkStart w:id="90" w:name="principes-associés-6"/>
    <w:p>
      <w:pPr>
        <w:pStyle w:val="Heading2"/>
      </w:pPr>
      <w:r>
        <w:t xml:space="preserve">Principes associés</w:t>
      </w:r>
    </w:p>
    <w:p>
      <w:pPr>
        <w:pStyle w:val="FirstParagraph"/>
      </w:pPr>
      <w:r>
        <w:t xml:space="preserve">P-INT-05 à P-INT-09, P-INT-17 à P-INT-25.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X1792df66a82d7dc462b980330dab9ef82072bac"/>
    <w:p>
      <w:pPr>
        <w:pStyle w:val="Heading1"/>
      </w:pPr>
      <w:r>
        <w:t xml:space="preserve">CAP-INT-08 — Confiance, sécurité et autorisation</w:t>
      </w:r>
    </w:p>
    <w:bookmarkStart w:id="92" w:name="finalité-7"/>
    <w:p>
      <w:pPr>
        <w:pStyle w:val="Heading2"/>
      </w:pPr>
      <w:r>
        <w:t xml:space="preserve">Finalité</w:t>
      </w:r>
    </w:p>
    <w:p>
      <w:pPr>
        <w:pStyle w:val="FirstParagraph"/>
      </w:pPr>
      <w:r>
        <w:t xml:space="preserve">Fournir les mécanismes nécessaires à l’identification, l’authentification, l’autorisation et la protection des échanges.</w:t>
      </w:r>
    </w:p>
    <w:bookmarkEnd w:id="92"/>
    <w:bookmarkStart w:id="93" w:name="services-attendus-7"/>
    <w:p>
      <w:pPr>
        <w:pStyle w:val="Heading2"/>
      </w:pPr>
      <w:r>
        <w:t xml:space="preserve">Services attendus</w:t>
      </w:r>
    </w:p>
    <w:p>
      <w:pPr>
        <w:pStyle w:val="Compact"/>
        <w:numPr>
          <w:ilvl w:val="0"/>
          <w:numId w:val="1052"/>
        </w:numPr>
      </w:pPr>
      <w:r>
        <w:t xml:space="preserve">authentification des utilisateurs ;</w:t>
      </w:r>
    </w:p>
    <w:p>
      <w:pPr>
        <w:pStyle w:val="Compact"/>
        <w:numPr>
          <w:ilvl w:val="0"/>
          <w:numId w:val="1052"/>
        </w:numPr>
      </w:pPr>
      <w:r>
        <w:t xml:space="preserve">authentification des systèmes ;</w:t>
      </w:r>
    </w:p>
    <w:p>
      <w:pPr>
        <w:pStyle w:val="Compact"/>
        <w:numPr>
          <w:ilvl w:val="0"/>
          <w:numId w:val="1052"/>
        </w:numPr>
      </w:pPr>
      <w:r>
        <w:t xml:space="preserve">identité des organisations ;</w:t>
      </w:r>
    </w:p>
    <w:p>
      <w:pPr>
        <w:pStyle w:val="Compact"/>
        <w:numPr>
          <w:ilvl w:val="0"/>
          <w:numId w:val="1052"/>
        </w:numPr>
      </w:pPr>
      <w:r>
        <w:t xml:space="preserve">gestion des rôles ;</w:t>
      </w:r>
    </w:p>
    <w:p>
      <w:pPr>
        <w:pStyle w:val="Compact"/>
        <w:numPr>
          <w:ilvl w:val="0"/>
          <w:numId w:val="1052"/>
        </w:numPr>
      </w:pPr>
      <w:r>
        <w:t xml:space="preserve">gestion des attributs ;</w:t>
      </w:r>
    </w:p>
    <w:p>
      <w:pPr>
        <w:pStyle w:val="Compact"/>
        <w:numPr>
          <w:ilvl w:val="0"/>
          <w:numId w:val="1052"/>
        </w:numPr>
      </w:pPr>
      <w:r>
        <w:t xml:space="preserve">décision d’autorisation ;</w:t>
      </w:r>
    </w:p>
    <w:p>
      <w:pPr>
        <w:pStyle w:val="Compact"/>
        <w:numPr>
          <w:ilvl w:val="0"/>
          <w:numId w:val="1052"/>
        </w:numPr>
      </w:pPr>
      <w:r>
        <w:t xml:space="preserve">gestion des comptes techniques ;</w:t>
      </w:r>
    </w:p>
    <w:p>
      <w:pPr>
        <w:pStyle w:val="Compact"/>
        <w:numPr>
          <w:ilvl w:val="0"/>
          <w:numId w:val="1052"/>
        </w:numPr>
      </w:pPr>
      <w:r>
        <w:t xml:space="preserve">révocation ;</w:t>
      </w:r>
    </w:p>
    <w:p>
      <w:pPr>
        <w:pStyle w:val="Compact"/>
        <w:numPr>
          <w:ilvl w:val="0"/>
          <w:numId w:val="1052"/>
        </w:numPr>
      </w:pPr>
      <w:r>
        <w:t xml:space="preserve">gestion des secrets et certificats ;</w:t>
      </w:r>
    </w:p>
    <w:p>
      <w:pPr>
        <w:pStyle w:val="Compact"/>
        <w:numPr>
          <w:ilvl w:val="0"/>
          <w:numId w:val="1052"/>
        </w:numPr>
      </w:pPr>
      <w:r>
        <w:t xml:space="preserve">journalisation ;</w:t>
      </w:r>
    </w:p>
    <w:p>
      <w:pPr>
        <w:pStyle w:val="Compact"/>
        <w:numPr>
          <w:ilvl w:val="0"/>
          <w:numId w:val="1052"/>
        </w:numPr>
      </w:pPr>
      <w:r>
        <w:t xml:space="preserve">gestion des incidents.</w:t>
      </w:r>
    </w:p>
    <w:bookmarkEnd w:id="93"/>
    <w:bookmarkStart w:id="94" w:name="principes-associés-7"/>
    <w:p>
      <w:pPr>
        <w:pStyle w:val="Heading2"/>
      </w:pPr>
      <w:r>
        <w:t xml:space="preserve">Principes associés</w:t>
      </w:r>
    </w:p>
    <w:p>
      <w:pPr>
        <w:pStyle w:val="FirstParagraph"/>
      </w:pPr>
      <w:r>
        <w:t xml:space="preserve">P-INT-14 à P-INT-20.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Xeb0aaee8ce9a6e12b1b9fcca346b344ce01545c"/>
    <w:p>
      <w:pPr>
        <w:pStyle w:val="Heading1"/>
      </w:pPr>
      <w:r>
        <w:t xml:space="preserve">CAP-INT-09 — Gestion des consentements et bases d’autorisation</w:t>
      </w:r>
    </w:p>
    <w:bookmarkStart w:id="96" w:name="finalité-8"/>
    <w:p>
      <w:pPr>
        <w:pStyle w:val="Heading2"/>
      </w:pPr>
      <w:r>
        <w:t xml:space="preserve">Finalité</w:t>
      </w:r>
    </w:p>
    <w:p>
      <w:pPr>
        <w:pStyle w:val="FirstParagraph"/>
      </w:pPr>
      <w:r>
        <w:t xml:space="preserve">Permettre de déterminer et de prouver la base autorisant un traitement ou un accès.</w:t>
      </w:r>
    </w:p>
    <w:bookmarkEnd w:id="96"/>
    <w:bookmarkStart w:id="97" w:name="services-attendus-8"/>
    <w:p>
      <w:pPr>
        <w:pStyle w:val="Heading2"/>
      </w:pPr>
      <w:r>
        <w:t xml:space="preserve">Services attendus</w:t>
      </w:r>
    </w:p>
    <w:p>
      <w:pPr>
        <w:pStyle w:val="Compact"/>
        <w:numPr>
          <w:ilvl w:val="0"/>
          <w:numId w:val="1053"/>
        </w:numPr>
      </w:pPr>
      <w:r>
        <w:t xml:space="preserve">enregistrement d’une base d’autorisation ;</w:t>
      </w:r>
    </w:p>
    <w:p>
      <w:pPr>
        <w:pStyle w:val="Compact"/>
        <w:numPr>
          <w:ilvl w:val="0"/>
          <w:numId w:val="1053"/>
        </w:numPr>
      </w:pPr>
      <w:r>
        <w:t xml:space="preserve">consultation ;</w:t>
      </w:r>
    </w:p>
    <w:p>
      <w:pPr>
        <w:pStyle w:val="Compact"/>
        <w:numPr>
          <w:ilvl w:val="0"/>
          <w:numId w:val="1053"/>
        </w:numPr>
      </w:pPr>
      <w:r>
        <w:t xml:space="preserve">vérification ;</w:t>
      </w:r>
    </w:p>
    <w:p>
      <w:pPr>
        <w:pStyle w:val="Compact"/>
        <w:numPr>
          <w:ilvl w:val="0"/>
          <w:numId w:val="1053"/>
        </w:numPr>
      </w:pPr>
      <w:r>
        <w:t xml:space="preserve">gestion des finalités ;</w:t>
      </w:r>
    </w:p>
    <w:p>
      <w:pPr>
        <w:pStyle w:val="Compact"/>
        <w:numPr>
          <w:ilvl w:val="0"/>
          <w:numId w:val="1053"/>
        </w:numPr>
      </w:pPr>
      <w:r>
        <w:t xml:space="preserve">gestion des périodes ;</w:t>
      </w:r>
    </w:p>
    <w:p>
      <w:pPr>
        <w:pStyle w:val="Compact"/>
        <w:numPr>
          <w:ilvl w:val="0"/>
          <w:numId w:val="1053"/>
        </w:numPr>
      </w:pPr>
      <w:r>
        <w:t xml:space="preserve">retrait lorsque applicable ;</w:t>
      </w:r>
    </w:p>
    <w:p>
      <w:pPr>
        <w:pStyle w:val="Compact"/>
        <w:numPr>
          <w:ilvl w:val="0"/>
          <w:numId w:val="1053"/>
        </w:numPr>
      </w:pPr>
      <w:r>
        <w:t xml:space="preserve">preuve ;</w:t>
      </w:r>
    </w:p>
    <w:p>
      <w:pPr>
        <w:pStyle w:val="Compact"/>
        <w:numPr>
          <w:ilvl w:val="0"/>
          <w:numId w:val="1053"/>
        </w:numPr>
      </w:pPr>
      <w:r>
        <w:t xml:space="preserve">application des politiques ;</w:t>
      </w:r>
    </w:p>
    <w:p>
      <w:pPr>
        <w:pStyle w:val="Compact"/>
        <w:numPr>
          <w:ilvl w:val="0"/>
          <w:numId w:val="1053"/>
        </w:numPr>
      </w:pPr>
      <w:r>
        <w:t xml:space="preserve">traçabilité des décisions.</w:t>
      </w:r>
    </w:p>
    <w:bookmarkEnd w:id="97"/>
    <w:bookmarkStart w:id="98" w:name="principe"/>
    <w:p>
      <w:pPr>
        <w:pStyle w:val="Heading2"/>
      </w:pPr>
      <w:r>
        <w:t xml:space="preserve">Principe</w:t>
      </w:r>
    </w:p>
    <w:p>
      <w:pPr>
        <w:pStyle w:val="FirstParagraph"/>
      </w:pPr>
      <w:r>
        <w:t xml:space="preserve">Le consentement est une base possible parmi plusieurs bases légales ou fonctionnelles.</w:t>
      </w:r>
    </w:p>
    <w:bookmarkEnd w:id="98"/>
    <w:bookmarkStart w:id="99" w:name="principes-associés-8"/>
    <w:p>
      <w:pPr>
        <w:pStyle w:val="Heading2"/>
      </w:pPr>
      <w:r>
        <w:t xml:space="preserve">Principes associés</w:t>
      </w:r>
    </w:p>
    <w:p>
      <w:pPr>
        <w:pStyle w:val="FirstParagraph"/>
      </w:pPr>
      <w:r>
        <w:t xml:space="preserve">P-INT-14 à P-INT-17.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Xfb9601507e1e28fadb3c4905e1cb72387d4f7c1"/>
    <w:p>
      <w:pPr>
        <w:pStyle w:val="Heading1"/>
      </w:pPr>
      <w:r>
        <w:t xml:space="preserve">CAP-INT-10 — Provenance, audit et traçabilité</w:t>
      </w:r>
    </w:p>
    <w:bookmarkStart w:id="101" w:name="finalité-9"/>
    <w:p>
      <w:pPr>
        <w:pStyle w:val="Heading2"/>
      </w:pPr>
      <w:r>
        <w:t xml:space="preserve">Finalité</w:t>
      </w:r>
    </w:p>
    <w:p>
      <w:pPr>
        <w:pStyle w:val="FirstParagraph"/>
      </w:pPr>
      <w:r>
        <w:t xml:space="preserve">Permettre de comprendre :</w:t>
      </w:r>
    </w:p>
    <w:p>
      <w:pPr>
        <w:pStyle w:val="Compact"/>
        <w:numPr>
          <w:ilvl w:val="0"/>
          <w:numId w:val="1054"/>
        </w:numPr>
      </w:pPr>
      <w:r>
        <w:t xml:space="preserve">l’origine d’une donnée ;</w:t>
      </w:r>
    </w:p>
    <w:p>
      <w:pPr>
        <w:pStyle w:val="Compact"/>
        <w:numPr>
          <w:ilvl w:val="0"/>
          <w:numId w:val="1054"/>
        </w:numPr>
      </w:pPr>
      <w:r>
        <w:t xml:space="preserve">les transformations appliquées ;</w:t>
      </w:r>
    </w:p>
    <w:p>
      <w:pPr>
        <w:pStyle w:val="Compact"/>
        <w:numPr>
          <w:ilvl w:val="0"/>
          <w:numId w:val="1054"/>
        </w:numPr>
      </w:pPr>
      <w:r>
        <w:t xml:space="preserve">les accès effectués ;</w:t>
      </w:r>
    </w:p>
    <w:p>
      <w:pPr>
        <w:pStyle w:val="Compact"/>
        <w:numPr>
          <w:ilvl w:val="0"/>
          <w:numId w:val="1054"/>
        </w:numPr>
      </w:pPr>
      <w:r>
        <w:t xml:space="preserve">les décisions prises ;</w:t>
      </w:r>
    </w:p>
    <w:p>
      <w:pPr>
        <w:pStyle w:val="Compact"/>
        <w:numPr>
          <w:ilvl w:val="0"/>
          <w:numId w:val="1054"/>
        </w:numPr>
      </w:pPr>
      <w:r>
        <w:t xml:space="preserve">les opérations techniques liées.</w:t>
      </w:r>
    </w:p>
    <w:bookmarkEnd w:id="101"/>
    <w:bookmarkStart w:id="102" w:name="services-attendus-9"/>
    <w:p>
      <w:pPr>
        <w:pStyle w:val="Heading2"/>
      </w:pPr>
      <w:r>
        <w:t xml:space="preserve">Services attendus</w:t>
      </w:r>
    </w:p>
    <w:p>
      <w:pPr>
        <w:pStyle w:val="Compact"/>
        <w:numPr>
          <w:ilvl w:val="0"/>
          <w:numId w:val="1055"/>
        </w:numPr>
      </w:pPr>
      <w:r>
        <w:t xml:space="preserve">conservation de la provenance ;</w:t>
      </w:r>
    </w:p>
    <w:p>
      <w:pPr>
        <w:pStyle w:val="Compact"/>
        <w:numPr>
          <w:ilvl w:val="0"/>
          <w:numId w:val="1055"/>
        </w:numPr>
      </w:pPr>
      <w:r>
        <w:t xml:space="preserve">audit des accès ;</w:t>
      </w:r>
    </w:p>
    <w:p>
      <w:pPr>
        <w:pStyle w:val="Compact"/>
        <w:numPr>
          <w:ilvl w:val="0"/>
          <w:numId w:val="1055"/>
        </w:numPr>
      </w:pPr>
      <w:r>
        <w:t xml:space="preserve">audit des exports ;</w:t>
      </w:r>
    </w:p>
    <w:p>
      <w:pPr>
        <w:pStyle w:val="Compact"/>
        <w:numPr>
          <w:ilvl w:val="0"/>
          <w:numId w:val="1055"/>
        </w:numPr>
      </w:pPr>
      <w:r>
        <w:t xml:space="preserve">audit des opérations administratives ;</w:t>
      </w:r>
    </w:p>
    <w:p>
      <w:pPr>
        <w:pStyle w:val="Compact"/>
        <w:numPr>
          <w:ilvl w:val="0"/>
          <w:numId w:val="1055"/>
        </w:numPr>
      </w:pPr>
      <w:r>
        <w:t xml:space="preserve">corrélation de bout en bout ;</w:t>
      </w:r>
    </w:p>
    <w:p>
      <w:pPr>
        <w:pStyle w:val="Compact"/>
        <w:numPr>
          <w:ilvl w:val="0"/>
          <w:numId w:val="1055"/>
        </w:numPr>
      </w:pPr>
      <w:r>
        <w:t xml:space="preserve">consultation autorisée des traces ;</w:t>
      </w:r>
    </w:p>
    <w:p>
      <w:pPr>
        <w:pStyle w:val="Compact"/>
        <w:numPr>
          <w:ilvl w:val="0"/>
          <w:numId w:val="1055"/>
        </w:numPr>
      </w:pPr>
      <w:r>
        <w:t xml:space="preserve">politiques de conservation différenciées.</w:t>
      </w:r>
    </w:p>
    <w:bookmarkEnd w:id="102"/>
    <w:bookmarkStart w:id="103" w:name="principes-associés-9"/>
    <w:p>
      <w:pPr>
        <w:pStyle w:val="Heading2"/>
      </w:pPr>
      <w:r>
        <w:t xml:space="preserve">Principes associés</w:t>
      </w:r>
    </w:p>
    <w:p>
      <w:pPr>
        <w:pStyle w:val="FirstParagraph"/>
      </w:pPr>
      <w:r>
        <w:t xml:space="preserve">P-INT-07, P-INT-17, P-INT-18 et P-INT-23.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cap-int-11-qualité-et-réconciliation"/>
    <w:p>
      <w:pPr>
        <w:pStyle w:val="Heading1"/>
      </w:pPr>
      <w:r>
        <w:t xml:space="preserve">CAP-INT-11 — Qualité et réconciliation</w:t>
      </w:r>
    </w:p>
    <w:bookmarkStart w:id="105" w:name="finalité-10"/>
    <w:p>
      <w:pPr>
        <w:pStyle w:val="Heading2"/>
      </w:pPr>
      <w:r>
        <w:t xml:space="preserve">Finalité</w:t>
      </w:r>
    </w:p>
    <w:p>
      <w:pPr>
        <w:pStyle w:val="FirstParagraph"/>
      </w:pPr>
      <w:r>
        <w:t xml:space="preserve">Permettre de détecter et traiter les divergences entre systèmes, référentiels et projections.</w:t>
      </w:r>
    </w:p>
    <w:bookmarkEnd w:id="105"/>
    <w:bookmarkStart w:id="106" w:name="services-attendus-10"/>
    <w:p>
      <w:pPr>
        <w:pStyle w:val="Heading2"/>
      </w:pPr>
      <w:r>
        <w:t xml:space="preserve">Services attendus</w:t>
      </w:r>
    </w:p>
    <w:p>
      <w:pPr>
        <w:pStyle w:val="Compact"/>
        <w:numPr>
          <w:ilvl w:val="0"/>
          <w:numId w:val="1056"/>
        </w:numPr>
      </w:pPr>
      <w:r>
        <w:t xml:space="preserve">validation de contrats ;</w:t>
      </w:r>
    </w:p>
    <w:p>
      <w:pPr>
        <w:pStyle w:val="Compact"/>
        <w:numPr>
          <w:ilvl w:val="0"/>
          <w:numId w:val="1056"/>
        </w:numPr>
      </w:pPr>
      <w:r>
        <w:t xml:space="preserve">contrôle des métadonnées ;</w:t>
      </w:r>
    </w:p>
    <w:p>
      <w:pPr>
        <w:pStyle w:val="Compact"/>
        <w:numPr>
          <w:ilvl w:val="0"/>
          <w:numId w:val="1056"/>
        </w:numPr>
      </w:pPr>
      <w:r>
        <w:t xml:space="preserve">détection des messages manquants ;</w:t>
      </w:r>
    </w:p>
    <w:p>
      <w:pPr>
        <w:pStyle w:val="Compact"/>
        <w:numPr>
          <w:ilvl w:val="0"/>
          <w:numId w:val="1056"/>
        </w:numPr>
      </w:pPr>
      <w:r>
        <w:t xml:space="preserve">comparaison de versions ;</w:t>
      </w:r>
    </w:p>
    <w:p>
      <w:pPr>
        <w:pStyle w:val="Compact"/>
        <w:numPr>
          <w:ilvl w:val="0"/>
          <w:numId w:val="1056"/>
        </w:numPr>
      </w:pPr>
      <w:r>
        <w:t xml:space="preserve">comparaison de valeurs ;</w:t>
      </w:r>
    </w:p>
    <w:p>
      <w:pPr>
        <w:pStyle w:val="Compact"/>
        <w:numPr>
          <w:ilvl w:val="0"/>
          <w:numId w:val="1056"/>
        </w:numPr>
      </w:pPr>
      <w:r>
        <w:t xml:space="preserve">détection des doublons ;</w:t>
      </w:r>
    </w:p>
    <w:p>
      <w:pPr>
        <w:pStyle w:val="Compact"/>
        <w:numPr>
          <w:ilvl w:val="0"/>
          <w:numId w:val="1056"/>
        </w:numPr>
      </w:pPr>
      <w:r>
        <w:t xml:space="preserve">suivi des anomalies ;</w:t>
      </w:r>
    </w:p>
    <w:p>
      <w:pPr>
        <w:pStyle w:val="Compact"/>
        <w:numPr>
          <w:ilvl w:val="0"/>
          <w:numId w:val="1056"/>
        </w:numPr>
      </w:pPr>
      <w:r>
        <w:t xml:space="preserve">déclenchement de corrections ;</w:t>
      </w:r>
    </w:p>
    <w:p>
      <w:pPr>
        <w:pStyle w:val="Compact"/>
        <w:numPr>
          <w:ilvl w:val="0"/>
          <w:numId w:val="1056"/>
        </w:numPr>
      </w:pPr>
      <w:r>
        <w:t xml:space="preserve">publication d’indicateurs de qualité.</w:t>
      </w:r>
    </w:p>
    <w:bookmarkEnd w:id="106"/>
    <w:bookmarkStart w:id="107" w:name="principes-associés-10"/>
    <w:p>
      <w:pPr>
        <w:pStyle w:val="Heading2"/>
      </w:pPr>
      <w:r>
        <w:t xml:space="preserve">Principes associés</w:t>
      </w:r>
    </w:p>
    <w:p>
      <w:pPr>
        <w:pStyle w:val="FirstParagraph"/>
      </w:pPr>
      <w:r>
        <w:t xml:space="preserve">P-INT-01 à P-INT-09, P-INT-23 à P-INT-25.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X5a75b007459a69882d7c623e2786a44fb751156"/>
    <w:p>
      <w:pPr>
        <w:pStyle w:val="Heading1"/>
      </w:pPr>
      <w:r>
        <w:t xml:space="preserve">CAP-INT-12 — Conformité et tests d’interopérabilité</w:t>
      </w:r>
    </w:p>
    <w:bookmarkStart w:id="109" w:name="finalité-11"/>
    <w:p>
      <w:pPr>
        <w:pStyle w:val="Heading2"/>
      </w:pPr>
      <w:r>
        <w:t xml:space="preserve">Finalité</w:t>
      </w:r>
    </w:p>
    <w:p>
      <w:pPr>
        <w:pStyle w:val="FirstParagraph"/>
      </w:pPr>
      <w:r>
        <w:t xml:space="preserve">Permettre de vérifier objectivement qu’un système respecte les contrats et profils applicables.</w:t>
      </w:r>
    </w:p>
    <w:bookmarkEnd w:id="109"/>
    <w:bookmarkStart w:id="110" w:name="services-attendus-11"/>
    <w:p>
      <w:pPr>
        <w:pStyle w:val="Heading2"/>
      </w:pPr>
      <w:r>
        <w:t xml:space="preserve">Services attendus</w:t>
      </w:r>
    </w:p>
    <w:p>
      <w:pPr>
        <w:pStyle w:val="Compact"/>
        <w:numPr>
          <w:ilvl w:val="0"/>
          <w:numId w:val="1057"/>
        </w:numPr>
      </w:pPr>
      <w:r>
        <w:t xml:space="preserve">validation des contrats ;</w:t>
      </w:r>
    </w:p>
    <w:p>
      <w:pPr>
        <w:pStyle w:val="Compact"/>
        <w:numPr>
          <w:ilvl w:val="0"/>
          <w:numId w:val="1057"/>
        </w:numPr>
      </w:pPr>
      <w:r>
        <w:t xml:space="preserve">tests automatisés ;</w:t>
      </w:r>
    </w:p>
    <w:p>
      <w:pPr>
        <w:pStyle w:val="Compact"/>
        <w:numPr>
          <w:ilvl w:val="0"/>
          <w:numId w:val="1057"/>
        </w:numPr>
      </w:pPr>
      <w:r>
        <w:t xml:space="preserve">tests de sécurité ;</w:t>
      </w:r>
    </w:p>
    <w:p>
      <w:pPr>
        <w:pStyle w:val="Compact"/>
        <w:numPr>
          <w:ilvl w:val="0"/>
          <w:numId w:val="1057"/>
        </w:numPr>
      </w:pPr>
      <w:r>
        <w:t xml:space="preserve">tests de compatibilité ;</w:t>
      </w:r>
    </w:p>
    <w:p>
      <w:pPr>
        <w:pStyle w:val="Compact"/>
        <w:numPr>
          <w:ilvl w:val="0"/>
          <w:numId w:val="1057"/>
        </w:numPr>
      </w:pPr>
      <w:r>
        <w:t xml:space="preserve">tests de performance ;</w:t>
      </w:r>
    </w:p>
    <w:p>
      <w:pPr>
        <w:pStyle w:val="Compact"/>
        <w:numPr>
          <w:ilvl w:val="0"/>
          <w:numId w:val="1057"/>
        </w:numPr>
      </w:pPr>
      <w:r>
        <w:t xml:space="preserve">jeux de données de référence ;</w:t>
      </w:r>
    </w:p>
    <w:p>
      <w:pPr>
        <w:pStyle w:val="Compact"/>
        <w:numPr>
          <w:ilvl w:val="0"/>
          <w:numId w:val="1057"/>
        </w:numPr>
      </w:pPr>
      <w:r>
        <w:t xml:space="preserve">publication des résultats ;</w:t>
      </w:r>
    </w:p>
    <w:p>
      <w:pPr>
        <w:pStyle w:val="Compact"/>
        <w:numPr>
          <w:ilvl w:val="0"/>
          <w:numId w:val="1057"/>
        </w:numPr>
      </w:pPr>
      <w:r>
        <w:t xml:space="preserve">déclaration de conformité ;</w:t>
      </w:r>
    </w:p>
    <w:p>
      <w:pPr>
        <w:pStyle w:val="Compact"/>
        <w:numPr>
          <w:ilvl w:val="0"/>
          <w:numId w:val="1057"/>
        </w:numPr>
      </w:pPr>
      <w:r>
        <w:t xml:space="preserve">gestion des dérogations ;</w:t>
      </w:r>
    </w:p>
    <w:p>
      <w:pPr>
        <w:pStyle w:val="Compact"/>
        <w:numPr>
          <w:ilvl w:val="0"/>
          <w:numId w:val="1057"/>
        </w:numPr>
      </w:pPr>
      <w:r>
        <w:t xml:space="preserve">suivi de remédiation.</w:t>
      </w:r>
    </w:p>
    <w:bookmarkEnd w:id="110"/>
    <w:bookmarkStart w:id="111" w:name="principes-associés-11"/>
    <w:p>
      <w:pPr>
        <w:pStyle w:val="Heading2"/>
      </w:pPr>
      <w:r>
        <w:t xml:space="preserve">Principes associés</w:t>
      </w:r>
    </w:p>
    <w:p>
      <w:pPr>
        <w:pStyle w:val="FirstParagraph"/>
      </w:pPr>
      <w:r>
        <w:t xml:space="preserve">P-INT-19 à P-INT-25.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partie-iii-gouvernance"/>
    <w:p>
      <w:pPr>
        <w:pStyle w:val="Heading1"/>
      </w:pPr>
      <w:r>
        <w:t xml:space="preserve">PARTIE III — GOUVERNANCE</w:t>
      </w:r>
    </w:p>
    <w:bookmarkEnd w:id="113"/>
    <w:bookmarkStart w:id="114" w:name="instance-porteuse"/>
    <w:p>
      <w:pPr>
        <w:pStyle w:val="Heading1"/>
      </w:pPr>
      <w:r>
        <w:t xml:space="preserve">1. Instance porteuse</w:t>
      </w:r>
    </w:p>
    <w:p>
      <w:pPr>
        <w:pStyle w:val="FirstParagraph"/>
      </w:pPr>
      <w:r>
        <w:t xml:space="preserve">Le CNISN est porté par l’instance sectorielle d’architecture de santé.</w:t>
      </w:r>
    </w:p>
    <w:p>
      <w:pPr>
        <w:pStyle w:val="BodyText"/>
      </w:pPr>
      <w:r>
        <w:t xml:space="preserve">Cette instance exerce son mandat en coordination avec :</w:t>
      </w:r>
    </w:p>
    <w:p>
      <w:pPr>
        <w:pStyle w:val="Compact"/>
        <w:numPr>
          <w:ilvl w:val="0"/>
          <w:numId w:val="1058"/>
        </w:numPr>
      </w:pPr>
      <w:r>
        <w:t xml:space="preserve">l’instance nationale d’architecture ;</w:t>
      </w:r>
    </w:p>
    <w:p>
      <w:pPr>
        <w:pStyle w:val="Compact"/>
        <w:numPr>
          <w:ilvl w:val="0"/>
          <w:numId w:val="1058"/>
        </w:numPr>
      </w:pPr>
      <w:r>
        <w:t xml:space="preserve">l’Unité de Gouvernance Digitale ;</w:t>
      </w:r>
    </w:p>
    <w:p>
      <w:pPr>
        <w:pStyle w:val="Compact"/>
        <w:numPr>
          <w:ilvl w:val="0"/>
          <w:numId w:val="1058"/>
        </w:numPr>
      </w:pPr>
      <w:r>
        <w:t xml:space="preserve">la direction des systèmes d’information du secteur ;</w:t>
      </w:r>
    </w:p>
    <w:p>
      <w:pPr>
        <w:pStyle w:val="Compact"/>
        <w:numPr>
          <w:ilvl w:val="0"/>
          <w:numId w:val="1058"/>
        </w:numPr>
      </w:pPr>
      <w:r>
        <w:t xml:space="preserve">les directions métier ;</w:t>
      </w:r>
    </w:p>
    <w:p>
      <w:pPr>
        <w:pStyle w:val="Compact"/>
        <w:numPr>
          <w:ilvl w:val="0"/>
          <w:numId w:val="1058"/>
        </w:numPr>
      </w:pPr>
      <w:r>
        <w:t xml:space="preserve">les responsables des référentiels ;</w:t>
      </w:r>
    </w:p>
    <w:p>
      <w:pPr>
        <w:pStyle w:val="Compact"/>
        <w:numPr>
          <w:ilvl w:val="0"/>
          <w:numId w:val="1058"/>
        </w:numPr>
      </w:pPr>
      <w:r>
        <w:t xml:space="preserve">l’autorité nationale de protection des données ;</w:t>
      </w:r>
    </w:p>
    <w:p>
      <w:pPr>
        <w:pStyle w:val="Compact"/>
        <w:numPr>
          <w:ilvl w:val="0"/>
          <w:numId w:val="1058"/>
        </w:numPr>
      </w:pPr>
      <w:r>
        <w:t xml:space="preserve">l’autorité nationale compétente en cybersécurité ;</w:t>
      </w:r>
    </w:p>
    <w:p>
      <w:pPr>
        <w:pStyle w:val="Compact"/>
        <w:numPr>
          <w:ilvl w:val="0"/>
          <w:numId w:val="1058"/>
        </w:numPr>
      </w:pPr>
      <w:r>
        <w:t xml:space="preserve">les institutions partenaires concernées.</w:t>
      </w:r>
    </w:p>
    <w:p>
      <w:r>
        <w:pict>
          <v:rect style="width:0;height:1.5pt" o:hralign="center" o:hrstd="t" o:hr="t"/>
        </w:pict>
      </w:r>
    </w:p>
    <w:bookmarkEnd w:id="114"/>
    <w:bookmarkStart w:id="121" w:name="fonctions-de-linstance-de-gouvernance"/>
    <w:p>
      <w:pPr>
        <w:pStyle w:val="Heading1"/>
      </w:pPr>
      <w:r>
        <w:t xml:space="preserve">2. Fonctions de l’instance de gouvernance</w:t>
      </w:r>
    </w:p>
    <w:p>
      <w:pPr>
        <w:pStyle w:val="FirstParagraph"/>
      </w:pPr>
      <w:r>
        <w:t xml:space="preserve">L’instance sectorielle assure :</w:t>
      </w:r>
    </w:p>
    <w:bookmarkStart w:id="115" w:name="gouvernance-des-principes"/>
    <w:p>
      <w:pPr>
        <w:pStyle w:val="Heading2"/>
      </w:pPr>
      <w:r>
        <w:t xml:space="preserve">2.1 Gouvernance des principes</w:t>
      </w:r>
    </w:p>
    <w:p>
      <w:pPr>
        <w:pStyle w:val="Compact"/>
        <w:numPr>
          <w:ilvl w:val="0"/>
          <w:numId w:val="1059"/>
        </w:numPr>
      </w:pPr>
      <w:r>
        <w:t xml:space="preserve">interprétation du cadre ;</w:t>
      </w:r>
    </w:p>
    <w:p>
      <w:pPr>
        <w:pStyle w:val="Compact"/>
        <w:numPr>
          <w:ilvl w:val="0"/>
          <w:numId w:val="1059"/>
        </w:numPr>
      </w:pPr>
      <w:r>
        <w:t xml:space="preserve">publication des décisions ;</w:t>
      </w:r>
    </w:p>
    <w:p>
      <w:pPr>
        <w:pStyle w:val="Compact"/>
        <w:numPr>
          <w:ilvl w:val="0"/>
          <w:numId w:val="1059"/>
        </w:numPr>
      </w:pPr>
      <w:r>
        <w:t xml:space="preserve">revue des principes ;</w:t>
      </w:r>
    </w:p>
    <w:p>
      <w:pPr>
        <w:pStyle w:val="Compact"/>
        <w:numPr>
          <w:ilvl w:val="0"/>
          <w:numId w:val="1059"/>
        </w:numPr>
      </w:pPr>
      <w:r>
        <w:t xml:space="preserve">gestion des évolutions.</w:t>
      </w:r>
    </w:p>
    <w:bookmarkEnd w:id="115"/>
    <w:bookmarkStart w:id="116" w:name="gouvernance-des-capacités"/>
    <w:p>
      <w:pPr>
        <w:pStyle w:val="Heading2"/>
      </w:pPr>
      <w:r>
        <w:t xml:space="preserve">2.2 Gouvernance des capacités</w:t>
      </w:r>
    </w:p>
    <w:p>
      <w:pPr>
        <w:pStyle w:val="Compact"/>
        <w:numPr>
          <w:ilvl w:val="0"/>
          <w:numId w:val="1060"/>
        </w:numPr>
      </w:pPr>
      <w:r>
        <w:t xml:space="preserve">désignation des propriétaires ;</w:t>
      </w:r>
    </w:p>
    <w:p>
      <w:pPr>
        <w:pStyle w:val="Compact"/>
        <w:numPr>
          <w:ilvl w:val="0"/>
          <w:numId w:val="1060"/>
        </w:numPr>
      </w:pPr>
      <w:r>
        <w:t xml:space="preserve">évaluation de maturité ;</w:t>
      </w:r>
    </w:p>
    <w:p>
      <w:pPr>
        <w:pStyle w:val="Compact"/>
        <w:numPr>
          <w:ilvl w:val="0"/>
          <w:numId w:val="1060"/>
        </w:numPr>
      </w:pPr>
      <w:r>
        <w:t xml:space="preserve">priorisation des investissements ;</w:t>
      </w:r>
    </w:p>
    <w:p>
      <w:pPr>
        <w:pStyle w:val="Compact"/>
        <w:numPr>
          <w:ilvl w:val="0"/>
          <w:numId w:val="1060"/>
        </w:numPr>
      </w:pPr>
      <w:r>
        <w:t xml:space="preserve">suivi de disponibilité ;</w:t>
      </w:r>
    </w:p>
    <w:p>
      <w:pPr>
        <w:pStyle w:val="Compact"/>
        <w:numPr>
          <w:ilvl w:val="0"/>
          <w:numId w:val="1060"/>
        </w:numPr>
      </w:pPr>
      <w:r>
        <w:t xml:space="preserve">arbitrage des chevauchements.</w:t>
      </w:r>
    </w:p>
    <w:bookmarkEnd w:id="116"/>
    <w:bookmarkStart w:id="117" w:name="gouvernance-des-services"/>
    <w:p>
      <w:pPr>
        <w:pStyle w:val="Heading2"/>
      </w:pPr>
      <w:r>
        <w:t xml:space="preserve">2.3 Gouvernance des services</w:t>
      </w:r>
    </w:p>
    <w:p>
      <w:pPr>
        <w:pStyle w:val="Compact"/>
        <w:numPr>
          <w:ilvl w:val="0"/>
          <w:numId w:val="1061"/>
        </w:numPr>
      </w:pPr>
      <w:r>
        <w:t xml:space="preserve">validation du statut national ou sectoriel ;</w:t>
      </w:r>
    </w:p>
    <w:p>
      <w:pPr>
        <w:pStyle w:val="Compact"/>
        <w:numPr>
          <w:ilvl w:val="0"/>
          <w:numId w:val="1061"/>
        </w:numPr>
      </w:pPr>
      <w:r>
        <w:t xml:space="preserve">enregistrement au catalogue ;</w:t>
      </w:r>
    </w:p>
    <w:p>
      <w:pPr>
        <w:pStyle w:val="Compact"/>
        <w:numPr>
          <w:ilvl w:val="0"/>
          <w:numId w:val="1061"/>
        </w:numPr>
      </w:pPr>
      <w:r>
        <w:t xml:space="preserve">désignation du propriétaire ;</w:t>
      </w:r>
    </w:p>
    <w:p>
      <w:pPr>
        <w:pStyle w:val="Compact"/>
        <w:numPr>
          <w:ilvl w:val="0"/>
          <w:numId w:val="1061"/>
        </w:numPr>
      </w:pPr>
      <w:r>
        <w:t xml:space="preserve">approbation des niveaux de service ;</w:t>
      </w:r>
    </w:p>
    <w:p>
      <w:pPr>
        <w:pStyle w:val="Compact"/>
        <w:numPr>
          <w:ilvl w:val="0"/>
          <w:numId w:val="1061"/>
        </w:numPr>
      </w:pPr>
      <w:r>
        <w:t xml:space="preserve">décision de dépréciation.</w:t>
      </w:r>
    </w:p>
    <w:bookmarkEnd w:id="117"/>
    <w:bookmarkStart w:id="118" w:name="gouvernance-des-contrats"/>
    <w:p>
      <w:pPr>
        <w:pStyle w:val="Heading2"/>
      </w:pPr>
      <w:r>
        <w:t xml:space="preserve">2.4 Gouvernance des contrats</w:t>
      </w:r>
    </w:p>
    <w:p>
      <w:pPr>
        <w:pStyle w:val="Compact"/>
        <w:numPr>
          <w:ilvl w:val="0"/>
          <w:numId w:val="1062"/>
        </w:numPr>
      </w:pPr>
      <w:r>
        <w:t xml:space="preserve">validation des versions ;</w:t>
      </w:r>
    </w:p>
    <w:p>
      <w:pPr>
        <w:pStyle w:val="Compact"/>
        <w:numPr>
          <w:ilvl w:val="0"/>
          <w:numId w:val="1062"/>
        </w:numPr>
      </w:pPr>
      <w:r>
        <w:t xml:space="preserve">arbitrage des incompatibilités ;</w:t>
      </w:r>
    </w:p>
    <w:p>
      <w:pPr>
        <w:pStyle w:val="Compact"/>
        <w:numPr>
          <w:ilvl w:val="0"/>
          <w:numId w:val="1062"/>
        </w:numPr>
      </w:pPr>
      <w:r>
        <w:t xml:space="preserve">validation des extensions nationales ;</w:t>
      </w:r>
    </w:p>
    <w:p>
      <w:pPr>
        <w:pStyle w:val="Compact"/>
        <w:numPr>
          <w:ilvl w:val="0"/>
          <w:numId w:val="1062"/>
        </w:numPr>
      </w:pPr>
      <w:r>
        <w:t xml:space="preserve">suivi de dépréciation ;</w:t>
      </w:r>
    </w:p>
    <w:p>
      <w:pPr>
        <w:pStyle w:val="Compact"/>
        <w:numPr>
          <w:ilvl w:val="0"/>
          <w:numId w:val="1062"/>
        </w:numPr>
      </w:pPr>
      <w:r>
        <w:t xml:space="preserve">homologation des contrats.</w:t>
      </w:r>
    </w:p>
    <w:bookmarkEnd w:id="118"/>
    <w:bookmarkStart w:id="119" w:name="gouvernance-des-dérogations"/>
    <w:p>
      <w:pPr>
        <w:pStyle w:val="Heading2"/>
      </w:pPr>
      <w:r>
        <w:t xml:space="preserve">2.5 Gouvernance des dérogations</w:t>
      </w:r>
    </w:p>
    <w:p>
      <w:pPr>
        <w:pStyle w:val="Compact"/>
        <w:numPr>
          <w:ilvl w:val="0"/>
          <w:numId w:val="1063"/>
        </w:numPr>
      </w:pPr>
      <w:r>
        <w:t xml:space="preserve">instruction ;</w:t>
      </w:r>
    </w:p>
    <w:p>
      <w:pPr>
        <w:pStyle w:val="Compact"/>
        <w:numPr>
          <w:ilvl w:val="0"/>
          <w:numId w:val="1063"/>
        </w:numPr>
      </w:pPr>
      <w:r>
        <w:t xml:space="preserve">validation ;</w:t>
      </w:r>
    </w:p>
    <w:p>
      <w:pPr>
        <w:pStyle w:val="Compact"/>
        <w:numPr>
          <w:ilvl w:val="0"/>
          <w:numId w:val="1063"/>
        </w:numPr>
      </w:pPr>
      <w:r>
        <w:t xml:space="preserve">enregistrement ;</w:t>
      </w:r>
    </w:p>
    <w:p>
      <w:pPr>
        <w:pStyle w:val="Compact"/>
        <w:numPr>
          <w:ilvl w:val="0"/>
          <w:numId w:val="1063"/>
        </w:numPr>
      </w:pPr>
      <w:r>
        <w:t xml:space="preserve">limitation dans le temps ;</w:t>
      </w:r>
    </w:p>
    <w:p>
      <w:pPr>
        <w:pStyle w:val="Compact"/>
        <w:numPr>
          <w:ilvl w:val="0"/>
          <w:numId w:val="1063"/>
        </w:numPr>
      </w:pPr>
      <w:r>
        <w:t xml:space="preserve">suivi des mesures compensatoires ;</w:t>
      </w:r>
    </w:p>
    <w:p>
      <w:pPr>
        <w:pStyle w:val="Compact"/>
        <w:numPr>
          <w:ilvl w:val="0"/>
          <w:numId w:val="1063"/>
        </w:numPr>
      </w:pPr>
      <w:r>
        <w:t xml:space="preserve">clôture.</w:t>
      </w:r>
    </w:p>
    <w:bookmarkEnd w:id="119"/>
    <w:bookmarkStart w:id="120" w:name="gouvernance-interinstitutionnelle"/>
    <w:p>
      <w:pPr>
        <w:pStyle w:val="Heading2"/>
      </w:pPr>
      <w:r>
        <w:t xml:space="preserve">2.6 Gouvernance interinstitutionnelle</w:t>
      </w:r>
    </w:p>
    <w:p>
      <w:pPr>
        <w:pStyle w:val="Compact"/>
        <w:numPr>
          <w:ilvl w:val="0"/>
          <w:numId w:val="1064"/>
        </w:numPr>
      </w:pPr>
      <w:r>
        <w:t xml:space="preserve">validation des accords ;</w:t>
      </w:r>
    </w:p>
    <w:p>
      <w:pPr>
        <w:pStyle w:val="Compact"/>
        <w:numPr>
          <w:ilvl w:val="0"/>
          <w:numId w:val="1064"/>
        </w:numPr>
      </w:pPr>
      <w:r>
        <w:t xml:space="preserve">coordination avec l’UGD ;</w:t>
      </w:r>
    </w:p>
    <w:p>
      <w:pPr>
        <w:pStyle w:val="Compact"/>
        <w:numPr>
          <w:ilvl w:val="0"/>
          <w:numId w:val="1064"/>
        </w:numPr>
      </w:pPr>
      <w:r>
        <w:t xml:space="preserve">arbitrage des responsabilités ;</w:t>
      </w:r>
    </w:p>
    <w:p>
      <w:pPr>
        <w:pStyle w:val="Compact"/>
        <w:numPr>
          <w:ilvl w:val="0"/>
          <w:numId w:val="1064"/>
        </w:numPr>
      </w:pPr>
      <w:r>
        <w:t xml:space="preserve">suivi des incidents ;</w:t>
      </w:r>
    </w:p>
    <w:p>
      <w:pPr>
        <w:pStyle w:val="Compact"/>
        <w:numPr>
          <w:ilvl w:val="0"/>
          <w:numId w:val="1064"/>
        </w:numPr>
      </w:pPr>
      <w:r>
        <w:t xml:space="preserve">gestion des contraintes de résidence.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comité-national-et-comité-sectoriel"/>
    <w:p>
      <w:pPr>
        <w:pStyle w:val="Heading1"/>
      </w:pPr>
      <w:r>
        <w:t xml:space="preserve">3. Comité national et comité sectoriel</w:t>
      </w:r>
    </w:p>
    <w:p>
      <w:pPr>
        <w:pStyle w:val="FirstParagraph"/>
      </w:pPr>
      <w:r>
        <w:t xml:space="preserve">Le comité national d’architecture :</w:t>
      </w:r>
    </w:p>
    <w:p>
      <w:pPr>
        <w:pStyle w:val="Compact"/>
        <w:numPr>
          <w:ilvl w:val="0"/>
          <w:numId w:val="1065"/>
        </w:numPr>
      </w:pPr>
      <w:r>
        <w:t xml:space="preserve">fixe les orientations transversales ;</w:t>
      </w:r>
    </w:p>
    <w:p>
      <w:pPr>
        <w:pStyle w:val="Compact"/>
        <w:numPr>
          <w:ilvl w:val="0"/>
          <w:numId w:val="1065"/>
        </w:numPr>
      </w:pPr>
      <w:r>
        <w:t xml:space="preserve">gouverne les services pangouvernementaux ;</w:t>
      </w:r>
    </w:p>
    <w:p>
      <w:pPr>
        <w:pStyle w:val="Compact"/>
        <w:numPr>
          <w:ilvl w:val="0"/>
          <w:numId w:val="1065"/>
        </w:numPr>
      </w:pPr>
      <w:r>
        <w:t xml:space="preserve">arbitre les divergences entre secteurs ;</w:t>
      </w:r>
    </w:p>
    <w:p>
      <w:pPr>
        <w:pStyle w:val="Compact"/>
        <w:numPr>
          <w:ilvl w:val="0"/>
          <w:numId w:val="1065"/>
        </w:numPr>
      </w:pPr>
      <w:r>
        <w:t xml:space="preserve">valide les mécanismes interinstitutionnels ;</w:t>
      </w:r>
    </w:p>
    <w:p>
      <w:pPr>
        <w:pStyle w:val="Compact"/>
        <w:numPr>
          <w:ilvl w:val="0"/>
          <w:numId w:val="1065"/>
        </w:numPr>
      </w:pPr>
      <w:r>
        <w:t xml:space="preserve">assure la cohérence nationale.</w:t>
      </w:r>
    </w:p>
    <w:p>
      <w:pPr>
        <w:pStyle w:val="FirstParagraph"/>
      </w:pPr>
      <w:r>
        <w:t xml:space="preserve">Le comité sectoriel santé :</w:t>
      </w:r>
    </w:p>
    <w:p>
      <w:pPr>
        <w:pStyle w:val="Compact"/>
        <w:numPr>
          <w:ilvl w:val="0"/>
          <w:numId w:val="1066"/>
        </w:numPr>
      </w:pPr>
      <w:r>
        <w:t xml:space="preserve">décline les orientations pour le secteur ;</w:t>
      </w:r>
    </w:p>
    <w:p>
      <w:pPr>
        <w:pStyle w:val="Compact"/>
        <w:numPr>
          <w:ilvl w:val="0"/>
          <w:numId w:val="1066"/>
        </w:numPr>
      </w:pPr>
      <w:r>
        <w:t xml:space="preserve">gouverne les services de santé ;</w:t>
      </w:r>
    </w:p>
    <w:p>
      <w:pPr>
        <w:pStyle w:val="Compact"/>
        <w:numPr>
          <w:ilvl w:val="0"/>
          <w:numId w:val="1066"/>
        </w:numPr>
      </w:pPr>
      <w:r>
        <w:t xml:space="preserve">valide les profils sectoriels ;</w:t>
      </w:r>
    </w:p>
    <w:p>
      <w:pPr>
        <w:pStyle w:val="Compact"/>
        <w:numPr>
          <w:ilvl w:val="0"/>
          <w:numId w:val="1066"/>
        </w:numPr>
      </w:pPr>
      <w:r>
        <w:t xml:space="preserve">instruit les initiatives ;</w:t>
      </w:r>
    </w:p>
    <w:p>
      <w:pPr>
        <w:pStyle w:val="Compact"/>
        <w:numPr>
          <w:ilvl w:val="0"/>
          <w:numId w:val="1066"/>
        </w:numPr>
      </w:pPr>
      <w:r>
        <w:t xml:space="preserve">organise l’homologation sectorielle ;</w:t>
      </w:r>
    </w:p>
    <w:p>
      <w:pPr>
        <w:pStyle w:val="Compact"/>
        <w:numPr>
          <w:ilvl w:val="0"/>
          <w:numId w:val="1066"/>
        </w:numPr>
      </w:pPr>
      <w:r>
        <w:t xml:space="preserve">remonte les besoins transversaux.</w:t>
      </w:r>
    </w:p>
    <w:p>
      <w:r>
        <w:pict>
          <v:rect style="width:0;height:1.5pt" o:hralign="center" o:hrstd="t" o:hr="t"/>
        </w:pict>
      </w:r>
    </w:p>
    <w:bookmarkEnd w:id="122"/>
    <w:bookmarkStart w:id="123" w:name="rôle-des-propriétaires-de-capacités"/>
    <w:p>
      <w:pPr>
        <w:pStyle w:val="Heading1"/>
      </w:pPr>
      <w:r>
        <w:t xml:space="preserve">4. Rôle des propriétaires de capacités</w:t>
      </w:r>
    </w:p>
    <w:p>
      <w:pPr>
        <w:pStyle w:val="FirstParagraph"/>
      </w:pPr>
      <w:r>
        <w:t xml:space="preserve">Chaque capacité nationale doit disposer :</w:t>
      </w:r>
    </w:p>
    <w:p>
      <w:pPr>
        <w:pStyle w:val="Compact"/>
        <w:numPr>
          <w:ilvl w:val="0"/>
          <w:numId w:val="1067"/>
        </w:numPr>
      </w:pPr>
      <w:r>
        <w:t xml:space="preserve">d’un propriétaire institutionnel ;</w:t>
      </w:r>
    </w:p>
    <w:p>
      <w:pPr>
        <w:pStyle w:val="Compact"/>
        <w:numPr>
          <w:ilvl w:val="0"/>
          <w:numId w:val="1067"/>
        </w:numPr>
      </w:pPr>
      <w:r>
        <w:t xml:space="preserve">d’un propriétaire fonctionnel ;</w:t>
      </w:r>
    </w:p>
    <w:p>
      <w:pPr>
        <w:pStyle w:val="Compact"/>
        <w:numPr>
          <w:ilvl w:val="0"/>
          <w:numId w:val="1067"/>
        </w:numPr>
      </w:pPr>
      <w:r>
        <w:t xml:space="preserve">d’un responsable technique ;</w:t>
      </w:r>
    </w:p>
    <w:p>
      <w:pPr>
        <w:pStyle w:val="Compact"/>
        <w:numPr>
          <w:ilvl w:val="0"/>
          <w:numId w:val="1067"/>
        </w:numPr>
      </w:pPr>
      <w:r>
        <w:t xml:space="preserve">d’un responsable de la sécurité ;</w:t>
      </w:r>
    </w:p>
    <w:p>
      <w:pPr>
        <w:pStyle w:val="Compact"/>
        <w:numPr>
          <w:ilvl w:val="0"/>
          <w:numId w:val="1067"/>
        </w:numPr>
      </w:pPr>
      <w:r>
        <w:t xml:space="preserve">d’un modèle d’exploitation ;</w:t>
      </w:r>
    </w:p>
    <w:p>
      <w:pPr>
        <w:pStyle w:val="Compact"/>
        <w:numPr>
          <w:ilvl w:val="0"/>
          <w:numId w:val="1067"/>
        </w:numPr>
      </w:pPr>
      <w:r>
        <w:t xml:space="preserve">d’un budget ;</w:t>
      </w:r>
    </w:p>
    <w:p>
      <w:pPr>
        <w:pStyle w:val="Compact"/>
        <w:numPr>
          <w:ilvl w:val="0"/>
          <w:numId w:val="1067"/>
        </w:numPr>
      </w:pPr>
      <w:r>
        <w:t xml:space="preserve">d’indicateurs ;</w:t>
      </w:r>
    </w:p>
    <w:p>
      <w:pPr>
        <w:pStyle w:val="Compact"/>
        <w:numPr>
          <w:ilvl w:val="0"/>
          <w:numId w:val="1067"/>
        </w:numPr>
      </w:pPr>
      <w:r>
        <w:t xml:space="preserve">d’une feuille de route.</w:t>
      </w:r>
    </w:p>
    <w:p>
      <w:pPr>
        <w:pStyle w:val="FirstParagraph"/>
      </w:pPr>
      <w:r>
        <w:t xml:space="preserve">Une capacité sans propriétaire et sans modèle d’exploitation ne doit pas être considérée comme disponible au niveau national.</w:t>
      </w:r>
    </w:p>
    <w:p>
      <w:r>
        <w:pict>
          <v:rect style="width:0;height:1.5pt" o:hralign="center" o:hrstd="t" o:hr="t"/>
        </w:pict>
      </w:r>
    </w:p>
    <w:bookmarkEnd w:id="123"/>
    <w:bookmarkStart w:id="124" w:name="rôle-du-registre-des-décisions"/>
    <w:p>
      <w:pPr>
        <w:pStyle w:val="Heading1"/>
      </w:pPr>
      <w:r>
        <w:t xml:space="preserve">5. Rôle du registre des décisions</w:t>
      </w:r>
    </w:p>
    <w:p>
      <w:pPr>
        <w:pStyle w:val="FirstParagraph"/>
      </w:pPr>
      <w:r>
        <w:t xml:space="preserve">Toute décision structurante doit être enregistrée.</w:t>
      </w:r>
    </w:p>
    <w:p>
      <w:pPr>
        <w:pStyle w:val="BodyText"/>
      </w:pPr>
      <w:r>
        <w:t xml:space="preserve">Le registre contient :</w:t>
      </w:r>
    </w:p>
    <w:p>
      <w:pPr>
        <w:pStyle w:val="Compact"/>
        <w:numPr>
          <w:ilvl w:val="0"/>
          <w:numId w:val="1068"/>
        </w:numPr>
      </w:pPr>
      <w:r>
        <w:t xml:space="preserve">la décision ;</w:t>
      </w:r>
    </w:p>
    <w:p>
      <w:pPr>
        <w:pStyle w:val="Compact"/>
        <w:numPr>
          <w:ilvl w:val="0"/>
          <w:numId w:val="1068"/>
        </w:numPr>
      </w:pPr>
      <w:r>
        <w:t xml:space="preserve">le contexte ;</w:t>
      </w:r>
    </w:p>
    <w:p>
      <w:pPr>
        <w:pStyle w:val="Compact"/>
        <w:numPr>
          <w:ilvl w:val="0"/>
          <w:numId w:val="1068"/>
        </w:numPr>
      </w:pPr>
      <w:r>
        <w:t xml:space="preserve">les options examinées ;</w:t>
      </w:r>
    </w:p>
    <w:p>
      <w:pPr>
        <w:pStyle w:val="Compact"/>
        <w:numPr>
          <w:ilvl w:val="0"/>
          <w:numId w:val="1068"/>
        </w:numPr>
      </w:pPr>
      <w:r>
        <w:t xml:space="preserve">la justification ;</w:t>
      </w:r>
    </w:p>
    <w:p>
      <w:pPr>
        <w:pStyle w:val="Compact"/>
        <w:numPr>
          <w:ilvl w:val="0"/>
          <w:numId w:val="1068"/>
        </w:numPr>
      </w:pPr>
      <w:r>
        <w:t xml:space="preserve">les impacts ;</w:t>
      </w:r>
    </w:p>
    <w:p>
      <w:pPr>
        <w:pStyle w:val="Compact"/>
        <w:numPr>
          <w:ilvl w:val="0"/>
          <w:numId w:val="1068"/>
        </w:numPr>
      </w:pPr>
      <w:r>
        <w:t xml:space="preserve">les responsables ;</w:t>
      </w:r>
    </w:p>
    <w:p>
      <w:pPr>
        <w:pStyle w:val="Compact"/>
        <w:numPr>
          <w:ilvl w:val="0"/>
          <w:numId w:val="1068"/>
        </w:numPr>
      </w:pPr>
      <w:r>
        <w:t xml:space="preserve">la date ;</w:t>
      </w:r>
    </w:p>
    <w:p>
      <w:pPr>
        <w:pStyle w:val="Compact"/>
        <w:numPr>
          <w:ilvl w:val="0"/>
          <w:numId w:val="1068"/>
        </w:numPr>
      </w:pPr>
      <w:r>
        <w:t xml:space="preserve">la durée ;</w:t>
      </w:r>
    </w:p>
    <w:p>
      <w:pPr>
        <w:pStyle w:val="Compact"/>
        <w:numPr>
          <w:ilvl w:val="0"/>
          <w:numId w:val="1068"/>
        </w:numPr>
      </w:pPr>
      <w:r>
        <w:t xml:space="preserve">les conditions de révision.</w:t>
      </w:r>
    </w:p>
    <w:p>
      <w:r>
        <w:pict>
          <v:rect style="width:0;height:1.5pt" o:hralign="center" o:hrstd="t" o:hr="t"/>
        </w:pict>
      </w:r>
    </w:p>
    <w:bookmarkEnd w:id="124"/>
    <w:bookmarkStart w:id="125" w:name="partie-iv-conformité"/>
    <w:p>
      <w:pPr>
        <w:pStyle w:val="Heading1"/>
      </w:pPr>
      <w:r>
        <w:t xml:space="preserve">PARTIE IV — CONFORMITÉ</w:t>
      </w:r>
    </w:p>
    <w:bookmarkEnd w:id="125"/>
    <w:bookmarkStart w:id="126" w:name="profil-de-conformité-dune-initiative"/>
    <w:p>
      <w:pPr>
        <w:pStyle w:val="Heading1"/>
      </w:pPr>
      <w:r>
        <w:t xml:space="preserve">1. Profil de conformité d’une initiative</w:t>
      </w:r>
    </w:p>
    <w:p>
      <w:pPr>
        <w:pStyle w:val="FirstParagraph"/>
      </w:pPr>
      <w:r>
        <w:t xml:space="preserve">Toute initiative doit produire un profil indiquant :</w:t>
      </w:r>
    </w:p>
    <w:p>
      <w:pPr>
        <w:pStyle w:val="Compact"/>
        <w:numPr>
          <w:ilvl w:val="0"/>
          <w:numId w:val="1069"/>
        </w:numPr>
      </w:pPr>
      <w:r>
        <w:t xml:space="preserve">les principes applicables ;</w:t>
      </w:r>
    </w:p>
    <w:p>
      <w:pPr>
        <w:pStyle w:val="Compact"/>
        <w:numPr>
          <w:ilvl w:val="0"/>
          <w:numId w:val="1069"/>
        </w:numPr>
      </w:pPr>
      <w:r>
        <w:t xml:space="preserve">les capacités fournies ;</w:t>
      </w:r>
    </w:p>
    <w:p>
      <w:pPr>
        <w:pStyle w:val="Compact"/>
        <w:numPr>
          <w:ilvl w:val="0"/>
          <w:numId w:val="1069"/>
        </w:numPr>
      </w:pPr>
      <w:r>
        <w:t xml:space="preserve">les capacités consommées ;</w:t>
      </w:r>
    </w:p>
    <w:p>
      <w:pPr>
        <w:pStyle w:val="Compact"/>
        <w:numPr>
          <w:ilvl w:val="0"/>
          <w:numId w:val="1069"/>
        </w:numPr>
      </w:pPr>
      <w:r>
        <w:t xml:space="preserve">les contrats ART applicables ;</w:t>
      </w:r>
    </w:p>
    <w:p>
      <w:pPr>
        <w:pStyle w:val="Compact"/>
        <w:numPr>
          <w:ilvl w:val="0"/>
          <w:numId w:val="1069"/>
        </w:numPr>
      </w:pPr>
      <w:r>
        <w:t xml:space="preserve">les profils PTISN utilisés ;</w:t>
      </w:r>
    </w:p>
    <w:p>
      <w:pPr>
        <w:pStyle w:val="Compact"/>
        <w:numPr>
          <w:ilvl w:val="0"/>
          <w:numId w:val="1069"/>
        </w:numPr>
      </w:pPr>
      <w:r>
        <w:t xml:space="preserve">les services exposés ;</w:t>
      </w:r>
    </w:p>
    <w:p>
      <w:pPr>
        <w:pStyle w:val="Compact"/>
        <w:numPr>
          <w:ilvl w:val="0"/>
          <w:numId w:val="1069"/>
        </w:numPr>
      </w:pPr>
      <w:r>
        <w:t xml:space="preserve">les données échangées ;</w:t>
      </w:r>
    </w:p>
    <w:p>
      <w:pPr>
        <w:pStyle w:val="Compact"/>
        <w:numPr>
          <w:ilvl w:val="0"/>
          <w:numId w:val="1069"/>
        </w:numPr>
      </w:pPr>
      <w:r>
        <w:t xml:space="preserve">les sources autoritatives ;</w:t>
      </w:r>
    </w:p>
    <w:p>
      <w:pPr>
        <w:pStyle w:val="Compact"/>
        <w:numPr>
          <w:ilvl w:val="0"/>
          <w:numId w:val="1069"/>
        </w:numPr>
      </w:pPr>
      <w:r>
        <w:t xml:space="preserve">les preuves ;</w:t>
      </w:r>
    </w:p>
    <w:p>
      <w:pPr>
        <w:pStyle w:val="Compact"/>
        <w:numPr>
          <w:ilvl w:val="0"/>
          <w:numId w:val="1069"/>
        </w:numPr>
      </w:pPr>
      <w:r>
        <w:t xml:space="preserve">les dérogations.</w:t>
      </w:r>
    </w:p>
    <w:p>
      <w:r>
        <w:pict>
          <v:rect style="width:0;height:1.5pt" o:hralign="center" o:hrstd="t" o:hr="t"/>
        </w:pict>
      </w:r>
    </w:p>
    <w:bookmarkEnd w:id="126"/>
    <w:bookmarkStart w:id="127" w:name="dossier-minimal"/>
    <w:p>
      <w:pPr>
        <w:pStyle w:val="Heading1"/>
      </w:pPr>
      <w:r>
        <w:t xml:space="preserve">2. Dossier minimal</w:t>
      </w:r>
    </w:p>
    <w:p>
      <w:pPr>
        <w:pStyle w:val="FirstParagraph"/>
      </w:pPr>
      <w:r>
        <w:t xml:space="preserve">Le dossier comprend :</w:t>
      </w:r>
    </w:p>
    <w:p>
      <w:pPr>
        <w:pStyle w:val="Compact"/>
        <w:numPr>
          <w:ilvl w:val="0"/>
          <w:numId w:val="1070"/>
        </w:numPr>
      </w:pPr>
      <w:r>
        <w:t xml:space="preserve">note de concept ;</w:t>
      </w:r>
    </w:p>
    <w:p>
      <w:pPr>
        <w:pStyle w:val="Compact"/>
        <w:numPr>
          <w:ilvl w:val="0"/>
          <w:numId w:val="1070"/>
        </w:numPr>
      </w:pPr>
      <w:r>
        <w:t xml:space="preserve">rattachement aux value streams et capacités ;</w:t>
      </w:r>
    </w:p>
    <w:p>
      <w:pPr>
        <w:pStyle w:val="Compact"/>
        <w:numPr>
          <w:ilvl w:val="0"/>
          <w:numId w:val="1070"/>
        </w:numPr>
      </w:pPr>
      <w:r>
        <w:t xml:space="preserve">architecture fonctionnelle ;</w:t>
      </w:r>
    </w:p>
    <w:p>
      <w:pPr>
        <w:pStyle w:val="Compact"/>
        <w:numPr>
          <w:ilvl w:val="0"/>
          <w:numId w:val="1070"/>
        </w:numPr>
      </w:pPr>
      <w:r>
        <w:t xml:space="preserve">architecture des données ;</w:t>
      </w:r>
    </w:p>
    <w:p>
      <w:pPr>
        <w:pStyle w:val="Compact"/>
        <w:numPr>
          <w:ilvl w:val="0"/>
          <w:numId w:val="1070"/>
        </w:numPr>
      </w:pPr>
      <w:r>
        <w:t xml:space="preserve">architecture applicative ;</w:t>
      </w:r>
    </w:p>
    <w:p>
      <w:pPr>
        <w:pStyle w:val="Compact"/>
        <w:numPr>
          <w:ilvl w:val="0"/>
          <w:numId w:val="1070"/>
        </w:numPr>
      </w:pPr>
      <w:r>
        <w:t xml:space="preserve">architecture technique ;</w:t>
      </w:r>
    </w:p>
    <w:p>
      <w:pPr>
        <w:pStyle w:val="Compact"/>
        <w:numPr>
          <w:ilvl w:val="0"/>
          <w:numId w:val="1070"/>
        </w:numPr>
      </w:pPr>
      <w:r>
        <w:t xml:space="preserve">contrats d’échange ;</w:t>
      </w:r>
    </w:p>
    <w:p>
      <w:pPr>
        <w:pStyle w:val="Compact"/>
        <w:numPr>
          <w:ilvl w:val="0"/>
          <w:numId w:val="1070"/>
        </w:numPr>
      </w:pPr>
      <w:r>
        <w:t xml:space="preserve">matrice des responsabilités ;</w:t>
      </w:r>
    </w:p>
    <w:p>
      <w:pPr>
        <w:pStyle w:val="Compact"/>
        <w:numPr>
          <w:ilvl w:val="0"/>
          <w:numId w:val="1070"/>
        </w:numPr>
      </w:pPr>
      <w:r>
        <w:t xml:space="preserve">matrice des données ;</w:t>
      </w:r>
    </w:p>
    <w:p>
      <w:pPr>
        <w:pStyle w:val="Compact"/>
        <w:numPr>
          <w:ilvl w:val="0"/>
          <w:numId w:val="1070"/>
        </w:numPr>
      </w:pPr>
      <w:r>
        <w:t xml:space="preserve">modèle de sécurité ;</w:t>
      </w:r>
    </w:p>
    <w:p>
      <w:pPr>
        <w:pStyle w:val="Compact"/>
        <w:numPr>
          <w:ilvl w:val="0"/>
          <w:numId w:val="1070"/>
        </w:numPr>
      </w:pPr>
      <w:r>
        <w:t xml:space="preserve">politique de conservation ;</w:t>
      </w:r>
    </w:p>
    <w:p>
      <w:pPr>
        <w:pStyle w:val="Compact"/>
        <w:numPr>
          <w:ilvl w:val="0"/>
          <w:numId w:val="1070"/>
        </w:numPr>
      </w:pPr>
      <w:r>
        <w:t xml:space="preserve">stratégie d’exploitation ;</w:t>
      </w:r>
    </w:p>
    <w:p>
      <w:pPr>
        <w:pStyle w:val="Compact"/>
        <w:numPr>
          <w:ilvl w:val="0"/>
          <w:numId w:val="1070"/>
        </w:numPr>
      </w:pPr>
      <w:r>
        <w:t xml:space="preserve">stratégie de réversibilité ;</w:t>
      </w:r>
    </w:p>
    <w:p>
      <w:pPr>
        <w:pStyle w:val="Compact"/>
        <w:numPr>
          <w:ilvl w:val="0"/>
          <w:numId w:val="1070"/>
        </w:numPr>
      </w:pPr>
      <w:r>
        <w:t xml:space="preserve">résultats de tests ;</w:t>
      </w:r>
    </w:p>
    <w:p>
      <w:pPr>
        <w:pStyle w:val="Compact"/>
        <w:numPr>
          <w:ilvl w:val="0"/>
          <w:numId w:val="1070"/>
        </w:numPr>
      </w:pPr>
      <w:r>
        <w:t xml:space="preserve">déclaration de conformité.</w:t>
      </w:r>
    </w:p>
    <w:p>
      <w:r>
        <w:pict>
          <v:rect style="width:0;height:1.5pt" o:hralign="center" o:hrstd="t" o:hr="t"/>
        </w:pict>
      </w:r>
    </w:p>
    <w:bookmarkEnd w:id="127"/>
    <w:bookmarkStart w:id="128" w:name="critères-de-conformité"/>
    <w:p>
      <w:pPr>
        <w:pStyle w:val="Heading1"/>
      </w:pPr>
      <w:r>
        <w:t xml:space="preserve">3. Critères de conformité</w:t>
      </w:r>
    </w:p>
    <w:p>
      <w:pPr>
        <w:pStyle w:val="FirstParagraph"/>
      </w:pPr>
      <w:r>
        <w:t xml:space="preserve">La revue porte notamment sur :</w:t>
      </w:r>
    </w:p>
    <w:p>
      <w:pPr>
        <w:pStyle w:val="Compact"/>
        <w:numPr>
          <w:ilvl w:val="0"/>
          <w:numId w:val="1071"/>
        </w:numPr>
      </w:pPr>
      <w:r>
        <w:t xml:space="preserve">autorité des données ;</w:t>
      </w:r>
    </w:p>
    <w:p>
      <w:pPr>
        <w:pStyle w:val="Compact"/>
        <w:numPr>
          <w:ilvl w:val="0"/>
          <w:numId w:val="1071"/>
        </w:numPr>
      </w:pPr>
      <w:r>
        <w:t xml:space="preserve">contractualisation ;</w:t>
      </w:r>
    </w:p>
    <w:p>
      <w:pPr>
        <w:pStyle w:val="Compact"/>
        <w:numPr>
          <w:ilvl w:val="0"/>
          <w:numId w:val="1071"/>
        </w:numPr>
      </w:pPr>
      <w:r>
        <w:t xml:space="preserve">versionnement ;</w:t>
      </w:r>
    </w:p>
    <w:p>
      <w:pPr>
        <w:pStyle w:val="Compact"/>
        <w:numPr>
          <w:ilvl w:val="0"/>
          <w:numId w:val="1071"/>
        </w:numPr>
      </w:pPr>
      <w:r>
        <w:t xml:space="preserve">sécurité ;</w:t>
      </w:r>
    </w:p>
    <w:p>
      <w:pPr>
        <w:pStyle w:val="Compact"/>
        <w:numPr>
          <w:ilvl w:val="0"/>
          <w:numId w:val="1071"/>
        </w:numPr>
      </w:pPr>
      <w:r>
        <w:t xml:space="preserve">minimisation ;</w:t>
      </w:r>
    </w:p>
    <w:p>
      <w:pPr>
        <w:pStyle w:val="Compact"/>
        <w:numPr>
          <w:ilvl w:val="0"/>
          <w:numId w:val="1071"/>
        </w:numPr>
      </w:pPr>
      <w:r>
        <w:t xml:space="preserve">résidence ;</w:t>
      </w:r>
    </w:p>
    <w:p>
      <w:pPr>
        <w:pStyle w:val="Compact"/>
        <w:numPr>
          <w:ilvl w:val="0"/>
          <w:numId w:val="1071"/>
        </w:numPr>
      </w:pPr>
      <w:r>
        <w:t xml:space="preserve">portabilité ;</w:t>
      </w:r>
    </w:p>
    <w:p>
      <w:pPr>
        <w:pStyle w:val="Compact"/>
        <w:numPr>
          <w:ilvl w:val="0"/>
          <w:numId w:val="1071"/>
        </w:numPr>
      </w:pPr>
      <w:r>
        <w:t xml:space="preserve">qualité ;</w:t>
      </w:r>
    </w:p>
    <w:p>
      <w:pPr>
        <w:pStyle w:val="Compact"/>
        <w:numPr>
          <w:ilvl w:val="0"/>
          <w:numId w:val="1071"/>
        </w:numPr>
      </w:pPr>
      <w:r>
        <w:t xml:space="preserve">réconciliation ;</w:t>
      </w:r>
    </w:p>
    <w:p>
      <w:pPr>
        <w:pStyle w:val="Compact"/>
        <w:numPr>
          <w:ilvl w:val="0"/>
          <w:numId w:val="1071"/>
        </w:numPr>
      </w:pPr>
      <w:r>
        <w:t xml:space="preserve">exploitabilité ;</w:t>
      </w:r>
    </w:p>
    <w:p>
      <w:pPr>
        <w:pStyle w:val="Compact"/>
        <w:numPr>
          <w:ilvl w:val="0"/>
          <w:numId w:val="1071"/>
        </w:numPr>
      </w:pPr>
      <w:r>
        <w:t xml:space="preserve">continuité ;</w:t>
      </w:r>
    </w:p>
    <w:p>
      <w:pPr>
        <w:pStyle w:val="Compact"/>
        <w:numPr>
          <w:ilvl w:val="0"/>
          <w:numId w:val="1071"/>
        </w:numPr>
      </w:pPr>
      <w:r>
        <w:t xml:space="preserve">coût total de possession ;</w:t>
      </w:r>
    </w:p>
    <w:p>
      <w:pPr>
        <w:pStyle w:val="Compact"/>
        <w:numPr>
          <w:ilvl w:val="0"/>
          <w:numId w:val="1071"/>
        </w:numPr>
      </w:pPr>
      <w:r>
        <w:t xml:space="preserve">alignement stratégique.</w:t>
      </w:r>
    </w:p>
    <w:p>
      <w:r>
        <w:pict>
          <v:rect style="width:0;height:1.5pt" o:hralign="center" o:hrstd="t" o:hr="t"/>
        </w:pict>
      </w:r>
    </w:p>
    <w:bookmarkEnd w:id="128"/>
    <w:bookmarkStart w:id="129" w:name="homologation"/>
    <w:p>
      <w:pPr>
        <w:pStyle w:val="Heading1"/>
      </w:pPr>
      <w:r>
        <w:t xml:space="preserve">4. Homologation</w:t>
      </w:r>
    </w:p>
    <w:p>
      <w:pPr>
        <w:pStyle w:val="FirstParagraph"/>
      </w:pPr>
      <w:r>
        <w:t xml:space="preserve">Une initiative peut recevoir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évaluée</w:t>
            </w:r>
          </w:p>
        </w:tc>
        <w:tc>
          <w:tcPr/>
          <w:p>
            <w:pPr>
              <w:pStyle w:val="Compact"/>
            </w:pPr>
            <w:r>
              <w:t xml:space="preserve">Aucun examen formel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revue</w:t>
            </w:r>
          </w:p>
        </w:tc>
        <w:tc>
          <w:tcPr/>
          <w:p>
            <w:pPr>
              <w:pStyle w:val="Compact"/>
            </w:pPr>
            <w:r>
              <w:t xml:space="preserve">Dossier en cours d’instruction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Pilote autorisé</w:t>
            </w:r>
          </w:p>
        </w:tc>
        <w:tc>
          <w:tcPr/>
          <w:p>
            <w:pPr>
              <w:pStyle w:val="Compact"/>
            </w:pPr>
            <w:r>
              <w:t xml:space="preserve">Mise en œuvre limitée et encadrée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Conforme sous conditions</w:t>
            </w:r>
          </w:p>
        </w:tc>
        <w:tc>
          <w:tcPr/>
          <w:p>
            <w:pPr>
              <w:pStyle w:val="Compact"/>
            </w:pPr>
            <w:r>
              <w:t xml:space="preserve">Écarts limités avec plan de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Conforme</w:t>
            </w:r>
          </w:p>
        </w:tc>
        <w:tc>
          <w:tcPr/>
          <w:p>
            <w:pPr>
              <w:pStyle w:val="Compact"/>
            </w:pPr>
            <w:r>
              <w:t xml:space="preserve">Exigences applicables démontrées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Suspendue</w:t>
            </w:r>
          </w:p>
        </w:tc>
        <w:tc>
          <w:tcPr/>
          <w:p>
            <w:pPr>
              <w:pStyle w:val="Compact"/>
            </w:pPr>
            <w:r>
              <w:t xml:space="preserve">Risque ou non-conformité majeure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Retirée</w:t>
            </w:r>
          </w:p>
        </w:tc>
        <w:tc>
          <w:tcPr/>
          <w:p>
            <w:pPr>
              <w:pStyle w:val="Compact"/>
            </w:pPr>
            <w:r>
              <w:t xml:space="preserve">Service ou système non autorisé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homologation-conditionnelle"/>
    <w:p>
      <w:pPr>
        <w:pStyle w:val="Heading1"/>
      </w:pPr>
      <w:r>
        <w:t xml:space="preserve">5. Homologation conditionnelle</w:t>
      </w:r>
    </w:p>
    <w:p>
      <w:pPr>
        <w:pStyle w:val="FirstParagraph"/>
      </w:pPr>
      <w:r>
        <w:t xml:space="preserve">Une homologation conditionnelle doit préciser :</w:t>
      </w:r>
    </w:p>
    <w:p>
      <w:pPr>
        <w:pStyle w:val="Compact"/>
        <w:numPr>
          <w:ilvl w:val="0"/>
          <w:numId w:val="1072"/>
        </w:numPr>
      </w:pPr>
      <w:r>
        <w:t xml:space="preserve">les écarts ;</w:t>
      </w:r>
    </w:p>
    <w:p>
      <w:pPr>
        <w:pStyle w:val="Compact"/>
        <w:numPr>
          <w:ilvl w:val="0"/>
          <w:numId w:val="1072"/>
        </w:numPr>
      </w:pPr>
      <w:r>
        <w:t xml:space="preserve">les risques ;</w:t>
      </w:r>
    </w:p>
    <w:p>
      <w:pPr>
        <w:pStyle w:val="Compact"/>
        <w:numPr>
          <w:ilvl w:val="0"/>
          <w:numId w:val="1072"/>
        </w:numPr>
      </w:pPr>
      <w:r>
        <w:t xml:space="preserve">les mesures compensatoires ;</w:t>
      </w:r>
    </w:p>
    <w:p>
      <w:pPr>
        <w:pStyle w:val="Compact"/>
        <w:numPr>
          <w:ilvl w:val="0"/>
          <w:numId w:val="1072"/>
        </w:numPr>
      </w:pPr>
      <w:r>
        <w:t xml:space="preserve">le responsable ;</w:t>
      </w:r>
    </w:p>
    <w:p>
      <w:pPr>
        <w:pStyle w:val="Compact"/>
        <w:numPr>
          <w:ilvl w:val="0"/>
          <w:numId w:val="1072"/>
        </w:numPr>
      </w:pPr>
      <w:r>
        <w:t xml:space="preserve">l’échéance ;</w:t>
      </w:r>
    </w:p>
    <w:p>
      <w:pPr>
        <w:pStyle w:val="Compact"/>
        <w:numPr>
          <w:ilvl w:val="0"/>
          <w:numId w:val="1072"/>
        </w:numPr>
      </w:pPr>
      <w:r>
        <w:t xml:space="preserve">les conditions de retrait ;</w:t>
      </w:r>
    </w:p>
    <w:p>
      <w:pPr>
        <w:pStyle w:val="Compact"/>
        <w:numPr>
          <w:ilvl w:val="0"/>
          <w:numId w:val="1072"/>
        </w:numPr>
      </w:pPr>
      <w:r>
        <w:t xml:space="preserve">les preuves attendues.</w:t>
      </w:r>
    </w:p>
    <w:p>
      <w:r>
        <w:pict>
          <v:rect style="width:0;height:1.5pt" o:hralign="center" o:hrstd="t" o:hr="t"/>
        </w:pict>
      </w:r>
    </w:p>
    <w:bookmarkEnd w:id="130"/>
    <w:bookmarkStart w:id="131" w:name="réévaluation"/>
    <w:p>
      <w:pPr>
        <w:pStyle w:val="Heading1"/>
      </w:pPr>
      <w:r>
        <w:t xml:space="preserve">6. Réévaluation</w:t>
      </w:r>
    </w:p>
    <w:p>
      <w:pPr>
        <w:pStyle w:val="FirstParagraph"/>
      </w:pPr>
      <w:r>
        <w:t xml:space="preserve">La conformité doit être réévaluée :</w:t>
      </w:r>
    </w:p>
    <w:p>
      <w:pPr>
        <w:pStyle w:val="Compact"/>
        <w:numPr>
          <w:ilvl w:val="0"/>
          <w:numId w:val="1073"/>
        </w:numPr>
      </w:pPr>
      <w:r>
        <w:t xml:space="preserve">périodiquement ;</w:t>
      </w:r>
    </w:p>
    <w:p>
      <w:pPr>
        <w:pStyle w:val="Compact"/>
        <w:numPr>
          <w:ilvl w:val="0"/>
          <w:numId w:val="1073"/>
        </w:numPr>
      </w:pPr>
      <w:r>
        <w:t xml:space="preserve">après une version majeure ;</w:t>
      </w:r>
    </w:p>
    <w:p>
      <w:pPr>
        <w:pStyle w:val="Compact"/>
        <w:numPr>
          <w:ilvl w:val="0"/>
          <w:numId w:val="1073"/>
        </w:numPr>
      </w:pPr>
      <w:r>
        <w:t xml:space="preserve">après un incident critique ;</w:t>
      </w:r>
    </w:p>
    <w:p>
      <w:pPr>
        <w:pStyle w:val="Compact"/>
        <w:numPr>
          <w:ilvl w:val="0"/>
          <w:numId w:val="1073"/>
        </w:numPr>
      </w:pPr>
      <w:r>
        <w:t xml:space="preserve">après une nouvelle intégration ;</w:t>
      </w:r>
    </w:p>
    <w:p>
      <w:pPr>
        <w:pStyle w:val="Compact"/>
        <w:numPr>
          <w:ilvl w:val="0"/>
          <w:numId w:val="1073"/>
        </w:numPr>
      </w:pPr>
      <w:r>
        <w:t xml:space="preserve">après un changement de propriétaire ;</w:t>
      </w:r>
    </w:p>
    <w:p>
      <w:pPr>
        <w:pStyle w:val="Compact"/>
        <w:numPr>
          <w:ilvl w:val="0"/>
          <w:numId w:val="1073"/>
        </w:numPr>
      </w:pPr>
      <w:r>
        <w:t xml:space="preserve">après un changement de données ;</w:t>
      </w:r>
    </w:p>
    <w:p>
      <w:pPr>
        <w:pStyle w:val="Compact"/>
        <w:numPr>
          <w:ilvl w:val="0"/>
          <w:numId w:val="1073"/>
        </w:numPr>
      </w:pPr>
      <w:r>
        <w:t xml:space="preserve">à l’expiration d’une dérogation.</w:t>
      </w:r>
    </w:p>
    <w:p>
      <w:r>
        <w:pict>
          <v:rect style="width:0;height:1.5pt" o:hralign="center" o:hrstd="t" o:hr="t"/>
        </w:pict>
      </w:r>
    </w:p>
    <w:bookmarkEnd w:id="131"/>
    <w:bookmarkStart w:id="132" w:name="partie-v-trajectoire-de-mise-en-œuvre"/>
    <w:p>
      <w:pPr>
        <w:pStyle w:val="Heading1"/>
      </w:pPr>
      <w:r>
        <w:t xml:space="preserve">PARTIE V — TRAJECTOIRE DE MISE EN ŒUVRE</w:t>
      </w:r>
    </w:p>
    <w:bookmarkEnd w:id="132"/>
    <w:bookmarkStart w:id="133" w:name="phase-1-gouvernance-et-inventaire"/>
    <w:p>
      <w:pPr>
        <w:pStyle w:val="Heading1"/>
      </w:pPr>
      <w:r>
        <w:t xml:space="preserve">Phase 1 — Gouvernance et inventaire</w:t>
      </w:r>
    </w:p>
    <w:p>
      <w:pPr>
        <w:pStyle w:val="Compact"/>
        <w:numPr>
          <w:ilvl w:val="0"/>
          <w:numId w:val="1074"/>
        </w:numPr>
      </w:pPr>
      <w:r>
        <w:t xml:space="preserve">validation du CNISN ;</w:t>
      </w:r>
    </w:p>
    <w:p>
      <w:pPr>
        <w:pStyle w:val="Compact"/>
        <w:numPr>
          <w:ilvl w:val="0"/>
          <w:numId w:val="1074"/>
        </w:numPr>
      </w:pPr>
      <w:r>
        <w:t xml:space="preserve">désignation des propriétaires ;</w:t>
      </w:r>
    </w:p>
    <w:p>
      <w:pPr>
        <w:pStyle w:val="Compact"/>
        <w:numPr>
          <w:ilvl w:val="0"/>
          <w:numId w:val="1074"/>
        </w:numPr>
      </w:pPr>
      <w:r>
        <w:t xml:space="preserve">inventaire des systèmes ;</w:t>
      </w:r>
    </w:p>
    <w:p>
      <w:pPr>
        <w:pStyle w:val="Compact"/>
        <w:numPr>
          <w:ilvl w:val="0"/>
          <w:numId w:val="1074"/>
        </w:numPr>
      </w:pPr>
      <w:r>
        <w:t xml:space="preserve">inventaire des services ;</w:t>
      </w:r>
    </w:p>
    <w:p>
      <w:pPr>
        <w:pStyle w:val="Compact"/>
        <w:numPr>
          <w:ilvl w:val="0"/>
          <w:numId w:val="1074"/>
        </w:numPr>
      </w:pPr>
      <w:r>
        <w:t xml:space="preserve">inventaire des contrats ;</w:t>
      </w:r>
    </w:p>
    <w:p>
      <w:pPr>
        <w:pStyle w:val="Compact"/>
        <w:numPr>
          <w:ilvl w:val="0"/>
          <w:numId w:val="1074"/>
        </w:numPr>
      </w:pPr>
      <w:r>
        <w:t xml:space="preserve">inventaire des référentiels ;</w:t>
      </w:r>
    </w:p>
    <w:p>
      <w:pPr>
        <w:pStyle w:val="Compact"/>
        <w:numPr>
          <w:ilvl w:val="0"/>
          <w:numId w:val="1074"/>
        </w:numPr>
      </w:pPr>
      <w:r>
        <w:t xml:space="preserve">identification des doublons ;</w:t>
      </w:r>
    </w:p>
    <w:p>
      <w:pPr>
        <w:pStyle w:val="Compact"/>
        <w:numPr>
          <w:ilvl w:val="0"/>
          <w:numId w:val="1074"/>
        </w:numPr>
      </w:pPr>
      <w:r>
        <w:t xml:space="preserve">identification des conflits d’autorité.</w:t>
      </w:r>
    </w:p>
    <w:bookmarkEnd w:id="133"/>
    <w:bookmarkStart w:id="134" w:name="phase-2-services-fondamentaux"/>
    <w:p>
      <w:pPr>
        <w:pStyle w:val="Heading1"/>
      </w:pPr>
      <w:r>
        <w:t xml:space="preserve">Phase 2 — Services fondamentaux</w:t>
      </w:r>
    </w:p>
    <w:p>
      <w:pPr>
        <w:pStyle w:val="FirstParagraph"/>
      </w:pPr>
      <w:r>
        <w:t xml:space="preserve">Priorité aux capacités suivantes :</w:t>
      </w:r>
    </w:p>
    <w:p>
      <w:pPr>
        <w:pStyle w:val="Compact"/>
        <w:numPr>
          <w:ilvl w:val="0"/>
          <w:numId w:val="1075"/>
        </w:numPr>
      </w:pPr>
      <w:r>
        <w:t xml:space="preserve">catalogue des services ;</w:t>
      </w:r>
    </w:p>
    <w:p>
      <w:pPr>
        <w:pStyle w:val="Compact"/>
        <w:numPr>
          <w:ilvl w:val="0"/>
          <w:numId w:val="1075"/>
        </w:numPr>
      </w:pPr>
      <w:r>
        <w:t xml:space="preserve">registre des contrats ;</w:t>
      </w:r>
    </w:p>
    <w:p>
      <w:pPr>
        <w:pStyle w:val="Compact"/>
        <w:numPr>
          <w:ilvl w:val="0"/>
          <w:numId w:val="1075"/>
        </w:numPr>
      </w:pPr>
      <w:r>
        <w:t xml:space="preserve">référentiel des structures ;</w:t>
      </w:r>
    </w:p>
    <w:p>
      <w:pPr>
        <w:pStyle w:val="Compact"/>
        <w:numPr>
          <w:ilvl w:val="0"/>
          <w:numId w:val="1075"/>
        </w:numPr>
      </w:pPr>
      <w:r>
        <w:t xml:space="preserve">terminologie ;</w:t>
      </w:r>
    </w:p>
    <w:p>
      <w:pPr>
        <w:pStyle w:val="Compact"/>
        <w:numPr>
          <w:ilvl w:val="0"/>
          <w:numId w:val="1075"/>
        </w:numPr>
      </w:pPr>
      <w:r>
        <w:t xml:space="preserve">confiance et sécurité ;</w:t>
      </w:r>
    </w:p>
    <w:p>
      <w:pPr>
        <w:pStyle w:val="Compact"/>
        <w:numPr>
          <w:ilvl w:val="0"/>
          <w:numId w:val="1075"/>
        </w:numPr>
      </w:pPr>
      <w:r>
        <w:t xml:space="preserve">qualité et réconciliation.</w:t>
      </w:r>
    </w:p>
    <w:bookmarkEnd w:id="134"/>
    <w:bookmarkStart w:id="135" w:name="phase-3-identités-fonctionnelles"/>
    <w:p>
      <w:pPr>
        <w:pStyle w:val="Heading1"/>
      </w:pPr>
      <w:r>
        <w:t xml:space="preserve">Phase 3 — Identités fonctionnelles</w:t>
      </w:r>
    </w:p>
    <w:p>
      <w:pPr>
        <w:pStyle w:val="Compact"/>
        <w:numPr>
          <w:ilvl w:val="0"/>
          <w:numId w:val="1076"/>
        </w:numPr>
      </w:pPr>
      <w:r>
        <w:t xml:space="preserve">identité du bénéficiaire ;</w:t>
      </w:r>
    </w:p>
    <w:p>
      <w:pPr>
        <w:pStyle w:val="Compact"/>
        <w:numPr>
          <w:ilvl w:val="0"/>
          <w:numId w:val="1076"/>
        </w:numPr>
      </w:pPr>
      <w:r>
        <w:t xml:space="preserve">registre professionnel ;</w:t>
      </w:r>
    </w:p>
    <w:p>
      <w:pPr>
        <w:pStyle w:val="Compact"/>
        <w:numPr>
          <w:ilvl w:val="0"/>
          <w:numId w:val="1076"/>
        </w:numPr>
      </w:pPr>
      <w:r>
        <w:t xml:space="preserve">lien avec l’identité fondationnelle ;</w:t>
      </w:r>
    </w:p>
    <w:p>
      <w:pPr>
        <w:pStyle w:val="Compact"/>
        <w:numPr>
          <w:ilvl w:val="0"/>
          <w:numId w:val="1076"/>
        </w:numPr>
      </w:pPr>
      <w:r>
        <w:t xml:space="preserve">règles de rapprochement ;</w:t>
      </w:r>
    </w:p>
    <w:p>
      <w:pPr>
        <w:pStyle w:val="Compact"/>
        <w:numPr>
          <w:ilvl w:val="0"/>
          <w:numId w:val="1076"/>
        </w:numPr>
      </w:pPr>
      <w:r>
        <w:t xml:space="preserve">autorisation contextuelle.</w:t>
      </w:r>
    </w:p>
    <w:bookmarkEnd w:id="135"/>
    <w:bookmarkStart w:id="136" w:name="phase-4-échanges-prioritaires"/>
    <w:p>
      <w:pPr>
        <w:pStyle w:val="Heading1"/>
      </w:pPr>
      <w:r>
        <w:t xml:space="preserve">Phase 4 — Échanges prioritaires</w:t>
      </w:r>
    </w:p>
    <w:p>
      <w:pPr>
        <w:pStyle w:val="Compact"/>
        <w:numPr>
          <w:ilvl w:val="0"/>
          <w:numId w:val="1077"/>
        </w:numPr>
      </w:pPr>
      <w:r>
        <w:t xml:space="preserve">données agrégées ;</w:t>
      </w:r>
    </w:p>
    <w:p>
      <w:pPr>
        <w:pStyle w:val="Compact"/>
        <w:numPr>
          <w:ilvl w:val="0"/>
          <w:numId w:val="1077"/>
        </w:numPr>
      </w:pPr>
      <w:r>
        <w:t xml:space="preserve">surveillance ;</w:t>
      </w:r>
    </w:p>
    <w:p>
      <w:pPr>
        <w:pStyle w:val="Compact"/>
        <w:numPr>
          <w:ilvl w:val="0"/>
          <w:numId w:val="1077"/>
        </w:numPr>
      </w:pPr>
      <w:r>
        <w:t xml:space="preserve">laboratoire ;</w:t>
      </w:r>
    </w:p>
    <w:p>
      <w:pPr>
        <w:pStyle w:val="Compact"/>
        <w:numPr>
          <w:ilvl w:val="0"/>
          <w:numId w:val="1077"/>
        </w:numPr>
      </w:pPr>
      <w:r>
        <w:t xml:space="preserve">référence et contre-référence ;</w:t>
      </w:r>
    </w:p>
    <w:p>
      <w:pPr>
        <w:pStyle w:val="Compact"/>
        <w:numPr>
          <w:ilvl w:val="0"/>
          <w:numId w:val="1077"/>
        </w:numPr>
      </w:pPr>
      <w:r>
        <w:t xml:space="preserve">logistique ;</w:t>
      </w:r>
    </w:p>
    <w:p>
      <w:pPr>
        <w:pStyle w:val="Compact"/>
        <w:numPr>
          <w:ilvl w:val="0"/>
          <w:numId w:val="1077"/>
        </w:numPr>
      </w:pPr>
      <w:r>
        <w:t xml:space="preserve">protection financière.</w:t>
      </w:r>
    </w:p>
    <w:bookmarkEnd w:id="136"/>
    <w:bookmarkStart w:id="137" w:name="phase-5-industrialisation"/>
    <w:p>
      <w:pPr>
        <w:pStyle w:val="Heading1"/>
      </w:pPr>
      <w:r>
        <w:t xml:space="preserve">Phase 5 — Industrialisation</w:t>
      </w:r>
    </w:p>
    <w:p>
      <w:pPr>
        <w:pStyle w:val="Compact"/>
        <w:numPr>
          <w:ilvl w:val="0"/>
          <w:numId w:val="1078"/>
        </w:numPr>
      </w:pPr>
      <w:r>
        <w:t xml:space="preserve">tests de conformité ;</w:t>
      </w:r>
    </w:p>
    <w:p>
      <w:pPr>
        <w:pStyle w:val="Compact"/>
        <w:numPr>
          <w:ilvl w:val="0"/>
          <w:numId w:val="1078"/>
        </w:numPr>
      </w:pPr>
      <w:r>
        <w:t xml:space="preserve">homologation ;</w:t>
      </w:r>
    </w:p>
    <w:p>
      <w:pPr>
        <w:pStyle w:val="Compact"/>
        <w:numPr>
          <w:ilvl w:val="0"/>
          <w:numId w:val="1078"/>
        </w:numPr>
      </w:pPr>
      <w:r>
        <w:t xml:space="preserve">supervision ;</w:t>
      </w:r>
    </w:p>
    <w:p>
      <w:pPr>
        <w:pStyle w:val="Compact"/>
        <w:numPr>
          <w:ilvl w:val="0"/>
          <w:numId w:val="1078"/>
        </w:numPr>
      </w:pPr>
      <w:r>
        <w:t xml:space="preserve">continuité ;</w:t>
      </w:r>
    </w:p>
    <w:p>
      <w:pPr>
        <w:pStyle w:val="Compact"/>
        <w:numPr>
          <w:ilvl w:val="0"/>
          <w:numId w:val="1078"/>
        </w:numPr>
      </w:pPr>
      <w:r>
        <w:t xml:space="preserve">amélioration des niveaux de service ;</w:t>
      </w:r>
    </w:p>
    <w:p>
      <w:pPr>
        <w:pStyle w:val="Compact"/>
        <w:numPr>
          <w:ilvl w:val="0"/>
          <w:numId w:val="1078"/>
        </w:numPr>
      </w:pPr>
      <w:r>
        <w:t xml:space="preserve">dépréciation des intégrations non conformes.</w:t>
      </w:r>
    </w:p>
    <w:p>
      <w:r>
        <w:pict>
          <v:rect style="width:0;height:1.5pt" o:hralign="center" o:hrstd="t" o:hr="t"/>
        </w:pict>
      </w:r>
    </w:p>
    <w:bookmarkEnd w:id="137"/>
    <w:bookmarkStart w:id="143" w:name="partie-vi-indicateurs-de-suivi"/>
    <w:p>
      <w:pPr>
        <w:pStyle w:val="Heading1"/>
      </w:pPr>
      <w:r>
        <w:t xml:space="preserve">PARTIE VI — INDICATEURS DE SUIVI</w:t>
      </w:r>
    </w:p>
    <w:bookmarkStart w:id="138" w:name="gouvernance"/>
    <w:p>
      <w:pPr>
        <w:pStyle w:val="Heading2"/>
      </w:pPr>
      <w:r>
        <w:t xml:space="preserve">Gouvernance</w:t>
      </w:r>
    </w:p>
    <w:p>
      <w:pPr>
        <w:pStyle w:val="Compact"/>
        <w:numPr>
          <w:ilvl w:val="0"/>
          <w:numId w:val="1079"/>
        </w:numPr>
      </w:pPr>
      <w:r>
        <w:t xml:space="preserve">pourcentage de capacités avec propriétaire désigné ;</w:t>
      </w:r>
    </w:p>
    <w:p>
      <w:pPr>
        <w:pStyle w:val="Compact"/>
        <w:numPr>
          <w:ilvl w:val="0"/>
          <w:numId w:val="1079"/>
        </w:numPr>
      </w:pPr>
      <w:r>
        <w:t xml:space="preserve">nombre de services enregistrés ;</w:t>
      </w:r>
    </w:p>
    <w:p>
      <w:pPr>
        <w:pStyle w:val="Compact"/>
        <w:numPr>
          <w:ilvl w:val="0"/>
          <w:numId w:val="1079"/>
        </w:numPr>
      </w:pPr>
      <w:r>
        <w:t xml:space="preserve">nombre de contrats publiés ;</w:t>
      </w:r>
    </w:p>
    <w:p>
      <w:pPr>
        <w:pStyle w:val="Compact"/>
        <w:numPr>
          <w:ilvl w:val="0"/>
          <w:numId w:val="1079"/>
        </w:numPr>
      </w:pPr>
      <w:r>
        <w:t xml:space="preserve">nombre de dérogations actives ;</w:t>
      </w:r>
    </w:p>
    <w:p>
      <w:pPr>
        <w:pStyle w:val="Compact"/>
        <w:numPr>
          <w:ilvl w:val="0"/>
          <w:numId w:val="1079"/>
        </w:numPr>
      </w:pPr>
      <w:r>
        <w:t xml:space="preserve">délai moyen d’arbitrage.</w:t>
      </w:r>
    </w:p>
    <w:bookmarkEnd w:id="138"/>
    <w:bookmarkStart w:id="139" w:name="interopérabilité"/>
    <w:p>
      <w:pPr>
        <w:pStyle w:val="Heading2"/>
      </w:pPr>
      <w:r>
        <w:t xml:space="preserve">Interopérabilité</w:t>
      </w:r>
    </w:p>
    <w:p>
      <w:pPr>
        <w:pStyle w:val="Compact"/>
        <w:numPr>
          <w:ilvl w:val="0"/>
          <w:numId w:val="1080"/>
        </w:numPr>
      </w:pPr>
      <w:r>
        <w:t xml:space="preserve">nombre de systèmes intégrés par contrat publié ;</w:t>
      </w:r>
    </w:p>
    <w:p>
      <w:pPr>
        <w:pStyle w:val="Compact"/>
        <w:numPr>
          <w:ilvl w:val="0"/>
          <w:numId w:val="1080"/>
        </w:numPr>
      </w:pPr>
      <w:r>
        <w:t xml:space="preserve">pourcentage d’interfaces versionnées ;</w:t>
      </w:r>
    </w:p>
    <w:p>
      <w:pPr>
        <w:pStyle w:val="Compact"/>
        <w:numPr>
          <w:ilvl w:val="0"/>
          <w:numId w:val="1080"/>
        </w:numPr>
      </w:pPr>
      <w:r>
        <w:t xml:space="preserve">taux de réutilisation des services ;</w:t>
      </w:r>
    </w:p>
    <w:p>
      <w:pPr>
        <w:pStyle w:val="Compact"/>
        <w:numPr>
          <w:ilvl w:val="0"/>
          <w:numId w:val="1080"/>
        </w:numPr>
      </w:pPr>
      <w:r>
        <w:t xml:space="preserve">délai moyen d’intégration d’une nouvelle source ;</w:t>
      </w:r>
    </w:p>
    <w:p>
      <w:pPr>
        <w:pStyle w:val="Compact"/>
        <w:numPr>
          <w:ilvl w:val="0"/>
          <w:numId w:val="1080"/>
        </w:numPr>
      </w:pPr>
      <w:r>
        <w:t xml:space="preserve">nombre d’intégrations point à point non gouvernées.</w:t>
      </w:r>
    </w:p>
    <w:bookmarkEnd w:id="139"/>
    <w:bookmarkStart w:id="140" w:name="référentiels"/>
    <w:p>
      <w:pPr>
        <w:pStyle w:val="Heading2"/>
      </w:pPr>
      <w:r>
        <w:t xml:space="preserve">Référentiels</w:t>
      </w:r>
    </w:p>
    <w:p>
      <w:pPr>
        <w:pStyle w:val="Compact"/>
        <w:numPr>
          <w:ilvl w:val="0"/>
          <w:numId w:val="1081"/>
        </w:numPr>
      </w:pPr>
      <w:r>
        <w:t xml:space="preserve">taux d’utilisation des identifiants nationaux ;</w:t>
      </w:r>
    </w:p>
    <w:p>
      <w:pPr>
        <w:pStyle w:val="Compact"/>
        <w:numPr>
          <w:ilvl w:val="0"/>
          <w:numId w:val="1081"/>
        </w:numPr>
      </w:pPr>
      <w:r>
        <w:t xml:space="preserve">taux de correspondance des unités organisationnelles ;</w:t>
      </w:r>
    </w:p>
    <w:p>
      <w:pPr>
        <w:pStyle w:val="Compact"/>
        <w:numPr>
          <w:ilvl w:val="0"/>
          <w:numId w:val="1081"/>
        </w:numPr>
      </w:pPr>
      <w:r>
        <w:t xml:space="preserve">nombre de divergences ;</w:t>
      </w:r>
    </w:p>
    <w:p>
      <w:pPr>
        <w:pStyle w:val="Compact"/>
        <w:numPr>
          <w:ilvl w:val="0"/>
          <w:numId w:val="1081"/>
        </w:numPr>
      </w:pPr>
      <w:r>
        <w:t xml:space="preserve">délai moyen de résolution.</w:t>
      </w:r>
    </w:p>
    <w:bookmarkEnd w:id="140"/>
    <w:bookmarkStart w:id="141" w:name="sécurité"/>
    <w:p>
      <w:pPr>
        <w:pStyle w:val="Heading2"/>
      </w:pPr>
      <w:r>
        <w:t xml:space="preserve">Sécurité</w:t>
      </w:r>
    </w:p>
    <w:p>
      <w:pPr>
        <w:pStyle w:val="Compact"/>
        <w:numPr>
          <w:ilvl w:val="0"/>
          <w:numId w:val="1082"/>
        </w:numPr>
      </w:pPr>
      <w:r>
        <w:t xml:space="preserve">pourcentage de services avec base d’autorisation documentée ;</w:t>
      </w:r>
    </w:p>
    <w:p>
      <w:pPr>
        <w:pStyle w:val="Compact"/>
        <w:numPr>
          <w:ilvl w:val="0"/>
          <w:numId w:val="1082"/>
        </w:numPr>
      </w:pPr>
      <w:r>
        <w:t xml:space="preserve">pourcentage d’accès sensibles audités ;</w:t>
      </w:r>
    </w:p>
    <w:p>
      <w:pPr>
        <w:pStyle w:val="Compact"/>
        <w:numPr>
          <w:ilvl w:val="0"/>
          <w:numId w:val="1082"/>
        </w:numPr>
      </w:pPr>
      <w:r>
        <w:t xml:space="preserve">nombre d’incidents ;</w:t>
      </w:r>
    </w:p>
    <w:p>
      <w:pPr>
        <w:pStyle w:val="Compact"/>
        <w:numPr>
          <w:ilvl w:val="0"/>
          <w:numId w:val="1082"/>
        </w:numPr>
      </w:pPr>
      <w:r>
        <w:t xml:space="preserve">délai de révocation ;</w:t>
      </w:r>
    </w:p>
    <w:p>
      <w:pPr>
        <w:pStyle w:val="Compact"/>
        <w:numPr>
          <w:ilvl w:val="0"/>
          <w:numId w:val="1082"/>
        </w:numPr>
      </w:pPr>
      <w:r>
        <w:t xml:space="preserve">taux de revue des droits.</w:t>
      </w:r>
    </w:p>
    <w:bookmarkEnd w:id="141"/>
    <w:bookmarkStart w:id="142" w:name="conformité"/>
    <w:p>
      <w:pPr>
        <w:pStyle w:val="Heading2"/>
      </w:pPr>
      <w:r>
        <w:t xml:space="preserve">Conformité</w:t>
      </w:r>
    </w:p>
    <w:p>
      <w:pPr>
        <w:pStyle w:val="Compact"/>
        <w:numPr>
          <w:ilvl w:val="0"/>
          <w:numId w:val="1083"/>
        </w:numPr>
      </w:pPr>
      <w:r>
        <w:t xml:space="preserve">nombre d’initiatives évaluées ;</w:t>
      </w:r>
    </w:p>
    <w:p>
      <w:pPr>
        <w:pStyle w:val="Compact"/>
        <w:numPr>
          <w:ilvl w:val="0"/>
          <w:numId w:val="1083"/>
        </w:numPr>
      </w:pPr>
      <w:r>
        <w:t xml:space="preserve">taux d’homologation ;</w:t>
      </w:r>
    </w:p>
    <w:p>
      <w:pPr>
        <w:pStyle w:val="Compact"/>
        <w:numPr>
          <w:ilvl w:val="0"/>
          <w:numId w:val="1083"/>
        </w:numPr>
      </w:pPr>
      <w:r>
        <w:t xml:space="preserve">nombre de non-conformités ;</w:t>
      </w:r>
    </w:p>
    <w:p>
      <w:pPr>
        <w:pStyle w:val="Compact"/>
        <w:numPr>
          <w:ilvl w:val="0"/>
          <w:numId w:val="1083"/>
        </w:numPr>
      </w:pPr>
      <w:r>
        <w:t xml:space="preserve">délai de remédiation ;</w:t>
      </w:r>
    </w:p>
    <w:p>
      <w:pPr>
        <w:pStyle w:val="Compact"/>
        <w:numPr>
          <w:ilvl w:val="0"/>
          <w:numId w:val="1083"/>
        </w:numPr>
      </w:pPr>
      <w:r>
        <w:t xml:space="preserve">taux de réévaluation dans les délais.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annexe-a-matrice-principescapacités"/>
    <w:p>
      <w:pPr>
        <w:pStyle w:val="Heading1"/>
      </w:pPr>
      <w:r>
        <w:t xml:space="preserve">ANNEXE A — MATRICE PRINCIPES–CAPACITÉS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Capacité</w:t>
            </w:r>
          </w:p>
        </w:tc>
        <w:tc>
          <w:tcPr/>
          <w:p>
            <w:pPr>
              <w:pStyle w:val="Compact"/>
            </w:pPr>
            <w:r>
              <w:t xml:space="preserve">Principes principaux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CAP-INT-01 — Identité bénéficiaire</w:t>
            </w:r>
          </w:p>
        </w:tc>
        <w:tc>
          <w:tcPr/>
          <w:p>
            <w:pPr>
              <w:pStyle w:val="Compact"/>
            </w:pPr>
            <w:r>
              <w:t xml:space="preserve">P-INT-01 à 04, 14 à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CAP-INT-02 — Professionnels</w:t>
            </w:r>
          </w:p>
        </w:tc>
        <w:tc>
          <w:tcPr/>
          <w:p>
            <w:pPr>
              <w:pStyle w:val="Compact"/>
            </w:pPr>
            <w:r>
              <w:t xml:space="preserve">P-INT-01 à 04, 14 et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CAP-INT-03 — Échange et médiation</w:t>
            </w:r>
          </w:p>
        </w:tc>
        <w:tc>
          <w:tcPr/>
          <w:p>
            <w:pPr>
              <w:pStyle w:val="Compact"/>
            </w:pPr>
            <w:r>
              <w:t xml:space="preserve">P-INT-05 à 13, 18 à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CAP-INT-04 — Structures et services</w:t>
            </w:r>
          </w:p>
        </w:tc>
        <w:tc>
          <w:tcPr/>
          <w:p>
            <w:pPr>
              <w:pStyle w:val="Compact"/>
            </w:pPr>
            <w:r>
              <w:t xml:space="preserve">P-INT-01 à 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CAP-INT-05 — Terminologie</w:t>
            </w:r>
          </w:p>
        </w:tc>
        <w:tc>
          <w:tcPr/>
          <w:p>
            <w:pPr>
              <w:pStyle w:val="Compact"/>
            </w:pPr>
            <w:r>
              <w:t xml:space="preserve">P-INT-01 à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CAP-INT-06 — Catalogue et contrats</w:t>
            </w:r>
          </w:p>
        </w:tc>
        <w:tc>
          <w:tcPr/>
          <w:p>
            <w:pPr>
              <w:pStyle w:val="Compact"/>
            </w:pPr>
            <w:r>
              <w:t xml:space="preserve">P-INT-05 à 09, 23 à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CAP-INT-07 — Accès analytique</w:t>
            </w:r>
          </w:p>
        </w:tc>
        <w:tc>
          <w:tcPr/>
          <w:p>
            <w:pPr>
              <w:pStyle w:val="Compact"/>
            </w:pPr>
            <w:r>
              <w:t xml:space="preserve">P-INT-05 à 09, 17 à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CAP-INT-08 — Confiance et sécurité</w:t>
            </w:r>
          </w:p>
        </w:tc>
        <w:tc>
          <w:tcPr/>
          <w:p>
            <w:pPr>
              <w:pStyle w:val="Compact"/>
            </w:pPr>
            <w:r>
              <w:t xml:space="preserve">P-INT-14 à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CAP-INT-09 — Bases d’autorisation</w:t>
            </w:r>
          </w:p>
        </w:tc>
        <w:tc>
          <w:tcPr/>
          <w:p>
            <w:pPr>
              <w:pStyle w:val="Compact"/>
            </w:pPr>
            <w:r>
              <w:t xml:space="preserve">P-INT-14 à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CAP-INT-10 — Provenance et audit</w:t>
            </w:r>
          </w:p>
        </w:tc>
        <w:tc>
          <w:tcPr/>
          <w:p>
            <w:pPr>
              <w:pStyle w:val="Compact"/>
            </w:pPr>
            <w:r>
              <w:t xml:space="preserve">P-INT-07, 17, 18 et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CAP-INT-11 — Qualité et réconciliation</w:t>
            </w:r>
          </w:p>
        </w:tc>
        <w:tc>
          <w:tcPr/>
          <w:p>
            <w:pPr>
              <w:pStyle w:val="Compact"/>
            </w:pPr>
            <w:r>
              <w:t xml:space="preserve">P-INT-01 à 09, 23 à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CAP-INT-12 — Conformité</w:t>
            </w:r>
          </w:p>
        </w:tc>
        <w:tc>
          <w:tcPr/>
          <w:p>
            <w:pPr>
              <w:pStyle w:val="Compact"/>
            </w:pPr>
            <w:r>
              <w:t xml:space="preserve">P-INT-19 à 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Start w:id="145" w:name="annexe-b-articulation-avec-lart-sn"/>
    <w:p>
      <w:pPr>
        <w:pStyle w:val="Heading1"/>
      </w:pPr>
      <w:r>
        <w:t xml:space="preserve">ANNEXE B — ARTICULATION AVEC L’ART-SN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 CNISN</w:t>
            </w:r>
          </w:p>
        </w:tc>
        <w:tc>
          <w:tcPr/>
          <w:p>
            <w:pPr>
              <w:pStyle w:val="Compact"/>
            </w:pPr>
            <w:r>
              <w:t xml:space="preserve">Chapitres ART-SN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Autorité et données de référence</w:t>
            </w:r>
          </w:p>
        </w:tc>
        <w:tc>
          <w:tcPr/>
          <w:p>
            <w:pPr>
              <w:pStyle w:val="Compact"/>
            </w:pPr>
            <w:r>
              <w:t xml:space="preserve">F.1, ART-4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Contractualisation</w:t>
            </w:r>
          </w:p>
        </w:tc>
        <w:tc>
          <w:tcPr/>
          <w:p>
            <w:pPr>
              <w:pStyle w:val="Compact"/>
            </w:pPr>
            <w:r>
              <w:t xml:space="preserve">F.2, F.3, ART-1, ART-2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Rattachement à la valeur</w:t>
            </w:r>
          </w:p>
        </w:tc>
        <w:tc>
          <w:tcPr/>
          <w:p>
            <w:pPr>
              <w:pStyle w:val="Compact"/>
            </w:pPr>
            <w:r>
              <w:t xml:space="preserve">F.4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 et minimisation</w:t>
            </w:r>
          </w:p>
        </w:tc>
        <w:tc>
          <w:tcPr/>
          <w:p>
            <w:pPr>
              <w:pStyle w:val="Compact"/>
            </w:pPr>
            <w:r>
              <w:t xml:space="preserve">F.5, ART-7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Observabilité</w:t>
            </w:r>
          </w:p>
        </w:tc>
        <w:tc>
          <w:tcPr/>
          <w:p>
            <w:pPr>
              <w:pStyle w:val="Compact"/>
            </w:pPr>
            <w:r>
              <w:t xml:space="preserve">F.6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Gouvernance interinstitutionnelle</w:t>
            </w:r>
          </w:p>
        </w:tc>
        <w:tc>
          <w:tcPr/>
          <w:p>
            <w:pPr>
              <w:pStyle w:val="Compact"/>
            </w:pPr>
            <w:r>
              <w:t xml:space="preserve">ART-0, ART-11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Historisation</w:t>
            </w:r>
          </w:p>
        </w:tc>
        <w:tc>
          <w:tcPr/>
          <w:p>
            <w:pPr>
              <w:pStyle w:val="Compact"/>
            </w:pPr>
            <w:r>
              <w:t xml:space="preserve">ART-3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Qualité et réconciliation</w:t>
            </w:r>
          </w:p>
        </w:tc>
        <w:tc>
          <w:tcPr/>
          <w:p>
            <w:pPr>
              <w:pStyle w:val="Compact"/>
            </w:pPr>
            <w:r>
              <w:t xml:space="preserve">ART-5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Analytique</w:t>
            </w:r>
          </w:p>
        </w:tc>
        <w:tc>
          <w:tcPr/>
          <w:p>
            <w:pPr>
              <w:pStyle w:val="Compact"/>
            </w:pPr>
            <w:r>
              <w:t xml:space="preserve">ART-6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Coordination</w:t>
            </w:r>
          </w:p>
        </w:tc>
        <w:tc>
          <w:tcPr/>
          <w:p>
            <w:pPr>
              <w:pStyle w:val="Compact"/>
            </w:pPr>
            <w:r>
              <w:t xml:space="preserve">ART-8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 fortes</w:t>
            </w:r>
          </w:p>
        </w:tc>
        <w:tc>
          <w:tcPr/>
          <w:p>
            <w:pPr>
              <w:pStyle w:val="Compact"/>
            </w:pPr>
            <w:r>
              <w:t xml:space="preserve">ART-9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Logistique</w:t>
            </w:r>
          </w:p>
        </w:tc>
        <w:tc>
          <w:tcPr/>
          <w:p>
            <w:pPr>
              <w:pStyle w:val="Compact"/>
            </w:pPr>
            <w:r>
              <w:t xml:space="preserve">ART-10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6" w:name="annexe-c-articulation-avec-le-ptisn"/>
    <w:p>
      <w:pPr>
        <w:pStyle w:val="Heading1"/>
      </w:pPr>
      <w:r>
        <w:t xml:space="preserve">ANNEXE C — ARTICULATION AVEC LE PTISN</w:t>
      </w:r>
    </w:p>
    <w:p>
      <w:pPr>
        <w:pStyle w:val="FirstParagraph"/>
      </w:pPr>
      <w:r>
        <w:t xml:space="preserve">Le PTISN doit fournir, pour chaque capacité :</w:t>
      </w:r>
    </w:p>
    <w:p>
      <w:pPr>
        <w:pStyle w:val="Compact"/>
        <w:numPr>
          <w:ilvl w:val="0"/>
          <w:numId w:val="1084"/>
        </w:numPr>
      </w:pPr>
      <w:r>
        <w:t xml:space="preserve">le service national correspondant ;</w:t>
      </w:r>
    </w:p>
    <w:p>
      <w:pPr>
        <w:pStyle w:val="Compact"/>
        <w:numPr>
          <w:ilvl w:val="0"/>
          <w:numId w:val="1084"/>
        </w:numPr>
      </w:pPr>
      <w:r>
        <w:t xml:space="preserve">les standards de base ;</w:t>
      </w:r>
    </w:p>
    <w:p>
      <w:pPr>
        <w:pStyle w:val="Compact"/>
        <w:numPr>
          <w:ilvl w:val="0"/>
          <w:numId w:val="1084"/>
        </w:numPr>
      </w:pPr>
      <w:r>
        <w:t xml:space="preserve">les profils d’échange ;</w:t>
      </w:r>
    </w:p>
    <w:p>
      <w:pPr>
        <w:pStyle w:val="Compact"/>
        <w:numPr>
          <w:ilvl w:val="0"/>
          <w:numId w:val="1084"/>
        </w:numPr>
      </w:pPr>
      <w:r>
        <w:t xml:space="preserve">les versions ;</w:t>
      </w:r>
    </w:p>
    <w:p>
      <w:pPr>
        <w:pStyle w:val="Compact"/>
        <w:numPr>
          <w:ilvl w:val="0"/>
          <w:numId w:val="1084"/>
        </w:numPr>
      </w:pPr>
      <w:r>
        <w:t xml:space="preserve">les extensions nationales ;</w:t>
      </w:r>
    </w:p>
    <w:p>
      <w:pPr>
        <w:pStyle w:val="Compact"/>
        <w:numPr>
          <w:ilvl w:val="0"/>
          <w:numId w:val="1084"/>
        </w:numPr>
      </w:pPr>
      <w:r>
        <w:t xml:space="preserve">les produits candidats ;</w:t>
      </w:r>
    </w:p>
    <w:p>
      <w:pPr>
        <w:pStyle w:val="Compact"/>
        <w:numPr>
          <w:ilvl w:val="0"/>
          <w:numId w:val="1084"/>
        </w:numPr>
      </w:pPr>
      <w:r>
        <w:t xml:space="preserve">le statut de décision ;</w:t>
      </w:r>
    </w:p>
    <w:p>
      <w:pPr>
        <w:pStyle w:val="Compact"/>
        <w:numPr>
          <w:ilvl w:val="0"/>
          <w:numId w:val="1084"/>
        </w:numPr>
      </w:pPr>
      <w:r>
        <w:t xml:space="preserve">les preuves de conformité.</w:t>
      </w:r>
    </w:p>
    <w:p>
      <w:pPr>
        <w:pStyle w:val="FirstParagraph"/>
      </w:pPr>
      <w:r>
        <w:t xml:space="preserve">Le PTISN ne peut pas modifier un principe du CNISN.</w:t>
      </w:r>
    </w:p>
    <w:p>
      <w:pPr>
        <w:pStyle w:val="BodyText"/>
      </w:pPr>
      <w:r>
        <w:t xml:space="preserve">Lorsqu’aucun standard ou profil ne permet de satisfaire une capacité, le PTISN doit :</w:t>
      </w:r>
    </w:p>
    <w:p>
      <w:pPr>
        <w:pStyle w:val="Compact"/>
        <w:numPr>
          <w:ilvl w:val="0"/>
          <w:numId w:val="1085"/>
        </w:numPr>
      </w:pPr>
      <w:r>
        <w:t xml:space="preserve">documenter la lacune ;</w:t>
      </w:r>
    </w:p>
    <w:p>
      <w:pPr>
        <w:pStyle w:val="Compact"/>
        <w:numPr>
          <w:ilvl w:val="0"/>
          <w:numId w:val="1085"/>
        </w:numPr>
      </w:pPr>
      <w:r>
        <w:t xml:space="preserve">identifier les options ;</w:t>
      </w:r>
    </w:p>
    <w:p>
      <w:pPr>
        <w:pStyle w:val="Compact"/>
        <w:numPr>
          <w:ilvl w:val="0"/>
          <w:numId w:val="1085"/>
        </w:numPr>
      </w:pPr>
      <w:r>
        <w:t xml:space="preserve">proposer un profil national ;</w:t>
      </w:r>
    </w:p>
    <w:p>
      <w:pPr>
        <w:pStyle w:val="Compact"/>
        <w:numPr>
          <w:ilvl w:val="0"/>
          <w:numId w:val="1085"/>
        </w:numPr>
      </w:pPr>
      <w:r>
        <w:t xml:space="preserve">soumettre la décision à la gouvernance ;</w:t>
      </w:r>
    </w:p>
    <w:p>
      <w:pPr>
        <w:pStyle w:val="Compact"/>
        <w:numPr>
          <w:ilvl w:val="0"/>
          <w:numId w:val="1085"/>
        </w:numPr>
      </w:pPr>
      <w:r>
        <w:t xml:space="preserve">préserver la neutralité et la réversibilité.</w:t>
      </w:r>
    </w:p>
    <w:p>
      <w:r>
        <w:pict>
          <v:rect style="width:0;height:1.5pt" o:hralign="center" o:hrstd="t" o:hr="t"/>
        </w:pict>
      </w:r>
    </w:p>
    <w:bookmarkEnd w:id="146"/>
    <w:bookmarkStart w:id="147" w:name="annexe-d-principes-de-lecture"/>
    <w:p>
      <w:pPr>
        <w:pStyle w:val="Heading1"/>
      </w:pPr>
      <w:r>
        <w:t xml:space="preserve">ANNEXE D — PRINCIPES DE LECTURE</w:t>
      </w:r>
    </w:p>
    <w:p>
      <w:pPr>
        <w:pStyle w:val="Compact"/>
        <w:numPr>
          <w:ilvl w:val="0"/>
          <w:numId w:val="1086"/>
        </w:numPr>
      </w:pPr>
      <w:r>
        <w:t xml:space="preserve">Le CNISN fixe ce qui doit être garanti.</w:t>
      </w:r>
    </w:p>
    <w:p>
      <w:pPr>
        <w:pStyle w:val="Compact"/>
        <w:numPr>
          <w:ilvl w:val="0"/>
          <w:numId w:val="1086"/>
        </w:numPr>
      </w:pPr>
      <w:r>
        <w:t xml:space="preserve">L’ART-SN fixe les contrats et patrons permettant de le garantir.</w:t>
      </w:r>
    </w:p>
    <w:p>
      <w:pPr>
        <w:pStyle w:val="Compact"/>
        <w:numPr>
          <w:ilvl w:val="0"/>
          <w:numId w:val="1086"/>
        </w:numPr>
      </w:pPr>
      <w:r>
        <w:t xml:space="preserve">Le PTISN fixe les standards, profils et implémentations candidates.</w:t>
      </w:r>
    </w:p>
    <w:p>
      <w:pPr>
        <w:pStyle w:val="Compact"/>
        <w:numPr>
          <w:ilvl w:val="0"/>
          <w:numId w:val="1086"/>
        </w:numPr>
      </w:pPr>
      <w:r>
        <w:t xml:space="preserve">Une autorité nationale n’implique pas toujours une base physique unique.</w:t>
      </w:r>
    </w:p>
    <w:p>
      <w:pPr>
        <w:pStyle w:val="Compact"/>
        <w:numPr>
          <w:ilvl w:val="0"/>
          <w:numId w:val="1086"/>
        </w:numPr>
      </w:pPr>
      <w:r>
        <w:t xml:space="preserve">Les copies locales sont autorisées lorsqu’elles restent non autoritatives.</w:t>
      </w:r>
    </w:p>
    <w:p>
      <w:pPr>
        <w:pStyle w:val="Compact"/>
        <w:numPr>
          <w:ilvl w:val="0"/>
          <w:numId w:val="1086"/>
        </w:numPr>
      </w:pPr>
      <w:r>
        <w:t xml:space="preserve">Une interface technique ne remplace pas un accord de gouvernance.</w:t>
      </w:r>
    </w:p>
    <w:p>
      <w:pPr>
        <w:pStyle w:val="Compact"/>
        <w:numPr>
          <w:ilvl w:val="0"/>
          <w:numId w:val="1086"/>
        </w:numPr>
      </w:pPr>
      <w:r>
        <w:t xml:space="preserve">Le consentement n’est pas l’unique base d’autorisation.</w:t>
      </w:r>
    </w:p>
    <w:p>
      <w:pPr>
        <w:pStyle w:val="Compact"/>
        <w:numPr>
          <w:ilvl w:val="0"/>
          <w:numId w:val="1086"/>
        </w:numPr>
      </w:pPr>
      <w:r>
        <w:t xml:space="preserve">Une technologie ne prouve pas la conformité.</w:t>
      </w:r>
    </w:p>
    <w:p>
      <w:pPr>
        <w:pStyle w:val="Compact"/>
        <w:numPr>
          <w:ilvl w:val="0"/>
          <w:numId w:val="1086"/>
        </w:numPr>
      </w:pPr>
      <w:r>
        <w:t xml:space="preserve">La conformité doit être fondée sur des preuves.</w:t>
      </w:r>
    </w:p>
    <w:p>
      <w:pPr>
        <w:pStyle w:val="Compact"/>
        <w:numPr>
          <w:ilvl w:val="0"/>
          <w:numId w:val="1086"/>
        </w:numPr>
      </w:pPr>
      <w:r>
        <w:t xml:space="preserve">Une dérogation doit être explicite et limitée.</w:t>
      </w:r>
    </w:p>
    <w:p>
      <w:pPr>
        <w:pStyle w:val="Compact"/>
        <w:numPr>
          <w:ilvl w:val="0"/>
          <w:numId w:val="1086"/>
        </w:numPr>
      </w:pPr>
      <w:r>
        <w:t xml:space="preserve">Une urgence peut accélérer la procédure, mais ne supprime pas la gouvernance.</w:t>
      </w:r>
    </w:p>
    <w:p>
      <w:pPr>
        <w:pStyle w:val="Compact"/>
        <w:numPr>
          <w:ilvl w:val="0"/>
          <w:numId w:val="1086"/>
        </w:numPr>
      </w:pPr>
      <w:r>
        <w:t xml:space="preserve">La portabilité et la réversibilité sont obligatoires pour les services critiques.</w:t>
      </w:r>
    </w:p>
    <w:p>
      <w:pPr>
        <w:pStyle w:val="Compact"/>
        <w:numPr>
          <w:ilvl w:val="0"/>
          <w:numId w:val="1086"/>
        </w:numPr>
      </w:pPr>
      <w:r>
        <w:t xml:space="preserve">Les événements métier, la provenance, l’audit et les logs sont distincts.</w:t>
      </w:r>
    </w:p>
    <w:p>
      <w:pPr>
        <w:pStyle w:val="Compact"/>
        <w:numPr>
          <w:ilvl w:val="0"/>
          <w:numId w:val="1086"/>
        </w:numPr>
      </w:pPr>
      <w:r>
        <w:t xml:space="preserve">Les services nationaux doivent disposer d’un propriétaire et d’un modèle d’exploitation.</w:t>
      </w:r>
    </w:p>
    <w:p>
      <w:pPr>
        <w:pStyle w:val="Compact"/>
        <w:numPr>
          <w:ilvl w:val="0"/>
          <w:numId w:val="1086"/>
        </w:numPr>
      </w:pPr>
      <w:r>
        <w:t xml:space="preserve">L’interopérabilité est une capacité de gouvernance autant qu’une capacité technique.</w:t>
      </w:r>
    </w:p>
    <w:p>
      <w:r>
        <w:pict>
          <v:rect style="width:0;height:1.5pt" o:hralign="center" o:hrstd="t" o:hr="t"/>
        </w:pict>
      </w:r>
    </w:p>
    <w:bookmarkEnd w:id="147"/>
    <w:bookmarkStart w:id="14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Le CNISN fournit au secteur santé un cadre commun permettant de gouverner les données, services et échanges numériques dans la durée.</w:t>
      </w:r>
    </w:p>
    <w:p>
      <w:pPr>
        <w:pStyle w:val="BodyText"/>
      </w:pPr>
      <w:r>
        <w:t xml:space="preserve">Il ne définit pas seulement la manière dont deux systèmes communiquent.</w:t>
      </w:r>
    </w:p>
    <w:p>
      <w:pPr>
        <w:pStyle w:val="BodyText"/>
      </w:pPr>
      <w:r>
        <w:t xml:space="preserve">Il définit également :</w:t>
      </w:r>
    </w:p>
    <w:p>
      <w:pPr>
        <w:pStyle w:val="Compact"/>
        <w:numPr>
          <w:ilvl w:val="0"/>
          <w:numId w:val="1087"/>
        </w:numPr>
      </w:pPr>
      <w:r>
        <w:t xml:space="preserve">qui fait autorité ;</w:t>
      </w:r>
    </w:p>
    <w:p>
      <w:pPr>
        <w:pStyle w:val="Compact"/>
        <w:numPr>
          <w:ilvl w:val="0"/>
          <w:numId w:val="1087"/>
        </w:numPr>
      </w:pPr>
      <w:r>
        <w:t xml:space="preserve">qui est responsable ;</w:t>
      </w:r>
    </w:p>
    <w:p>
      <w:pPr>
        <w:pStyle w:val="Compact"/>
        <w:numPr>
          <w:ilvl w:val="0"/>
          <w:numId w:val="1087"/>
        </w:numPr>
      </w:pPr>
      <w:r>
        <w:t xml:space="preserve">quelle finalité justifie l’échange ;</w:t>
      </w:r>
    </w:p>
    <w:p>
      <w:pPr>
        <w:pStyle w:val="Compact"/>
        <w:numPr>
          <w:ilvl w:val="0"/>
          <w:numId w:val="1087"/>
        </w:numPr>
      </w:pPr>
      <w:r>
        <w:t xml:space="preserve">comment les contrats évoluent ;</w:t>
      </w:r>
    </w:p>
    <w:p>
      <w:pPr>
        <w:pStyle w:val="Compact"/>
        <w:numPr>
          <w:ilvl w:val="0"/>
          <w:numId w:val="1087"/>
        </w:numPr>
      </w:pPr>
      <w:r>
        <w:t xml:space="preserve">comment les services sont publiés ;</w:t>
      </w:r>
    </w:p>
    <w:p>
      <w:pPr>
        <w:pStyle w:val="Compact"/>
        <w:numPr>
          <w:ilvl w:val="0"/>
          <w:numId w:val="1087"/>
        </w:numPr>
      </w:pPr>
      <w:r>
        <w:t xml:space="preserve">comment les données sont protégées ;</w:t>
      </w:r>
    </w:p>
    <w:p>
      <w:pPr>
        <w:pStyle w:val="Compact"/>
        <w:numPr>
          <w:ilvl w:val="0"/>
          <w:numId w:val="1087"/>
        </w:numPr>
      </w:pPr>
      <w:r>
        <w:t xml:space="preserve">comment les divergences sont arbitrées ;</w:t>
      </w:r>
    </w:p>
    <w:p>
      <w:pPr>
        <w:pStyle w:val="Compact"/>
        <w:numPr>
          <w:ilvl w:val="0"/>
          <w:numId w:val="1087"/>
        </w:numPr>
      </w:pPr>
      <w:r>
        <w:t xml:space="preserve">comment la conformité est démontrée.</w:t>
      </w:r>
    </w:p>
    <w:p>
      <w:pPr>
        <w:pStyle w:val="FirstParagraph"/>
      </w:pPr>
      <w:r>
        <w:t xml:space="preserve">Cette approche permet de passer d’intégrations isolées à un écosystème national gouverné, réutilisable, sécurisé et progressivement interopérable.</w:t>
      </w:r>
    </w:p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2026-07-20T11:53:41Z</dcterms:created>
  <dcterms:modified xsi:type="dcterms:W3CDTF">2026-07-20T11:53:41Z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