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77f887ed553d10c8d84998c20b2cfa6f8cce9e"/>
    <w:p>
      <w:pPr>
        <w:pStyle w:val="Heading1"/>
      </w:pPr>
      <w:r>
        <w:t xml:space="preserve">PROFIL TECHNIQUE D’INTEROPÉRABILITÉ DE SANTÉ NUMÉRIQUE</w:t>
      </w:r>
    </w:p>
    <w:bookmarkStart w:id="20" w:name="santé-numérique-madagascar"/>
    <w:p>
      <w:pPr>
        <w:pStyle w:val="Heading2"/>
      </w:pPr>
      <w:r>
        <w:t xml:space="preserve">Santé numérique — Madagascar</w:t>
      </w:r>
    </w:p>
    <w:p>
      <w:pPr>
        <w:pStyle w:val="FirstParagraph"/>
      </w:pPr>
      <w:r>
        <w:rPr>
          <w:b/>
          <w:bCs/>
        </w:rPr>
        <w:t xml:space="preserve">Sigle :</w:t>
      </w:r>
      <w:r>
        <w:t xml:space="preserve"> </w:t>
      </w:r>
      <w:r>
        <w:t xml:space="preserve">PTISN</w:t>
      </w:r>
      <w:r>
        <w:br/>
      </w:r>
      <w:r>
        <w:rPr>
          <w:b/>
          <w:bCs/>
        </w:rPr>
        <w:t xml:space="preserve">Version :</w:t>
      </w:r>
      <w:r>
        <w:t xml:space="preserve"> </w:t>
      </w:r>
      <w:r>
        <w:t xml:space="preserve">0.4</w:t>
      </w:r>
      <w:r>
        <w:br/>
      </w:r>
      <w:r>
        <w:rPr>
          <w:b/>
          <w:bCs/>
        </w:rPr>
        <w:t xml:space="preserve">Date :</w:t>
      </w:r>
      <w:r>
        <w:t xml:space="preserve"> </w:t>
      </w:r>
      <w:r>
        <w:t xml:space="preserve">Juillet 2026</w:t>
      </w:r>
      <w:r>
        <w:br/>
      </w:r>
      <w:r>
        <w:rPr>
          <w:b/>
          <w:bCs/>
        </w:rPr>
        <w:t xml:space="preserve">Statut :</w:t>
      </w:r>
      <w:r>
        <w:t xml:space="preserve"> </w:t>
      </w:r>
      <w:r>
        <w:t xml:space="preserve">Document de travail soumis à validation</w:t>
      </w:r>
      <w:r>
        <w:br/>
      </w:r>
      <w:r>
        <w:rPr>
          <w:b/>
          <w:bCs/>
        </w:rPr>
        <w:t xml:space="preserve">Document parent :</w:t>
      </w:r>
      <w:r>
        <w:t xml:space="preserve"> </w:t>
      </w:r>
      <w:r>
        <w:t xml:space="preserve">Cadre National d’Interopérabilité de Santé Numérique — CNISN</w:t>
      </w:r>
      <w:r>
        <w:br/>
      </w:r>
      <w:r>
        <w:rPr>
          <w:b/>
          <w:bCs/>
        </w:rPr>
        <w:t xml:space="preserve">Architecture de référence applicable :</w:t>
      </w:r>
      <w:r>
        <w:t xml:space="preserve"> </w:t>
      </w:r>
      <w:r>
        <w:t xml:space="preserve">ART-SN v0.3</w:t>
      </w:r>
      <w:r>
        <w:br/>
      </w:r>
      <w:r>
        <w:rPr>
          <w:b/>
          <w:bCs/>
        </w:rPr>
        <w:t xml:space="preserve">Cadre transversal parent :</w:t>
      </w:r>
      <w:r>
        <w:t xml:space="preserve"> </w:t>
      </w:r>
      <w:r>
        <w:t xml:space="preserve">Cadre national d’interopérabilité porté par l’Unité de Gouvernance Digitale</w:t>
      </w:r>
      <w:r>
        <w:br/>
      </w:r>
      <w:r>
        <w:rPr>
          <w:b/>
          <w:bCs/>
        </w:rPr>
        <w:t xml:space="preserve">Documents associés :</w:t>
      </w:r>
    </w:p>
    <w:p>
      <w:pPr>
        <w:pStyle w:val="Compact"/>
        <w:numPr>
          <w:ilvl w:val="0"/>
          <w:numId w:val="1001"/>
        </w:numPr>
      </w:pPr>
      <w:r>
        <w:t xml:space="preserve">Cadre d’Architecture d’Entreprise pour la Santé Numérique — CAE-SN ;</w:t>
      </w:r>
    </w:p>
    <w:p>
      <w:pPr>
        <w:pStyle w:val="Compact"/>
        <w:numPr>
          <w:ilvl w:val="0"/>
          <w:numId w:val="1001"/>
        </w:numPr>
      </w:pPr>
      <w:r>
        <w:t xml:space="preserve">Architecture de Référence Technique — ART-SN ;</w:t>
      </w:r>
    </w:p>
    <w:p>
      <w:pPr>
        <w:pStyle w:val="Compact"/>
        <w:numPr>
          <w:ilvl w:val="0"/>
          <w:numId w:val="1001"/>
        </w:numPr>
      </w:pPr>
      <w:r>
        <w:t xml:space="preserve">spécifications d’implémentation des initiatives ;</w:t>
      </w:r>
    </w:p>
    <w:p>
      <w:pPr>
        <w:pStyle w:val="Compact"/>
        <w:numPr>
          <w:ilvl w:val="0"/>
          <w:numId w:val="1001"/>
        </w:numPr>
      </w:pPr>
      <w:r>
        <w:t xml:space="preserve">catalogue national des services ;</w:t>
      </w:r>
    </w:p>
    <w:p>
      <w:pPr>
        <w:pStyle w:val="Compact"/>
        <w:numPr>
          <w:ilvl w:val="0"/>
          <w:numId w:val="1001"/>
        </w:numPr>
      </w:pPr>
      <w:r>
        <w:t xml:space="preserve">registre des contrats et profils d’échange ;</w:t>
      </w:r>
    </w:p>
    <w:p>
      <w:pPr>
        <w:pStyle w:val="Compact"/>
        <w:numPr>
          <w:ilvl w:val="0"/>
          <w:numId w:val="1001"/>
        </w:numPr>
      </w:pPr>
      <w:r>
        <w:t xml:space="preserve">décisions architecturales nationales.</w:t>
      </w:r>
    </w:p>
    <w:p>
      <w:r>
        <w:pict>
          <v:rect style="width:0;height:1.5pt" o:hralign="center" o:hrstd="t" o:hr="t"/>
        </w:pict>
      </w:r>
    </w:p>
    <w:bookmarkEnd w:id="20"/>
    <w:bookmarkEnd w:id="21"/>
    <w:bookmarkStart w:id="24" w:name="préambule"/>
    <w:p>
      <w:pPr>
        <w:pStyle w:val="Heading1"/>
      </w:pPr>
      <w:r>
        <w:t xml:space="preserve">Préambule</w:t>
      </w:r>
    </w:p>
    <w:bookmarkStart w:id="22" w:name="fonction-du-ptisn"/>
    <w:p>
      <w:pPr>
        <w:pStyle w:val="Heading2"/>
      </w:pPr>
      <w:r>
        <w:t xml:space="preserve">1. Fonction du PTISN</w:t>
      </w:r>
    </w:p>
    <w:p>
      <w:pPr>
        <w:pStyle w:val="FirstParagraph"/>
      </w:pPr>
      <w:r>
        <w:t xml:space="preserve">Le Profil Technique d’Interopérabilité de Santé Numérique traduit les capacités et principes du CNISN en profils techniques utilisables par les initiatives numériques du secteur santé.</w:t>
      </w:r>
    </w:p>
    <w:p>
      <w:pPr>
        <w:pStyle w:val="BodyText"/>
      </w:pPr>
      <w:r>
        <w:t xml:space="preserve">Le CNISN définit :</w:t>
      </w:r>
    </w:p>
    <w:p>
      <w:pPr>
        <w:pStyle w:val="Compact"/>
        <w:numPr>
          <w:ilvl w:val="0"/>
          <w:numId w:val="1002"/>
        </w:numPr>
      </w:pPr>
      <w:r>
        <w:t xml:space="preserve">les principes opposables ;</w:t>
      </w:r>
    </w:p>
    <w:p>
      <w:pPr>
        <w:pStyle w:val="Compact"/>
        <w:numPr>
          <w:ilvl w:val="0"/>
          <w:numId w:val="1002"/>
        </w:numPr>
      </w:pPr>
      <w:r>
        <w:t xml:space="preserve">les capacités requises ;</w:t>
      </w:r>
    </w:p>
    <w:p>
      <w:pPr>
        <w:pStyle w:val="Compact"/>
        <w:numPr>
          <w:ilvl w:val="0"/>
          <w:numId w:val="1002"/>
        </w:numPr>
      </w:pPr>
      <w:r>
        <w:t xml:space="preserve">les règles de gouvernance ;</w:t>
      </w:r>
    </w:p>
    <w:p>
      <w:pPr>
        <w:pStyle w:val="Compact"/>
        <w:numPr>
          <w:ilvl w:val="0"/>
          <w:numId w:val="1002"/>
        </w:numPr>
      </w:pPr>
      <w:r>
        <w:t xml:space="preserve">les responsabilités ;</w:t>
      </w:r>
    </w:p>
    <w:p>
      <w:pPr>
        <w:pStyle w:val="Compact"/>
        <w:numPr>
          <w:ilvl w:val="0"/>
          <w:numId w:val="1002"/>
        </w:numPr>
      </w:pPr>
      <w:r>
        <w:t xml:space="preserve">les mécanismes de dérogation.</w:t>
      </w:r>
    </w:p>
    <w:p>
      <w:pPr>
        <w:pStyle w:val="FirstParagraph"/>
      </w:pPr>
      <w:r>
        <w:t xml:space="preserve">L’ART définit :</w:t>
      </w:r>
    </w:p>
    <w:p>
      <w:pPr>
        <w:pStyle w:val="Compact"/>
        <w:numPr>
          <w:ilvl w:val="0"/>
          <w:numId w:val="1003"/>
        </w:numPr>
      </w:pPr>
      <w:r>
        <w:t xml:space="preserve">les contrats de conformité ;</w:t>
      </w:r>
    </w:p>
    <w:p>
      <w:pPr>
        <w:pStyle w:val="Compact"/>
        <w:numPr>
          <w:ilvl w:val="0"/>
          <w:numId w:val="1003"/>
        </w:numPr>
      </w:pPr>
      <w:r>
        <w:t xml:space="preserve">les propriétés architecturales attendues ;</w:t>
      </w:r>
    </w:p>
    <w:p>
      <w:pPr>
        <w:pStyle w:val="Compact"/>
        <w:numPr>
          <w:ilvl w:val="0"/>
          <w:numId w:val="1003"/>
        </w:numPr>
      </w:pPr>
      <w:r>
        <w:t xml:space="preserve">les patrons reconnus ;</w:t>
      </w:r>
    </w:p>
    <w:p>
      <w:pPr>
        <w:pStyle w:val="Compact"/>
        <w:numPr>
          <w:ilvl w:val="0"/>
          <w:numId w:val="1003"/>
        </w:numPr>
      </w:pPr>
      <w:r>
        <w:t xml:space="preserve">les preuves de conformité.</w:t>
      </w:r>
    </w:p>
    <w:p>
      <w:pPr>
        <w:pStyle w:val="FirstParagraph"/>
      </w:pPr>
      <w:r>
        <w:t xml:space="preserve">Le PTISN précise :</w:t>
      </w:r>
    </w:p>
    <w:p>
      <w:pPr>
        <w:pStyle w:val="Compact"/>
        <w:numPr>
          <w:ilvl w:val="0"/>
          <w:numId w:val="1004"/>
        </w:numPr>
      </w:pPr>
      <w:r>
        <w:t xml:space="preserve">les services nationaux attendus ;</w:t>
      </w:r>
    </w:p>
    <w:p>
      <w:pPr>
        <w:pStyle w:val="Compact"/>
        <w:numPr>
          <w:ilvl w:val="0"/>
          <w:numId w:val="1004"/>
        </w:numPr>
      </w:pPr>
      <w:r>
        <w:t xml:space="preserve">les standards à utiliser ;</w:t>
      </w:r>
    </w:p>
    <w:p>
      <w:pPr>
        <w:pStyle w:val="Compact"/>
        <w:numPr>
          <w:ilvl w:val="0"/>
          <w:numId w:val="1004"/>
        </w:numPr>
      </w:pPr>
      <w:r>
        <w:t xml:space="preserve">les profils d’échange à appliquer ;</w:t>
      </w:r>
    </w:p>
    <w:p>
      <w:pPr>
        <w:pStyle w:val="Compact"/>
        <w:numPr>
          <w:ilvl w:val="0"/>
          <w:numId w:val="1004"/>
        </w:numPr>
      </w:pPr>
      <w:r>
        <w:t xml:space="preserve">les versions de référence ;</w:t>
      </w:r>
    </w:p>
    <w:p>
      <w:pPr>
        <w:pStyle w:val="Compact"/>
        <w:numPr>
          <w:ilvl w:val="0"/>
          <w:numId w:val="1004"/>
        </w:numPr>
      </w:pPr>
      <w:r>
        <w:t xml:space="preserve">les produits ou implémentations candidats ;</w:t>
      </w:r>
    </w:p>
    <w:p>
      <w:pPr>
        <w:pStyle w:val="Compact"/>
        <w:numPr>
          <w:ilvl w:val="0"/>
          <w:numId w:val="1004"/>
        </w:numPr>
      </w:pPr>
      <w:r>
        <w:t xml:space="preserve">les décisions nationales déjà actées ;</w:t>
      </w:r>
    </w:p>
    <w:p>
      <w:pPr>
        <w:pStyle w:val="Compact"/>
        <w:numPr>
          <w:ilvl w:val="0"/>
          <w:numId w:val="1004"/>
        </w:numPr>
      </w:pPr>
      <w:r>
        <w:t xml:space="preserve">les exigences de conformité associées.</w:t>
      </w:r>
    </w:p>
    <w:p>
      <w:pPr>
        <w:pStyle w:val="FirstParagraph"/>
      </w:pPr>
      <w:r>
        <w:t xml:space="preserve">Le PTISN constitue donc le niveau auquel des standards, profils et produits peuvent être explicitement nommés.</w:t>
      </w:r>
    </w:p>
    <w:p>
      <w:r>
        <w:pict>
          <v:rect style="width:0;height:1.5pt" o:hralign="center" o:hrstd="t" o:hr="t"/>
        </w:pict>
      </w:r>
    </w:p>
    <w:bookmarkEnd w:id="22"/>
    <w:bookmarkStart w:id="23" w:name="Xf6101708486cd98f327e6dfa55cef498d2e4af1"/>
    <w:p>
      <w:pPr>
        <w:pStyle w:val="Heading2"/>
      </w:pPr>
      <w:r>
        <w:t xml:space="preserve">2. Position dans la hiérarchie architecturale</w:t>
      </w:r>
    </w:p>
    <w:p>
      <w:pPr>
        <w:pStyle w:val="SourceCode"/>
      </w:pPr>
      <w:r>
        <w:rPr>
          <w:rStyle w:val="VerbatimChar"/>
        </w:rPr>
        <w:t xml:space="preserve">Cadre national d’interopérabilité</w:t>
      </w:r>
      <w:r>
        <w:br/>
      </w:r>
      <w:r>
        <w:rPr>
          <w:rStyle w:val="VerbatimChar"/>
        </w:rPr>
        <w:t xml:space="preserve">Transversal à l’ensemble de l’administration</w:t>
      </w:r>
      <w:r>
        <w:br/>
      </w:r>
      <w:r>
        <w:rPr>
          <w:rStyle w:val="VerbatimChar"/>
        </w:rPr>
        <w:t xml:space="preserve">                         │</w:t>
      </w:r>
      <w:r>
        <w:br/>
      </w:r>
      <w:r>
        <w:rPr>
          <w:rStyle w:val="VerbatimChar"/>
        </w:rPr>
        <w:t xml:space="preserve">                         ▼</w:t>
      </w:r>
      <w:r>
        <w:br/>
      </w:r>
      <w:r>
        <w:rPr>
          <w:rStyle w:val="VerbatimChar"/>
        </w:rPr>
        <w:t xml:space="preserve">Cadre d’Architecture d’Entreprise</w:t>
      </w:r>
      <w:r>
        <w:br/>
      </w:r>
      <w:r>
        <w:rPr>
          <w:rStyle w:val="VerbatimChar"/>
        </w:rPr>
        <w:t xml:space="preserve">pour la Santé Numérique</w:t>
      </w:r>
      <w:r>
        <w:br/>
      </w:r>
      <w:r>
        <w:rPr>
          <w:rStyle w:val="VerbatimChar"/>
        </w:rPr>
        <w:t xml:space="preserve">Value streams, capacités et gouvernance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CNISN                  ART-SN</w:t>
      </w:r>
      <w:r>
        <w:br/>
      </w:r>
      <w:r>
        <w:rPr>
          <w:rStyle w:val="VerbatimChar"/>
        </w:rPr>
        <w:t xml:space="preserve"> Principes et capacités      Contrats et patrons</w:t>
      </w:r>
      <w:r>
        <w:br/>
      </w:r>
      <w:r>
        <w:rPr>
          <w:rStyle w:val="VerbatimChar"/>
        </w:rPr>
        <w:t xml:space="preserve"> d’interopérabilité          architecturaux</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PTISN</w:t>
      </w:r>
      <w:r>
        <w:br/>
      </w:r>
      <w:r>
        <w:rPr>
          <w:rStyle w:val="VerbatimChar"/>
        </w:rPr>
        <w:t xml:space="preserve"> Services nationaux, standards,</w:t>
      </w:r>
      <w:r>
        <w:br/>
      </w:r>
      <w:r>
        <w:rPr>
          <w:rStyle w:val="VerbatimChar"/>
        </w:rPr>
        <w:t xml:space="preserve"> profils et candidats d’implémentation</w:t>
      </w:r>
      <w:r>
        <w:br/>
      </w:r>
      <w:r>
        <w:rPr>
          <w:rStyle w:val="VerbatimChar"/>
        </w:rPr>
        <w:t xml:space="preserve">                         │</w:t>
      </w:r>
      <w:r>
        <w:br/>
      </w:r>
      <w:r>
        <w:rPr>
          <w:rStyle w:val="VerbatimChar"/>
        </w:rPr>
        <w:t xml:space="preserve">                         ▼</w:t>
      </w:r>
      <w:r>
        <w:br/>
      </w:r>
      <w:r>
        <w:rPr>
          <w:rStyle w:val="VerbatimChar"/>
        </w:rPr>
        <w:t xml:space="preserve">      Spécifications propres aux initiatives</w:t>
      </w:r>
      <w:r>
        <w:br/>
      </w:r>
      <w:r>
        <w:rPr>
          <w:rStyle w:val="VerbatimChar"/>
        </w:rPr>
        <w:t xml:space="preserve">                         │</w:t>
      </w:r>
      <w:r>
        <w:br/>
      </w:r>
      <w:r>
        <w:rPr>
          <w:rStyle w:val="VerbatimChar"/>
        </w:rPr>
        <w:t xml:space="preserve">                         ▼</w:t>
      </w:r>
      <w:r>
        <w:br/>
      </w:r>
      <w:r>
        <w:rPr>
          <w:rStyle w:val="VerbatimChar"/>
        </w:rPr>
        <w:t xml:space="preserve">       Systèmes homologués et exploités</w:t>
      </w:r>
    </w:p>
    <w:p>
      <w:pPr>
        <w:pStyle w:val="FirstParagraph"/>
      </w:pPr>
      <w:r>
        <w:t xml:space="preserve">Une initiative ne doit pas recopier le PTISN dans son dossier d’architecture.</w:t>
      </w:r>
    </w:p>
    <w:p>
      <w:pPr>
        <w:pStyle w:val="BodyText"/>
      </w:pPr>
      <w:r>
        <w:t xml:space="preserve">Elle doit produire un</w:t>
      </w:r>
      <w:r>
        <w:t xml:space="preserve"> </w:t>
      </w:r>
      <w:r>
        <w:rPr>
          <w:b/>
          <w:bCs/>
        </w:rPr>
        <w:t xml:space="preserve">profil technique d’initiative</w:t>
      </w:r>
      <w:r>
        <w:t xml:space="preserve"> </w:t>
      </w:r>
      <w:r>
        <w:t xml:space="preserve">indiquant :</w:t>
      </w:r>
    </w:p>
    <w:p>
      <w:pPr>
        <w:pStyle w:val="Compact"/>
        <w:numPr>
          <w:ilvl w:val="0"/>
          <w:numId w:val="1005"/>
        </w:numPr>
      </w:pPr>
      <w:r>
        <w:t xml:space="preserve">les services nationaux qu’elle consomme ou fournit ;</w:t>
      </w:r>
    </w:p>
    <w:p>
      <w:pPr>
        <w:pStyle w:val="Compact"/>
        <w:numPr>
          <w:ilvl w:val="0"/>
          <w:numId w:val="1005"/>
        </w:numPr>
      </w:pPr>
      <w:r>
        <w:t xml:space="preserve">les profils PTISN qu’elle applique ;</w:t>
      </w:r>
    </w:p>
    <w:p>
      <w:pPr>
        <w:pStyle w:val="Compact"/>
        <w:numPr>
          <w:ilvl w:val="0"/>
          <w:numId w:val="1005"/>
        </w:numPr>
      </w:pPr>
      <w:r>
        <w:t xml:space="preserve">les versions utilisées ;</w:t>
      </w:r>
    </w:p>
    <w:p>
      <w:pPr>
        <w:pStyle w:val="Compact"/>
        <w:numPr>
          <w:ilvl w:val="0"/>
          <w:numId w:val="1005"/>
        </w:numPr>
      </w:pPr>
      <w:r>
        <w:t xml:space="preserve">les produits retenus ;</w:t>
      </w:r>
    </w:p>
    <w:p>
      <w:pPr>
        <w:pStyle w:val="Compact"/>
        <w:numPr>
          <w:ilvl w:val="0"/>
          <w:numId w:val="1005"/>
        </w:numPr>
      </w:pPr>
      <w:r>
        <w:t xml:space="preserve">les écarts ;</w:t>
      </w:r>
    </w:p>
    <w:p>
      <w:pPr>
        <w:pStyle w:val="Compact"/>
        <w:numPr>
          <w:ilvl w:val="0"/>
          <w:numId w:val="1005"/>
        </w:numPr>
      </w:pPr>
      <w:r>
        <w:t xml:space="preserve">les preuves de conformité.</w:t>
      </w:r>
    </w:p>
    <w:p>
      <w:r>
        <w:pict>
          <v:rect style="width:0;height:1.5pt" o:hralign="center" o:hrstd="t" o:hr="t"/>
        </w:pict>
      </w:r>
    </w:p>
    <w:bookmarkEnd w:id="23"/>
    <w:bookmarkEnd w:id="24"/>
    <w:bookmarkStart w:id="25" w:name="partie-i-règles-dutilisation-du-ptisn"/>
    <w:p>
      <w:pPr>
        <w:pStyle w:val="Heading1"/>
      </w:pPr>
      <w:r>
        <w:t xml:space="preserve">PARTIE I — RÈGLES D’UTILISATION DU PTISN</w:t>
      </w:r>
    </w:p>
    <w:bookmarkEnd w:id="25"/>
    <w:bookmarkStart w:id="32" w:name="types-de-décisions-techniques"/>
    <w:p>
      <w:pPr>
        <w:pStyle w:val="Heading1"/>
      </w:pPr>
      <w:r>
        <w:t xml:space="preserve">1. Types de décisions techniques</w:t>
      </w:r>
    </w:p>
    <w:p>
      <w:pPr>
        <w:pStyle w:val="FirstParagraph"/>
      </w:pPr>
      <w:r>
        <w:t xml:space="preserve">Le PTISN distingue six catégories de décisions.</w:t>
      </w:r>
    </w:p>
    <w:bookmarkStart w:id="26" w:name="service-national"/>
    <w:p>
      <w:pPr>
        <w:pStyle w:val="Heading2"/>
      </w:pPr>
      <w:r>
        <w:t xml:space="preserve">1.1 Service national</w:t>
      </w:r>
    </w:p>
    <w:p>
      <w:pPr>
        <w:pStyle w:val="FirstParagraph"/>
      </w:pPr>
      <w:r>
        <w:t xml:space="preserve">Capacité applicative partagée mise à disposition de plusieurs systèmes.</w:t>
      </w:r>
    </w:p>
    <w:p>
      <w:pPr>
        <w:pStyle w:val="BodyText"/>
      </w:pPr>
      <w:r>
        <w:t xml:space="preserve">Exemples :</w:t>
      </w:r>
    </w:p>
    <w:p>
      <w:pPr>
        <w:pStyle w:val="Compact"/>
        <w:numPr>
          <w:ilvl w:val="0"/>
          <w:numId w:val="1006"/>
        </w:numPr>
      </w:pPr>
      <w:r>
        <w:t xml:space="preserve">résolution d’identité ;</w:t>
      </w:r>
    </w:p>
    <w:p>
      <w:pPr>
        <w:pStyle w:val="Compact"/>
        <w:numPr>
          <w:ilvl w:val="0"/>
          <w:numId w:val="1006"/>
        </w:numPr>
      </w:pPr>
      <w:r>
        <w:t xml:space="preserve">annuaire des formations sanitaires ;</w:t>
      </w:r>
    </w:p>
    <w:p>
      <w:pPr>
        <w:pStyle w:val="Compact"/>
        <w:numPr>
          <w:ilvl w:val="0"/>
          <w:numId w:val="1006"/>
        </w:numPr>
      </w:pPr>
      <w:r>
        <w:t xml:space="preserve">service terminologique ;</w:t>
      </w:r>
    </w:p>
    <w:p>
      <w:pPr>
        <w:pStyle w:val="Compact"/>
        <w:numPr>
          <w:ilvl w:val="0"/>
          <w:numId w:val="1006"/>
        </w:numPr>
      </w:pPr>
      <w:r>
        <w:t xml:space="preserve">catalogue de services ;</w:t>
      </w:r>
    </w:p>
    <w:p>
      <w:pPr>
        <w:pStyle w:val="Compact"/>
        <w:numPr>
          <w:ilvl w:val="0"/>
          <w:numId w:val="1006"/>
        </w:numPr>
      </w:pPr>
      <w:r>
        <w:t xml:space="preserve">médiation inter-systèmes.</w:t>
      </w:r>
    </w:p>
    <w:bookmarkEnd w:id="26"/>
    <w:bookmarkStart w:id="27" w:name="standard-de-base"/>
    <w:p>
      <w:pPr>
        <w:pStyle w:val="Heading2"/>
      </w:pPr>
      <w:r>
        <w:t xml:space="preserve">1.2 Standard de base</w:t>
      </w:r>
    </w:p>
    <w:p>
      <w:pPr>
        <w:pStyle w:val="FirstParagraph"/>
      </w:pPr>
      <w:r>
        <w:t xml:space="preserve">Spécification générale utilisée pour structurer ou échanger une information.</w:t>
      </w:r>
    </w:p>
    <w:p>
      <w:pPr>
        <w:pStyle w:val="BodyText"/>
      </w:pPr>
      <w:r>
        <w:t xml:space="preserve">Exemples :</w:t>
      </w:r>
    </w:p>
    <w:p>
      <w:pPr>
        <w:pStyle w:val="Compact"/>
        <w:numPr>
          <w:ilvl w:val="0"/>
          <w:numId w:val="1007"/>
        </w:numPr>
      </w:pPr>
      <w:r>
        <w:t xml:space="preserve">HL7 FHIR ;</w:t>
      </w:r>
    </w:p>
    <w:p>
      <w:pPr>
        <w:pStyle w:val="Compact"/>
        <w:numPr>
          <w:ilvl w:val="0"/>
          <w:numId w:val="1007"/>
        </w:numPr>
      </w:pPr>
      <w:r>
        <w:t xml:space="preserve">REST ;</w:t>
      </w:r>
    </w:p>
    <w:p>
      <w:pPr>
        <w:pStyle w:val="Compact"/>
        <w:numPr>
          <w:ilvl w:val="0"/>
          <w:numId w:val="1007"/>
        </w:numPr>
      </w:pPr>
      <w:r>
        <w:t xml:space="preserve">JSON ;</w:t>
      </w:r>
    </w:p>
    <w:p>
      <w:pPr>
        <w:pStyle w:val="Compact"/>
        <w:numPr>
          <w:ilvl w:val="0"/>
          <w:numId w:val="1007"/>
        </w:numPr>
      </w:pPr>
      <w:r>
        <w:t xml:space="preserve">OAuth ;</w:t>
      </w:r>
    </w:p>
    <w:p>
      <w:pPr>
        <w:pStyle w:val="Compact"/>
        <w:numPr>
          <w:ilvl w:val="0"/>
          <w:numId w:val="1007"/>
        </w:numPr>
      </w:pPr>
      <w:r>
        <w:t xml:space="preserve">OpenAPI.</w:t>
      </w:r>
    </w:p>
    <w:bookmarkEnd w:id="27"/>
    <w:bookmarkStart w:id="28" w:name="profil-dinteropérabilité"/>
    <w:p>
      <w:pPr>
        <w:pStyle w:val="Heading2"/>
      </w:pPr>
      <w:r>
        <w:t xml:space="preserve">1.3 Profil d’interopérabilité</w:t>
      </w:r>
    </w:p>
    <w:p>
      <w:pPr>
        <w:pStyle w:val="FirstParagraph"/>
      </w:pPr>
      <w:r>
        <w:t xml:space="preserve">Contrainte appliquée à un ou plusieurs standards afin de répondre à un cas d’usage déterminé.</w:t>
      </w:r>
    </w:p>
    <w:p>
      <w:pPr>
        <w:pStyle w:val="BodyText"/>
      </w:pPr>
      <w:r>
        <w:t xml:space="preserve">Exemples :</w:t>
      </w:r>
    </w:p>
    <w:p>
      <w:pPr>
        <w:pStyle w:val="Compact"/>
        <w:numPr>
          <w:ilvl w:val="0"/>
          <w:numId w:val="1008"/>
        </w:numPr>
      </w:pPr>
      <w:r>
        <w:t xml:space="preserve">PIXm ;</w:t>
      </w:r>
    </w:p>
    <w:p>
      <w:pPr>
        <w:pStyle w:val="Compact"/>
        <w:numPr>
          <w:ilvl w:val="0"/>
          <w:numId w:val="1008"/>
        </w:numPr>
      </w:pPr>
      <w:r>
        <w:t xml:space="preserve">PDQm ;</w:t>
      </w:r>
    </w:p>
    <w:p>
      <w:pPr>
        <w:pStyle w:val="Compact"/>
        <w:numPr>
          <w:ilvl w:val="0"/>
          <w:numId w:val="1008"/>
        </w:numPr>
      </w:pPr>
      <w:r>
        <w:t xml:space="preserve">mCSD ;</w:t>
      </w:r>
    </w:p>
    <w:p>
      <w:pPr>
        <w:pStyle w:val="Compact"/>
        <w:numPr>
          <w:ilvl w:val="0"/>
          <w:numId w:val="1008"/>
        </w:numPr>
      </w:pPr>
      <w:r>
        <w:t xml:space="preserve">SVCM ;</w:t>
      </w:r>
    </w:p>
    <w:p>
      <w:pPr>
        <w:pStyle w:val="Compact"/>
        <w:numPr>
          <w:ilvl w:val="0"/>
          <w:numId w:val="1008"/>
        </w:numPr>
      </w:pPr>
      <w:r>
        <w:t xml:space="preserve">mADX.</w:t>
      </w:r>
    </w:p>
    <w:bookmarkEnd w:id="28"/>
    <w:bookmarkStart w:id="29" w:name="patron-architectural"/>
    <w:p>
      <w:pPr>
        <w:pStyle w:val="Heading2"/>
      </w:pPr>
      <w:r>
        <w:t xml:space="preserve">1.4 Patron architectural</w:t>
      </w:r>
    </w:p>
    <w:p>
      <w:pPr>
        <w:pStyle w:val="FirstParagraph"/>
      </w:pPr>
      <w:r>
        <w:t xml:space="preserve">Organisation de composants destinée à résoudre une catégorie de problème.</w:t>
      </w:r>
    </w:p>
    <w:p>
      <w:pPr>
        <w:pStyle w:val="BodyText"/>
      </w:pPr>
      <w:r>
        <w:t xml:space="preserve">Exemples :</w:t>
      </w:r>
    </w:p>
    <w:p>
      <w:pPr>
        <w:pStyle w:val="Compact"/>
        <w:numPr>
          <w:ilvl w:val="0"/>
          <w:numId w:val="1009"/>
        </w:numPr>
      </w:pPr>
      <w:r>
        <w:t xml:space="preserve">médiateur ;</w:t>
      </w:r>
    </w:p>
    <w:p>
      <w:pPr>
        <w:pStyle w:val="Compact"/>
        <w:numPr>
          <w:ilvl w:val="0"/>
          <w:numId w:val="1009"/>
        </w:numPr>
      </w:pPr>
      <w:r>
        <w:t xml:space="preserve">fédération ;</w:t>
      </w:r>
    </w:p>
    <w:p>
      <w:pPr>
        <w:pStyle w:val="Compact"/>
        <w:numPr>
          <w:ilvl w:val="0"/>
          <w:numId w:val="1009"/>
        </w:numPr>
      </w:pPr>
      <w:r>
        <w:t xml:space="preserve">CQRS ;</w:t>
      </w:r>
    </w:p>
    <w:p>
      <w:pPr>
        <w:pStyle w:val="Compact"/>
        <w:numPr>
          <w:ilvl w:val="0"/>
          <w:numId w:val="1009"/>
        </w:numPr>
      </w:pPr>
      <w:r>
        <w:t xml:space="preserve">historisation événementielle ;</w:t>
      </w:r>
    </w:p>
    <w:p>
      <w:pPr>
        <w:pStyle w:val="Compact"/>
        <w:numPr>
          <w:ilvl w:val="0"/>
          <w:numId w:val="1009"/>
        </w:numPr>
      </w:pPr>
      <w:r>
        <w:t xml:space="preserve">publication-abonnement.</w:t>
      </w:r>
    </w:p>
    <w:p>
      <w:pPr>
        <w:pStyle w:val="FirstParagraph"/>
      </w:pPr>
      <w:r>
        <w:t xml:space="preserve">Les patrons sont définis dans l’ART et non par le présent document.</w:t>
      </w:r>
    </w:p>
    <w:bookmarkEnd w:id="29"/>
    <w:bookmarkStart w:id="30" w:name="produit-ou-implémentation-candidate"/>
    <w:p>
      <w:pPr>
        <w:pStyle w:val="Heading2"/>
      </w:pPr>
      <w:r>
        <w:t xml:space="preserve">1.5 Produit ou implémentation candidate</w:t>
      </w:r>
    </w:p>
    <w:p>
      <w:pPr>
        <w:pStyle w:val="FirstParagraph"/>
      </w:pPr>
      <w:r>
        <w:t xml:space="preserve">Solution concrète susceptible d’implémenter un service ou un patron.</w:t>
      </w:r>
    </w:p>
    <w:p>
      <w:pPr>
        <w:pStyle w:val="BodyText"/>
      </w:pPr>
      <w:r>
        <w:t xml:space="preserve">Exemples :</w:t>
      </w:r>
    </w:p>
    <w:p>
      <w:pPr>
        <w:pStyle w:val="Compact"/>
        <w:numPr>
          <w:ilvl w:val="0"/>
          <w:numId w:val="1010"/>
        </w:numPr>
      </w:pPr>
      <w:r>
        <w:t xml:space="preserve">plateforme nationale d’échange ;</w:t>
      </w:r>
    </w:p>
    <w:p>
      <w:pPr>
        <w:pStyle w:val="Compact"/>
        <w:numPr>
          <w:ilvl w:val="0"/>
          <w:numId w:val="1010"/>
        </w:numPr>
      </w:pPr>
      <w:r>
        <w:t xml:space="preserve">médiateur sectoriel ;</w:t>
      </w:r>
    </w:p>
    <w:p>
      <w:pPr>
        <w:pStyle w:val="Compact"/>
        <w:numPr>
          <w:ilvl w:val="0"/>
          <w:numId w:val="1010"/>
        </w:numPr>
      </w:pPr>
      <w:r>
        <w:t xml:space="preserve">serveur terminologique ;</w:t>
      </w:r>
    </w:p>
    <w:p>
      <w:pPr>
        <w:pStyle w:val="Compact"/>
        <w:numPr>
          <w:ilvl w:val="0"/>
          <w:numId w:val="1010"/>
        </w:numPr>
      </w:pPr>
      <w:r>
        <w:t xml:space="preserve">registre ;</w:t>
      </w:r>
    </w:p>
    <w:p>
      <w:pPr>
        <w:pStyle w:val="Compact"/>
        <w:numPr>
          <w:ilvl w:val="0"/>
          <w:numId w:val="1010"/>
        </w:numPr>
      </w:pPr>
      <w:r>
        <w:t xml:space="preserve">moteur analytique.</w:t>
      </w:r>
    </w:p>
    <w:p>
      <w:pPr>
        <w:pStyle w:val="FirstParagraph"/>
      </w:pPr>
      <w:r>
        <w:t xml:space="preserve">La conformité est évaluée sur les contrats et preuves, et non sur le seul nom du produit.</w:t>
      </w:r>
    </w:p>
    <w:bookmarkEnd w:id="30"/>
    <w:bookmarkStart w:id="31" w:name="décision-nationale"/>
    <w:p>
      <w:pPr>
        <w:pStyle w:val="Heading2"/>
      </w:pPr>
      <w:r>
        <w:t xml:space="preserve">1.6 Décision nationale</w:t>
      </w:r>
    </w:p>
    <w:p>
      <w:pPr>
        <w:pStyle w:val="FirstParagraph"/>
      </w:pPr>
      <w:r>
        <w:t xml:space="preserve">Choix formellement validé par l’autorité compétente.</w:t>
      </w:r>
    </w:p>
    <w:p>
      <w:pPr>
        <w:pStyle w:val="BodyText"/>
      </w:pPr>
      <w:r>
        <w:t xml:space="preserve">Une décision nationale doit disposer :</w:t>
      </w:r>
    </w:p>
    <w:p>
      <w:pPr>
        <w:pStyle w:val="Compact"/>
        <w:numPr>
          <w:ilvl w:val="0"/>
          <w:numId w:val="1011"/>
        </w:numPr>
      </w:pPr>
      <w:r>
        <w:t xml:space="preserve">d’une référence ;</w:t>
      </w:r>
    </w:p>
    <w:p>
      <w:pPr>
        <w:pStyle w:val="Compact"/>
        <w:numPr>
          <w:ilvl w:val="0"/>
          <w:numId w:val="1011"/>
        </w:numPr>
      </w:pPr>
      <w:r>
        <w:t xml:space="preserve">d’une date ;</w:t>
      </w:r>
    </w:p>
    <w:p>
      <w:pPr>
        <w:pStyle w:val="Compact"/>
        <w:numPr>
          <w:ilvl w:val="0"/>
          <w:numId w:val="1011"/>
        </w:numPr>
      </w:pPr>
      <w:r>
        <w:t xml:space="preserve">d’une autorité de validation ;</w:t>
      </w:r>
    </w:p>
    <w:p>
      <w:pPr>
        <w:pStyle w:val="Compact"/>
        <w:numPr>
          <w:ilvl w:val="0"/>
          <w:numId w:val="1011"/>
        </w:numPr>
      </w:pPr>
      <w:r>
        <w:t xml:space="preserve">d’un périmètre ;</w:t>
      </w:r>
    </w:p>
    <w:p>
      <w:pPr>
        <w:pStyle w:val="Compact"/>
        <w:numPr>
          <w:ilvl w:val="0"/>
          <w:numId w:val="1011"/>
        </w:numPr>
      </w:pPr>
      <w:r>
        <w:t xml:space="preserve">d’une version ;</w:t>
      </w:r>
    </w:p>
    <w:p>
      <w:pPr>
        <w:pStyle w:val="Compact"/>
        <w:numPr>
          <w:ilvl w:val="0"/>
          <w:numId w:val="1011"/>
        </w:numPr>
      </w:pPr>
      <w:r>
        <w:t xml:space="preserve">d’une stratégie d’évolution.</w:t>
      </w:r>
    </w:p>
    <w:p>
      <w:r>
        <w:pict>
          <v:rect style="width:0;height:1.5pt" o:hralign="center" o:hrstd="t" o:hr="t"/>
        </w:pict>
      </w:r>
    </w:p>
    <w:bookmarkEnd w:id="31"/>
    <w:bookmarkEnd w:id="32"/>
    <w:bookmarkStart w:id="33" w:name="statuts-des-décisions"/>
    <w:p>
      <w:pPr>
        <w:pStyle w:val="Heading1"/>
      </w:pPr>
      <w:r>
        <w:t xml:space="preserve">2. Statuts des décisions</w:t>
      </w:r>
    </w:p>
    <w:p>
      <w:pPr>
        <w:pStyle w:val="FirstParagraph"/>
      </w:pPr>
      <w:r>
        <w:t xml:space="preserve">Les standards, profils et produits mentionnés dans le PTISN portent l’un des statuts suivants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Signification</w:t>
            </w:r>
          </w:p>
        </w:tc>
      </w:tr>
      <w:tr>
        <w:tc>
          <w:tcPr/>
          <w:p>
            <w:pPr>
              <w:pStyle w:val="Compact"/>
            </w:pPr>
            <w:r>
              <w:rPr>
                <w:b/>
                <w:bCs/>
              </w:rPr>
              <w:t xml:space="preserve">À instruire</w:t>
            </w:r>
          </w:p>
        </w:tc>
        <w:tc>
          <w:tcPr/>
          <w:p>
            <w:pPr>
              <w:pStyle w:val="Compact"/>
            </w:pPr>
            <w:r>
              <w:t xml:space="preserve">Besoin identifié, solution non encore évaluée</w:t>
            </w:r>
          </w:p>
        </w:tc>
      </w:tr>
      <w:tr>
        <w:tc>
          <w:tcPr/>
          <w:p>
            <w:pPr>
              <w:pStyle w:val="Compact"/>
            </w:pPr>
            <w:r>
              <w:rPr>
                <w:b/>
                <w:bCs/>
              </w:rPr>
              <w:t xml:space="preserve">Candidat</w:t>
            </w:r>
          </w:p>
        </w:tc>
        <w:tc>
          <w:tcPr/>
          <w:p>
            <w:pPr>
              <w:pStyle w:val="Compact"/>
            </w:pPr>
            <w:r>
              <w:t xml:space="preserve">Solution ou profil identifié pour évaluation</w:t>
            </w:r>
          </w:p>
        </w:tc>
      </w:tr>
      <w:tr>
        <w:tc>
          <w:tcPr/>
          <w:p>
            <w:pPr>
              <w:pStyle w:val="Compact"/>
            </w:pPr>
            <w:r>
              <w:rPr>
                <w:b/>
                <w:bCs/>
              </w:rPr>
              <w:t xml:space="preserve">Recommandé</w:t>
            </w:r>
          </w:p>
        </w:tc>
        <w:tc>
          <w:tcPr/>
          <w:p>
            <w:pPr>
              <w:pStyle w:val="Compact"/>
            </w:pPr>
            <w:r>
              <w:t xml:space="preserve">Option privilégiée pour les nouvelles initiatives</w:t>
            </w:r>
          </w:p>
        </w:tc>
      </w:tr>
      <w:tr>
        <w:tc>
          <w:tcPr/>
          <w:p>
            <w:pPr>
              <w:pStyle w:val="Compact"/>
            </w:pPr>
            <w:r>
              <w:rPr>
                <w:b/>
                <w:bCs/>
              </w:rPr>
              <w:t xml:space="preserve">Retenu pour pilote</w:t>
            </w:r>
          </w:p>
        </w:tc>
        <w:tc>
          <w:tcPr/>
          <w:p>
            <w:pPr>
              <w:pStyle w:val="Compact"/>
            </w:pPr>
            <w:r>
              <w:t xml:space="preserve">Choix limité à une initiative ou une expérimentation</w:t>
            </w:r>
          </w:p>
        </w:tc>
      </w:tr>
      <w:tr>
        <w:tc>
          <w:tcPr/>
          <w:p>
            <w:pPr>
              <w:pStyle w:val="Compact"/>
            </w:pPr>
            <w:r>
              <w:rPr>
                <w:b/>
                <w:bCs/>
              </w:rPr>
              <w:t xml:space="preserve">Retenu nationalement</w:t>
            </w:r>
          </w:p>
        </w:tc>
        <w:tc>
          <w:tcPr/>
          <w:p>
            <w:pPr>
              <w:pStyle w:val="Compact"/>
            </w:pPr>
            <w:r>
              <w:t xml:space="preserve">Choix validé pour le périmètre national défini</w:t>
            </w:r>
          </w:p>
        </w:tc>
      </w:tr>
      <w:tr>
        <w:tc>
          <w:tcPr/>
          <w:p>
            <w:pPr>
              <w:pStyle w:val="Compact"/>
            </w:pPr>
            <w:r>
              <w:rPr>
                <w:b/>
                <w:bCs/>
              </w:rPr>
              <w:t xml:space="preserve">Homologué</w:t>
            </w:r>
          </w:p>
        </w:tc>
        <w:tc>
          <w:tcPr/>
          <w:p>
            <w:pPr>
              <w:pStyle w:val="Compact"/>
            </w:pPr>
            <w:r>
              <w:t xml:space="preserve">Conformité démontrée par les tests et la gouvernance</w:t>
            </w:r>
          </w:p>
        </w:tc>
      </w:tr>
      <w:tr>
        <w:tc>
          <w:tcPr/>
          <w:p>
            <w:pPr>
              <w:pStyle w:val="Compact"/>
            </w:pPr>
            <w:r>
              <w:rPr>
                <w:b/>
                <w:bCs/>
              </w:rPr>
              <w:t xml:space="preserve">Déprécié</w:t>
            </w:r>
          </w:p>
        </w:tc>
        <w:tc>
          <w:tcPr/>
          <w:p>
            <w:pPr>
              <w:pStyle w:val="Compact"/>
            </w:pPr>
            <w:r>
              <w:t xml:space="preserve">Maintenu temporairement pour compatibilité</w:t>
            </w:r>
          </w:p>
        </w:tc>
      </w:tr>
      <w:tr>
        <w:tc>
          <w:tcPr/>
          <w:p>
            <w:pPr>
              <w:pStyle w:val="Compact"/>
            </w:pPr>
            <w:r>
              <w:rPr>
                <w:b/>
                <w:bCs/>
              </w:rPr>
              <w:t xml:space="preserve">Retiré</w:t>
            </w:r>
          </w:p>
        </w:tc>
        <w:tc>
          <w:tcPr/>
          <w:p>
            <w:pPr>
              <w:pStyle w:val="Compact"/>
            </w:pPr>
            <w:r>
              <w:t xml:space="preserve">Ne doit plus être utilisé</w:t>
            </w:r>
          </w:p>
        </w:tc>
      </w:tr>
    </w:tbl>
    <w:p>
      <w:pPr>
        <w:pStyle w:val="BodyText"/>
      </w:pPr>
      <w:r>
        <w:t xml:space="preserve">Le statut d’un produit est distinct du statut du standard qu’il implémente.</w:t>
      </w:r>
    </w:p>
    <w:p>
      <w:r>
        <w:pict>
          <v:rect style="width:0;height:1.5pt" o:hralign="center" o:hrstd="t" o:hr="t"/>
        </w:pict>
      </w:r>
    </w:p>
    <w:bookmarkEnd w:id="33"/>
    <w:bookmarkStart w:id="34" w:name="versionnement"/>
    <w:p>
      <w:pPr>
        <w:pStyle w:val="Heading1"/>
      </w:pPr>
      <w:r>
        <w:t xml:space="preserve">3. Versionnement</w:t>
      </w:r>
    </w:p>
    <w:p>
      <w:pPr>
        <w:pStyle w:val="FirstParagraph"/>
      </w:pPr>
      <w:r>
        <w:t xml:space="preserve">Toute référence à un profil doit préciser :</w:t>
      </w:r>
    </w:p>
    <w:p>
      <w:pPr>
        <w:pStyle w:val="Compact"/>
        <w:numPr>
          <w:ilvl w:val="0"/>
          <w:numId w:val="1012"/>
        </w:numPr>
      </w:pPr>
      <w:r>
        <w:t xml:space="preserve">le nom officiel ;</w:t>
      </w:r>
    </w:p>
    <w:p>
      <w:pPr>
        <w:pStyle w:val="Compact"/>
        <w:numPr>
          <w:ilvl w:val="0"/>
          <w:numId w:val="1012"/>
        </w:numPr>
      </w:pPr>
      <w:r>
        <w:t xml:space="preserve">l’organisme de publication ;</w:t>
      </w:r>
    </w:p>
    <w:p>
      <w:pPr>
        <w:pStyle w:val="Compact"/>
        <w:numPr>
          <w:ilvl w:val="0"/>
          <w:numId w:val="1012"/>
        </w:numPr>
      </w:pPr>
      <w:r>
        <w:t xml:space="preserve">la version ;</w:t>
      </w:r>
    </w:p>
    <w:p>
      <w:pPr>
        <w:pStyle w:val="Compact"/>
        <w:numPr>
          <w:ilvl w:val="0"/>
          <w:numId w:val="1012"/>
        </w:numPr>
      </w:pPr>
      <w:r>
        <w:t xml:space="preserve">la date de publication ;</w:t>
      </w:r>
    </w:p>
    <w:p>
      <w:pPr>
        <w:pStyle w:val="Compact"/>
        <w:numPr>
          <w:ilvl w:val="0"/>
          <w:numId w:val="1012"/>
        </w:numPr>
      </w:pPr>
      <w:r>
        <w:t xml:space="preserve">la version du standard de base ;</w:t>
      </w:r>
    </w:p>
    <w:p>
      <w:pPr>
        <w:pStyle w:val="Compact"/>
        <w:numPr>
          <w:ilvl w:val="0"/>
          <w:numId w:val="1012"/>
        </w:numPr>
      </w:pPr>
      <w:r>
        <w:t xml:space="preserve">les options obligatoires ;</w:t>
      </w:r>
    </w:p>
    <w:p>
      <w:pPr>
        <w:pStyle w:val="Compact"/>
        <w:numPr>
          <w:ilvl w:val="0"/>
          <w:numId w:val="1012"/>
        </w:numPr>
      </w:pPr>
      <w:r>
        <w:t xml:space="preserve">les extensions nationales ;</w:t>
      </w:r>
    </w:p>
    <w:p>
      <w:pPr>
        <w:pStyle w:val="Compact"/>
        <w:numPr>
          <w:ilvl w:val="0"/>
          <w:numId w:val="1012"/>
        </w:numPr>
      </w:pPr>
      <w:r>
        <w:t xml:space="preserve">la date de révision prévue.</w:t>
      </w:r>
    </w:p>
    <w:p>
      <w:pPr>
        <w:pStyle w:val="FirstParagraph"/>
      </w:pPr>
      <w:r>
        <w:t xml:space="preserve">La mention générique d’un standard sans version n’est pas suffisante dans une spécification d’implémentation.</w:t>
      </w:r>
    </w:p>
    <w:p>
      <w:pPr>
        <w:pStyle w:val="BodyText"/>
      </w:pPr>
      <w:r>
        <w:t xml:space="preserve">Le registre national des profils conserve :</w:t>
      </w:r>
    </w:p>
    <w:p>
      <w:pPr>
        <w:pStyle w:val="Compact"/>
        <w:numPr>
          <w:ilvl w:val="0"/>
          <w:numId w:val="1013"/>
        </w:numPr>
      </w:pPr>
      <w:r>
        <w:t xml:space="preserve">les versions actives ;</w:t>
      </w:r>
    </w:p>
    <w:p>
      <w:pPr>
        <w:pStyle w:val="Compact"/>
        <w:numPr>
          <w:ilvl w:val="0"/>
          <w:numId w:val="1013"/>
        </w:numPr>
      </w:pPr>
      <w:r>
        <w:t xml:space="preserve">les versions en transition ;</w:t>
      </w:r>
    </w:p>
    <w:p>
      <w:pPr>
        <w:pStyle w:val="Compact"/>
        <w:numPr>
          <w:ilvl w:val="0"/>
          <w:numId w:val="1013"/>
        </w:numPr>
      </w:pPr>
      <w:r>
        <w:t xml:space="preserve">les versions dépréciées ;</w:t>
      </w:r>
    </w:p>
    <w:p>
      <w:pPr>
        <w:pStyle w:val="Compact"/>
        <w:numPr>
          <w:ilvl w:val="0"/>
          <w:numId w:val="1013"/>
        </w:numPr>
      </w:pPr>
      <w:r>
        <w:t xml:space="preserve">les dates de fin de support ;</w:t>
      </w:r>
    </w:p>
    <w:p>
      <w:pPr>
        <w:pStyle w:val="Compact"/>
        <w:numPr>
          <w:ilvl w:val="0"/>
          <w:numId w:val="1013"/>
        </w:numPr>
      </w:pPr>
      <w:r>
        <w:t xml:space="preserve">les dépendances.</w:t>
      </w:r>
    </w:p>
    <w:p>
      <w:r>
        <w:pict>
          <v:rect style="width:0;height:1.5pt" o:hralign="center" o:hrstd="t" o:hr="t"/>
        </w:pict>
      </w:r>
    </w:p>
    <w:bookmarkEnd w:id="34"/>
    <w:bookmarkStart w:id="35" w:name="applicabilité"/>
    <w:p>
      <w:pPr>
        <w:pStyle w:val="Heading1"/>
      </w:pPr>
      <w:r>
        <w:t xml:space="preserve">4. Applicabilité</w:t>
      </w:r>
    </w:p>
    <w:p>
      <w:pPr>
        <w:pStyle w:val="FirstParagraph"/>
      </w:pPr>
      <w:r>
        <w:t xml:space="preserve">L’applicabilité des chapitres de l’ART est définie dans le profil d’applicabilité de l’initiative.</w:t>
      </w:r>
    </w:p>
    <w:p>
      <w:pPr>
        <w:pStyle w:val="BodyText"/>
      </w:pPr>
      <w:r>
        <w:t xml:space="preserve">Le PTISN n’impose pas à toutes les initiatives l’ensemble des standards décrits.</w:t>
      </w:r>
    </w:p>
    <w:p>
      <w:pPr>
        <w:pStyle w:val="BodyText"/>
      </w:pPr>
      <w:r>
        <w:t xml:space="preserve">Une initiative applique uniquement les profils correspondant :</w:t>
      </w:r>
    </w:p>
    <w:p>
      <w:pPr>
        <w:pStyle w:val="Compact"/>
        <w:numPr>
          <w:ilvl w:val="0"/>
          <w:numId w:val="1014"/>
        </w:numPr>
      </w:pPr>
      <w:r>
        <w:t xml:space="preserve">à son périmètre ;</w:t>
      </w:r>
    </w:p>
    <w:p>
      <w:pPr>
        <w:pStyle w:val="Compact"/>
        <w:numPr>
          <w:ilvl w:val="0"/>
          <w:numId w:val="1014"/>
        </w:numPr>
      </w:pPr>
      <w:r>
        <w:t xml:space="preserve">à ses données ;</w:t>
      </w:r>
    </w:p>
    <w:p>
      <w:pPr>
        <w:pStyle w:val="Compact"/>
        <w:numPr>
          <w:ilvl w:val="0"/>
          <w:numId w:val="1014"/>
        </w:numPr>
      </w:pPr>
      <w:r>
        <w:t xml:space="preserve">à ses interfaces ;</w:t>
      </w:r>
    </w:p>
    <w:p>
      <w:pPr>
        <w:pStyle w:val="Compact"/>
        <w:numPr>
          <w:ilvl w:val="0"/>
          <w:numId w:val="1014"/>
        </w:numPr>
      </w:pPr>
      <w:r>
        <w:t xml:space="preserve">à ses risques ;</w:t>
      </w:r>
    </w:p>
    <w:p>
      <w:pPr>
        <w:pStyle w:val="Compact"/>
        <w:numPr>
          <w:ilvl w:val="0"/>
          <w:numId w:val="1014"/>
        </w:numPr>
      </w:pPr>
      <w:r>
        <w:t xml:space="preserve">à ses consommateurs ;</w:t>
      </w:r>
    </w:p>
    <w:p>
      <w:pPr>
        <w:pStyle w:val="Compact"/>
        <w:numPr>
          <w:ilvl w:val="0"/>
          <w:numId w:val="1014"/>
        </w:numPr>
      </w:pPr>
      <w:r>
        <w:t xml:space="preserve">à ses obligations d’interopérabilité.</w:t>
      </w:r>
    </w:p>
    <w:p>
      <w:r>
        <w:pict>
          <v:rect style="width:0;height:1.5pt" o:hralign="center" o:hrstd="t" o:hr="t"/>
        </w:pict>
      </w:r>
    </w:p>
    <w:bookmarkEnd w:id="35"/>
    <w:bookmarkStart w:id="36" w:name="extensions-nationales"/>
    <w:p>
      <w:pPr>
        <w:pStyle w:val="Heading1"/>
      </w:pPr>
      <w:r>
        <w:t xml:space="preserve">5. Extensions nationales</w:t>
      </w:r>
    </w:p>
    <w:p>
      <w:pPr>
        <w:pStyle w:val="FirstParagraph"/>
      </w:pPr>
      <w:r>
        <w:t xml:space="preserve">Une extension nationale à un standard doit être :</w:t>
      </w:r>
    </w:p>
    <w:p>
      <w:pPr>
        <w:pStyle w:val="Compact"/>
        <w:numPr>
          <w:ilvl w:val="0"/>
          <w:numId w:val="1015"/>
        </w:numPr>
      </w:pPr>
      <w:r>
        <w:t xml:space="preserve">justifiée ;</w:t>
      </w:r>
    </w:p>
    <w:p>
      <w:pPr>
        <w:pStyle w:val="Compact"/>
        <w:numPr>
          <w:ilvl w:val="0"/>
          <w:numId w:val="1015"/>
        </w:numPr>
      </w:pPr>
      <w:r>
        <w:t xml:space="preserve">documentée ;</w:t>
      </w:r>
    </w:p>
    <w:p>
      <w:pPr>
        <w:pStyle w:val="Compact"/>
        <w:numPr>
          <w:ilvl w:val="0"/>
          <w:numId w:val="1015"/>
        </w:numPr>
      </w:pPr>
      <w:r>
        <w:t xml:space="preserve">versionnée ;</w:t>
      </w:r>
    </w:p>
    <w:p>
      <w:pPr>
        <w:pStyle w:val="Compact"/>
        <w:numPr>
          <w:ilvl w:val="0"/>
          <w:numId w:val="1015"/>
        </w:numPr>
      </w:pPr>
      <w:r>
        <w:t xml:space="preserve">publiée ;</w:t>
      </w:r>
    </w:p>
    <w:p>
      <w:pPr>
        <w:pStyle w:val="Compact"/>
        <w:numPr>
          <w:ilvl w:val="0"/>
          <w:numId w:val="1015"/>
        </w:numPr>
      </w:pPr>
      <w:r>
        <w:t xml:space="preserve">soumise à un contrôle de compatibilité ;</w:t>
      </w:r>
    </w:p>
    <w:p>
      <w:pPr>
        <w:pStyle w:val="Compact"/>
        <w:numPr>
          <w:ilvl w:val="0"/>
          <w:numId w:val="1015"/>
        </w:numPr>
      </w:pPr>
      <w:r>
        <w:t xml:space="preserve">limitée aux besoins non couverts par le standard ;</w:t>
      </w:r>
    </w:p>
    <w:p>
      <w:pPr>
        <w:pStyle w:val="Compact"/>
        <w:numPr>
          <w:ilvl w:val="0"/>
          <w:numId w:val="1015"/>
        </w:numPr>
      </w:pPr>
      <w:r>
        <w:t xml:space="preserve">accompagnée d’exemples et de tests.</w:t>
      </w:r>
    </w:p>
    <w:p>
      <w:pPr>
        <w:pStyle w:val="FirstParagraph"/>
      </w:pPr>
      <w:r>
        <w:t xml:space="preserve">Une extension ne doit pas modifier silencieusement la signification d’un élément standard.</w:t>
      </w:r>
    </w:p>
    <w:p>
      <w:pPr>
        <w:pStyle w:val="BodyText"/>
      </w:pPr>
      <w:r>
        <w:t xml:space="preserve">Lorsqu’une extension peut être proposée à la communauté internationale concernée, cette voie devrait être privilégiée avant la création d’une divergence nationale permanente.</w:t>
      </w:r>
    </w:p>
    <w:p>
      <w:r>
        <w:pict>
          <v:rect style="width:0;height:1.5pt" o:hralign="center" o:hrstd="t" o:hr="t"/>
        </w:pict>
      </w:r>
    </w:p>
    <w:bookmarkEnd w:id="36"/>
    <w:bookmarkStart w:id="37" w:name="partie-ii-topologie-nationale-cible"/>
    <w:p>
      <w:pPr>
        <w:pStyle w:val="Heading1"/>
      </w:pPr>
      <w:r>
        <w:t xml:space="preserve">PARTIE II — TOPOLOGIE NATIONALE CIBLE</w:t>
      </w:r>
    </w:p>
    <w:bookmarkEnd w:id="37"/>
    <w:bookmarkStart w:id="38" w:name="principes-de-topologie"/>
    <w:p>
      <w:pPr>
        <w:pStyle w:val="Heading1"/>
      </w:pPr>
      <w:r>
        <w:t xml:space="preserve">1. Principes de topologie</w:t>
      </w:r>
    </w:p>
    <w:p>
      <w:pPr>
        <w:pStyle w:val="FirstParagraph"/>
      </w:pPr>
      <w:r>
        <w:t xml:space="preserve">L’interopérabilité nationale repose sur plusieurs couches complémentaires.</w:t>
      </w:r>
    </w:p>
    <w:p>
      <w:pPr>
        <w:pStyle w:val="SourceCode"/>
      </w:pPr>
      <w:r>
        <w:rPr>
          <w:rStyle w:val="VerbatimChar"/>
        </w:rPr>
        <w:t xml:space="preserve">Applications et systèmes du secteur santé</w:t>
      </w:r>
      <w:r>
        <w:br/>
      </w:r>
      <w:r>
        <w:rPr>
          <w:rStyle w:val="VerbatimChar"/>
        </w:rPr>
        <w:t xml:space="preserve">               │</w:t>
      </w:r>
      <w:r>
        <w:br/>
      </w:r>
      <w:r>
        <w:rPr>
          <w:rStyle w:val="VerbatimChar"/>
        </w:rPr>
        <w:t xml:space="preserve">               ▼</w:t>
      </w:r>
      <w:r>
        <w:br/>
      </w:r>
      <w:r>
        <w:rPr>
          <w:rStyle w:val="VerbatimChar"/>
        </w:rPr>
        <w:t xml:space="preserve">Couche de médiation sectorielle</w:t>
      </w:r>
      <w:r>
        <w:br/>
      </w:r>
      <w:r>
        <w:rPr>
          <w:rStyle w:val="VerbatimChar"/>
        </w:rPr>
        <w:t xml:space="preserve">Normalisation, routage, orchestration légère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Services et registres    Services analytiques</w:t>
      </w:r>
      <w:r>
        <w:br/>
      </w:r>
      <w:r>
        <w:rPr>
          <w:rStyle w:val="VerbatimChar"/>
        </w:rPr>
        <w:t xml:space="preserve">nationaux de santé       et de restitution</w:t>
      </w:r>
      <w:r>
        <w:br/>
      </w:r>
      <w:r>
        <w:rPr>
          <w:rStyle w:val="VerbatimChar"/>
        </w:rPr>
        <w:t xml:space="preserve">       │</w:t>
      </w:r>
      <w:r>
        <w:br/>
      </w:r>
      <w:r>
        <w:rPr>
          <w:rStyle w:val="VerbatimChar"/>
        </w:rPr>
        <w:t xml:space="preserve">       ▼</w:t>
      </w:r>
      <w:r>
        <w:br/>
      </w:r>
      <w:r>
        <w:rPr>
          <w:rStyle w:val="VerbatimChar"/>
        </w:rPr>
        <w:t xml:space="preserve">Point d’échange sectoriel sécurisé</w:t>
      </w:r>
      <w:r>
        <w:br/>
      </w:r>
      <w:r>
        <w:rPr>
          <w:rStyle w:val="VerbatimChar"/>
        </w:rPr>
        <w:t xml:space="preserve">       │</w:t>
      </w:r>
      <w:r>
        <w:br/>
      </w:r>
      <w:r>
        <w:rPr>
          <w:rStyle w:val="VerbatimChar"/>
        </w:rPr>
        <w:t xml:space="preserve">       ▼</w:t>
      </w:r>
      <w:r>
        <w:br/>
      </w:r>
      <w:r>
        <w:rPr>
          <w:rStyle w:val="VerbatimChar"/>
        </w:rPr>
        <w:t xml:space="preserve">Plateforme nationale d’échange interinstitutionnel</w:t>
      </w:r>
      <w:r>
        <w:br/>
      </w:r>
      <w:r>
        <w:rPr>
          <w:rStyle w:val="VerbatimChar"/>
        </w:rPr>
        <w:t xml:space="preserve">       │</w:t>
      </w:r>
      <w:r>
        <w:br/>
      </w:r>
      <w:r>
        <w:rPr>
          <w:rStyle w:val="VerbatimChar"/>
        </w:rPr>
        <w:t xml:space="preserve">       ▼</w:t>
      </w:r>
      <w:r>
        <w:br/>
      </w:r>
      <w:r>
        <w:rPr>
          <w:rStyle w:val="VerbatimChar"/>
        </w:rPr>
        <w:t xml:space="preserve">Institutions et registres d’autres secteurs</w:t>
      </w:r>
    </w:p>
    <w:p>
      <w:pPr>
        <w:pStyle w:val="FirstParagraph"/>
      </w:pPr>
      <w:r>
        <w:t xml:space="preserve">Cette organisation ne signifie pas que tous les échanges internes au secteur santé doivent transiter par la plateforme interinstitutionnelle.</w:t>
      </w:r>
    </w:p>
    <w:p>
      <w:pPr>
        <w:pStyle w:val="BodyText"/>
      </w:pPr>
      <w:r>
        <w:t xml:space="preserve">La plateforme interinstitutionnelle est utilisée lorsqu’un échange implique :</w:t>
      </w:r>
    </w:p>
    <w:p>
      <w:pPr>
        <w:pStyle w:val="Compact"/>
        <w:numPr>
          <w:ilvl w:val="0"/>
          <w:numId w:val="1016"/>
        </w:numPr>
      </w:pPr>
      <w:r>
        <w:t xml:space="preserve">une institution extérieure au secteur ;</w:t>
      </w:r>
    </w:p>
    <w:p>
      <w:pPr>
        <w:pStyle w:val="Compact"/>
        <w:numPr>
          <w:ilvl w:val="0"/>
          <w:numId w:val="1016"/>
        </w:numPr>
      </w:pPr>
      <w:r>
        <w:t xml:space="preserve">une autorité de données transversale ;</w:t>
      </w:r>
    </w:p>
    <w:p>
      <w:pPr>
        <w:pStyle w:val="Compact"/>
        <w:numPr>
          <w:ilvl w:val="0"/>
          <w:numId w:val="1016"/>
        </w:numPr>
      </w:pPr>
      <w:r>
        <w:t xml:space="preserve">un service pangouvernemental ;</w:t>
      </w:r>
    </w:p>
    <w:p>
      <w:pPr>
        <w:pStyle w:val="Compact"/>
        <w:numPr>
          <w:ilvl w:val="0"/>
          <w:numId w:val="1016"/>
        </w:numPr>
      </w:pPr>
      <w:r>
        <w:t xml:space="preserve">une obligation prévue par le cadre national d’interopérabilité.</w:t>
      </w:r>
    </w:p>
    <w:p>
      <w:r>
        <w:pict>
          <v:rect style="width:0;height:1.5pt" o:hralign="center" o:hrstd="t" o:hr="t"/>
        </w:pict>
      </w:r>
    </w:p>
    <w:bookmarkEnd w:id="38"/>
    <w:bookmarkStart w:id="42" w:name="séparation-des-responsabilités"/>
    <w:p>
      <w:pPr>
        <w:pStyle w:val="Heading1"/>
      </w:pPr>
      <w:r>
        <w:t xml:space="preserve">2. Séparation des responsabilités</w:t>
      </w:r>
    </w:p>
    <w:bookmarkStart w:id="39" w:name="médiation-sectorielle-santé"/>
    <w:p>
      <w:pPr>
        <w:pStyle w:val="Heading2"/>
      </w:pPr>
      <w:r>
        <w:t xml:space="preserve">2.1 Médiation sectorielle santé</w:t>
      </w:r>
    </w:p>
    <w:p>
      <w:pPr>
        <w:pStyle w:val="FirstParagraph"/>
      </w:pPr>
      <w:r>
        <w:t xml:space="preserve">La médiation sectorielle est responsable de :</w:t>
      </w:r>
    </w:p>
    <w:p>
      <w:pPr>
        <w:pStyle w:val="Compact"/>
        <w:numPr>
          <w:ilvl w:val="0"/>
          <w:numId w:val="1017"/>
        </w:numPr>
      </w:pPr>
      <w:r>
        <w:t xml:space="preserve">l’exposition d’un point d’entrée sectoriel ;</w:t>
      </w:r>
    </w:p>
    <w:p>
      <w:pPr>
        <w:pStyle w:val="Compact"/>
        <w:numPr>
          <w:ilvl w:val="0"/>
          <w:numId w:val="1017"/>
        </w:numPr>
      </w:pPr>
      <w:r>
        <w:t xml:space="preserve">la transformation des messages ;</w:t>
      </w:r>
    </w:p>
    <w:p>
      <w:pPr>
        <w:pStyle w:val="Compact"/>
        <w:numPr>
          <w:ilvl w:val="0"/>
          <w:numId w:val="1017"/>
        </w:numPr>
      </w:pPr>
      <w:r>
        <w:t xml:space="preserve">l’application des profils santé ;</w:t>
      </w:r>
    </w:p>
    <w:p>
      <w:pPr>
        <w:pStyle w:val="Compact"/>
        <w:numPr>
          <w:ilvl w:val="0"/>
          <w:numId w:val="1017"/>
        </w:numPr>
      </w:pPr>
      <w:r>
        <w:t xml:space="preserve">la normalisation des identifiants ;</w:t>
      </w:r>
    </w:p>
    <w:p>
      <w:pPr>
        <w:pStyle w:val="Compact"/>
        <w:numPr>
          <w:ilvl w:val="0"/>
          <w:numId w:val="1017"/>
        </w:numPr>
      </w:pPr>
      <w:r>
        <w:t xml:space="preserve">le routage ;</w:t>
      </w:r>
    </w:p>
    <w:p>
      <w:pPr>
        <w:pStyle w:val="Compact"/>
        <w:numPr>
          <w:ilvl w:val="0"/>
          <w:numId w:val="1017"/>
        </w:numPr>
      </w:pPr>
      <w:r>
        <w:t xml:space="preserve">la corrélation ;</w:t>
      </w:r>
    </w:p>
    <w:p>
      <w:pPr>
        <w:pStyle w:val="Compact"/>
        <w:numPr>
          <w:ilvl w:val="0"/>
          <w:numId w:val="1017"/>
        </w:numPr>
      </w:pPr>
      <w:r>
        <w:t xml:space="preserve">l’observabilité ;</w:t>
      </w:r>
    </w:p>
    <w:p>
      <w:pPr>
        <w:pStyle w:val="Compact"/>
        <w:numPr>
          <w:ilvl w:val="0"/>
          <w:numId w:val="1017"/>
        </w:numPr>
      </w:pPr>
      <w:r>
        <w:t xml:space="preserve">l’intégration avec les registres de santé.</w:t>
      </w:r>
    </w:p>
    <w:bookmarkEnd w:id="39"/>
    <w:bookmarkStart w:id="40" w:name="échange-interinstitutionnel"/>
    <w:p>
      <w:pPr>
        <w:pStyle w:val="Heading2"/>
      </w:pPr>
      <w:r>
        <w:t xml:space="preserve">2.2 Échange interinstitutionnel</w:t>
      </w:r>
    </w:p>
    <w:p>
      <w:pPr>
        <w:pStyle w:val="FirstParagraph"/>
      </w:pPr>
      <w:r>
        <w:t xml:space="preserve">La plateforme nationale d’échange est responsable de :</w:t>
      </w:r>
    </w:p>
    <w:p>
      <w:pPr>
        <w:pStyle w:val="Compact"/>
        <w:numPr>
          <w:ilvl w:val="0"/>
          <w:numId w:val="1018"/>
        </w:numPr>
      </w:pPr>
      <w:r>
        <w:t xml:space="preserve">l’identité des organisations participantes ;</w:t>
      </w:r>
    </w:p>
    <w:p>
      <w:pPr>
        <w:pStyle w:val="Compact"/>
        <w:numPr>
          <w:ilvl w:val="0"/>
          <w:numId w:val="1018"/>
        </w:numPr>
      </w:pPr>
      <w:r>
        <w:t xml:space="preserve">l’enregistrement des membres ;</w:t>
      </w:r>
    </w:p>
    <w:p>
      <w:pPr>
        <w:pStyle w:val="Compact"/>
        <w:numPr>
          <w:ilvl w:val="0"/>
          <w:numId w:val="1018"/>
        </w:numPr>
      </w:pPr>
      <w:r>
        <w:t xml:space="preserve">la confiance entre institutions ;</w:t>
      </w:r>
    </w:p>
    <w:p>
      <w:pPr>
        <w:pStyle w:val="Compact"/>
        <w:numPr>
          <w:ilvl w:val="0"/>
          <w:numId w:val="1018"/>
        </w:numPr>
      </w:pPr>
      <w:r>
        <w:t xml:space="preserve">le routage sécurisé ;</w:t>
      </w:r>
    </w:p>
    <w:p>
      <w:pPr>
        <w:pStyle w:val="Compact"/>
        <w:numPr>
          <w:ilvl w:val="0"/>
          <w:numId w:val="1018"/>
        </w:numPr>
      </w:pPr>
      <w:r>
        <w:t xml:space="preserve">la preuve des échanges ;</w:t>
      </w:r>
    </w:p>
    <w:p>
      <w:pPr>
        <w:pStyle w:val="Compact"/>
        <w:numPr>
          <w:ilvl w:val="0"/>
          <w:numId w:val="1018"/>
        </w:numPr>
      </w:pPr>
      <w:r>
        <w:t xml:space="preserve">la signature et l’horodatage lorsque applicables ;</w:t>
      </w:r>
    </w:p>
    <w:p>
      <w:pPr>
        <w:pStyle w:val="Compact"/>
        <w:numPr>
          <w:ilvl w:val="0"/>
          <w:numId w:val="1018"/>
        </w:numPr>
      </w:pPr>
      <w:r>
        <w:t xml:space="preserve">les politiques de communication entre organisations.</w:t>
      </w:r>
    </w:p>
    <w:p>
      <w:pPr>
        <w:pStyle w:val="FirstParagraph"/>
      </w:pPr>
      <w:r>
        <w:t xml:space="preserve">L’architecture officielle de X-Road repose notamment sur des services centraux, des serveurs de sécurité, des systèmes d’information et des autorités de confiance. Le système d’information connecté reste responsable de l’authentification de l’utilisateur final et de son contrôle d’accès métier.</w:t>
      </w:r>
    </w:p>
    <w:bookmarkEnd w:id="40"/>
    <w:bookmarkStart w:id="41" w:name="services-métier-sectoriels"/>
    <w:p>
      <w:pPr>
        <w:pStyle w:val="Heading2"/>
      </w:pPr>
      <w:r>
        <w:t xml:space="preserve">2.3 Services métier sectoriels</w:t>
      </w:r>
    </w:p>
    <w:p>
      <w:pPr>
        <w:pStyle w:val="FirstParagraph"/>
      </w:pPr>
      <w:r>
        <w:t xml:space="preserve">Les services métier sectoriels restent responsables :</w:t>
      </w:r>
    </w:p>
    <w:p>
      <w:pPr>
        <w:pStyle w:val="Compact"/>
        <w:numPr>
          <w:ilvl w:val="0"/>
          <w:numId w:val="1019"/>
        </w:numPr>
      </w:pPr>
      <w:r>
        <w:t xml:space="preserve">de la validation métier ;</w:t>
      </w:r>
    </w:p>
    <w:p>
      <w:pPr>
        <w:pStyle w:val="Compact"/>
        <w:numPr>
          <w:ilvl w:val="0"/>
          <w:numId w:val="1019"/>
        </w:numPr>
      </w:pPr>
      <w:r>
        <w:t xml:space="preserve">de l’autorité sur les données ;</w:t>
      </w:r>
    </w:p>
    <w:p>
      <w:pPr>
        <w:pStyle w:val="Compact"/>
        <w:numPr>
          <w:ilvl w:val="0"/>
          <w:numId w:val="1019"/>
        </w:numPr>
      </w:pPr>
      <w:r>
        <w:t xml:space="preserve">des droits fonctionnels ;</w:t>
      </w:r>
    </w:p>
    <w:p>
      <w:pPr>
        <w:pStyle w:val="Compact"/>
        <w:numPr>
          <w:ilvl w:val="0"/>
          <w:numId w:val="1019"/>
        </w:numPr>
      </w:pPr>
      <w:r>
        <w:t xml:space="preserve">du consentement ou de la base d’autorisation ;</w:t>
      </w:r>
    </w:p>
    <w:p>
      <w:pPr>
        <w:pStyle w:val="Compact"/>
        <w:numPr>
          <w:ilvl w:val="0"/>
          <w:numId w:val="1019"/>
        </w:numPr>
      </w:pPr>
      <w:r>
        <w:t xml:space="preserve">de la qualité ;</w:t>
      </w:r>
    </w:p>
    <w:p>
      <w:pPr>
        <w:pStyle w:val="Compact"/>
        <w:numPr>
          <w:ilvl w:val="0"/>
          <w:numId w:val="1019"/>
        </w:numPr>
      </w:pPr>
      <w:r>
        <w:t xml:space="preserve">de la conservation ;</w:t>
      </w:r>
    </w:p>
    <w:p>
      <w:pPr>
        <w:pStyle w:val="Compact"/>
        <w:numPr>
          <w:ilvl w:val="0"/>
          <w:numId w:val="1019"/>
        </w:numPr>
      </w:pPr>
      <w:r>
        <w:t xml:space="preserve">des décisions opérationnelles.</w:t>
      </w:r>
    </w:p>
    <w:p>
      <w:pPr>
        <w:pStyle w:val="FirstParagraph"/>
      </w:pPr>
      <w:r>
        <w:t xml:space="preserve">La couche d’échange ne remplace pas ces responsabilités.</w:t>
      </w:r>
    </w:p>
    <w:p>
      <w:r>
        <w:pict>
          <v:rect style="width:0;height:1.5pt" o:hralign="center" o:hrstd="t" o:hr="t"/>
        </w:pict>
      </w:r>
    </w:p>
    <w:bookmarkEnd w:id="41"/>
    <w:bookmarkEnd w:id="42"/>
    <w:bookmarkStart w:id="43" w:name="partie-iii-profils-techniques-nationaux"/>
    <w:p>
      <w:pPr>
        <w:pStyle w:val="Heading1"/>
      </w:pPr>
      <w:r>
        <w:t xml:space="preserve">PARTIE III — PROFILS TECHNIQUES NATIONAUX</w:t>
      </w:r>
    </w:p>
    <w:bookmarkEnd w:id="43"/>
    <w:bookmarkStart w:id="50" w:name="X8ad7b0f949443c593714c0ff4e1ea16a6b11251"/>
    <w:p>
      <w:pPr>
        <w:pStyle w:val="Heading1"/>
      </w:pPr>
      <w:r>
        <w:t xml:space="preserve">PT-01 — Échange interinstitutionnel sécurisé</w:t>
      </w:r>
    </w:p>
    <w:bookmarkStart w:id="44" w:name="capacité-cnisn"/>
    <w:p>
      <w:pPr>
        <w:pStyle w:val="Heading2"/>
      </w:pPr>
      <w:r>
        <w:t xml:space="preserve">1. Capacité CNISN</w:t>
      </w:r>
    </w:p>
    <w:p>
      <w:pPr>
        <w:pStyle w:val="FirstParagraph"/>
      </w:pPr>
      <w:r>
        <w:rPr>
          <w:b/>
          <w:bCs/>
        </w:rPr>
        <w:t xml:space="preserve">CAP-INT-02 — Échange et médiation de données inter-systèmes</w:t>
      </w:r>
    </w:p>
    <w:bookmarkEnd w:id="44"/>
    <w:bookmarkStart w:id="45" w:name="chapitres-art-applicables"/>
    <w:p>
      <w:pPr>
        <w:pStyle w:val="Heading2"/>
      </w:pPr>
      <w:r>
        <w:t xml:space="preserve">2. Chapitres ART applicables</w:t>
      </w:r>
    </w:p>
    <w:p>
      <w:pPr>
        <w:pStyle w:val="Compact"/>
        <w:numPr>
          <w:ilvl w:val="0"/>
          <w:numId w:val="1020"/>
        </w:numPr>
      </w:pPr>
      <w:r>
        <w:t xml:space="preserve">ART-0 — accords de partage ;</w:t>
      </w:r>
    </w:p>
    <w:p>
      <w:pPr>
        <w:pStyle w:val="Compact"/>
        <w:numPr>
          <w:ilvl w:val="0"/>
          <w:numId w:val="1020"/>
        </w:numPr>
      </w:pPr>
      <w:r>
        <w:t xml:space="preserve">ART-1 — intégration et ingestion ;</w:t>
      </w:r>
    </w:p>
    <w:p>
      <w:pPr>
        <w:pStyle w:val="Compact"/>
        <w:numPr>
          <w:ilvl w:val="0"/>
          <w:numId w:val="1020"/>
        </w:numPr>
      </w:pPr>
      <w:r>
        <w:t xml:space="preserve">ART-7 — sécurité et résidence ;</w:t>
      </w:r>
    </w:p>
    <w:p>
      <w:pPr>
        <w:pStyle w:val="Compact"/>
        <w:numPr>
          <w:ilvl w:val="0"/>
          <w:numId w:val="1020"/>
        </w:numPr>
      </w:pPr>
      <w:r>
        <w:t xml:space="preserve">ART-11 — coordination intersectorielle.</w:t>
      </w:r>
    </w:p>
    <w:bookmarkEnd w:id="45"/>
    <w:bookmarkStart w:id="46" w:name="service-national-1"/>
    <w:p>
      <w:pPr>
        <w:pStyle w:val="Heading2"/>
      </w:pPr>
      <w:r>
        <w:t xml:space="preserve">3. Service national</w:t>
      </w:r>
    </w:p>
    <w:p>
      <w:pPr>
        <w:pStyle w:val="FirstParagraph"/>
      </w:pPr>
      <w:r>
        <w:rPr>
          <w:b/>
          <w:bCs/>
        </w:rPr>
        <w:t xml:space="preserve">Service national d’échange interinstitutionnel</w:t>
      </w:r>
    </w:p>
    <w:p>
      <w:pPr>
        <w:pStyle w:val="BodyText"/>
      </w:pPr>
      <w:r>
        <w:t xml:space="preserve">Ce service permet les échanges entre le secteur santé et :</w:t>
      </w:r>
    </w:p>
    <w:p>
      <w:pPr>
        <w:pStyle w:val="Compact"/>
        <w:numPr>
          <w:ilvl w:val="0"/>
          <w:numId w:val="1021"/>
        </w:numPr>
      </w:pPr>
      <w:r>
        <w:t xml:space="preserve">l’état civil ;</w:t>
      </w:r>
    </w:p>
    <w:p>
      <w:pPr>
        <w:pStyle w:val="Compact"/>
        <w:numPr>
          <w:ilvl w:val="0"/>
          <w:numId w:val="1021"/>
        </w:numPr>
      </w:pPr>
      <w:r>
        <w:t xml:space="preserve">le registre de la population ;</w:t>
      </w:r>
    </w:p>
    <w:p>
      <w:pPr>
        <w:pStyle w:val="Compact"/>
        <w:numPr>
          <w:ilvl w:val="0"/>
          <w:numId w:val="1021"/>
        </w:numPr>
      </w:pPr>
      <w:r>
        <w:t xml:space="preserve">la protection sociale ;</w:t>
      </w:r>
    </w:p>
    <w:p>
      <w:pPr>
        <w:pStyle w:val="Compact"/>
        <w:numPr>
          <w:ilvl w:val="0"/>
          <w:numId w:val="1021"/>
        </w:numPr>
      </w:pPr>
      <w:r>
        <w:t xml:space="preserve">les finances publiques ;</w:t>
      </w:r>
    </w:p>
    <w:p>
      <w:pPr>
        <w:pStyle w:val="Compact"/>
        <w:numPr>
          <w:ilvl w:val="0"/>
          <w:numId w:val="1021"/>
        </w:numPr>
      </w:pPr>
      <w:r>
        <w:t xml:space="preserve">l’éducation ;</w:t>
      </w:r>
    </w:p>
    <w:p>
      <w:pPr>
        <w:pStyle w:val="Compact"/>
        <w:numPr>
          <w:ilvl w:val="0"/>
          <w:numId w:val="1021"/>
        </w:numPr>
      </w:pPr>
      <w:r>
        <w:t xml:space="preserve">les collectivités territoriales ;</w:t>
      </w:r>
    </w:p>
    <w:p>
      <w:pPr>
        <w:pStyle w:val="Compact"/>
        <w:numPr>
          <w:ilvl w:val="0"/>
          <w:numId w:val="1021"/>
        </w:numPr>
      </w:pPr>
      <w:r>
        <w:t xml:space="preserve">les autres autorités publiques ;</w:t>
      </w:r>
    </w:p>
    <w:p>
      <w:pPr>
        <w:pStyle w:val="Compact"/>
        <w:numPr>
          <w:ilvl w:val="0"/>
          <w:numId w:val="1021"/>
        </w:numPr>
      </w:pPr>
      <w:r>
        <w:t xml:space="preserve">les partenaires autorisés.</w:t>
      </w:r>
    </w:p>
    <w:bookmarkEnd w:id="46"/>
    <w:bookmarkStart w:id="47" w:name="implémentation-nationale"/>
    <w:p>
      <w:pPr>
        <w:pStyle w:val="Heading2"/>
      </w:pPr>
      <w:r>
        <w:t xml:space="preserve">4. Implémentation nationale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Décision</w:t>
            </w:r>
          </w:p>
        </w:tc>
      </w:tr>
      <w:tr>
        <w:tc>
          <w:tcPr/>
          <w:p>
            <w:pPr>
              <w:pStyle w:val="Compact"/>
            </w:pPr>
            <w:r>
              <w:t xml:space="preserve">Plateforme</w:t>
            </w:r>
          </w:p>
        </w:tc>
        <w:tc>
          <w:tcPr/>
          <w:p>
            <w:pPr>
              <w:pStyle w:val="Compact"/>
            </w:pPr>
            <w:r>
              <w:t xml:space="preserve">X-Road</w:t>
            </w:r>
          </w:p>
        </w:tc>
      </w:tr>
      <w:tr>
        <w:tc>
          <w:tcPr/>
          <w:p>
            <w:pPr>
              <w:pStyle w:val="Compact"/>
            </w:pPr>
            <w:r>
              <w:t xml:space="preserve">Portée</w:t>
            </w:r>
          </w:p>
        </w:tc>
        <w:tc>
          <w:tcPr/>
          <w:p>
            <w:pPr>
              <w:pStyle w:val="Compact"/>
            </w:pPr>
            <w:r>
              <w:t xml:space="preserve">Interinstitutionnelle</w:t>
            </w:r>
          </w:p>
        </w:tc>
      </w:tr>
      <w:tr>
        <w:tc>
          <w:tcPr/>
          <w:p>
            <w:pPr>
              <w:pStyle w:val="Compact"/>
            </w:pPr>
            <w:r>
              <w:t xml:space="preserve">Point de raccordement santé</w:t>
            </w:r>
          </w:p>
        </w:tc>
        <w:tc>
          <w:tcPr/>
          <w:p>
            <w:pPr>
              <w:pStyle w:val="Compact"/>
            </w:pPr>
            <w:r>
              <w:t xml:space="preserve">Serveur de sécurité sectoriel ou dispositif équivalent prévu par le CNI</w:t>
            </w:r>
          </w:p>
        </w:tc>
      </w:tr>
      <w:tr>
        <w:tc>
          <w:tcPr/>
          <w:p>
            <w:pPr>
              <w:pStyle w:val="Compact"/>
            </w:pPr>
            <w:r>
              <w:t xml:space="preserve">Autorité de gouvernance</w:t>
            </w:r>
          </w:p>
        </w:tc>
        <w:tc>
          <w:tcPr/>
          <w:p>
            <w:pPr>
              <w:pStyle w:val="Compact"/>
            </w:pPr>
            <w:r>
              <w:t xml:space="preserve">Instance nationale compétente, en coordination avec l’UGD</w:t>
            </w:r>
          </w:p>
        </w:tc>
      </w:tr>
      <w:tr>
        <w:tc>
          <w:tcPr/>
          <w:p>
            <w:pPr>
              <w:pStyle w:val="Compact"/>
            </w:pPr>
            <w:r>
              <w:t xml:space="preserve">Statut</w:t>
            </w:r>
          </w:p>
        </w:tc>
        <w:tc>
          <w:tcPr/>
          <w:p>
            <w:pPr>
              <w:pStyle w:val="Compact"/>
            </w:pPr>
            <w:r>
              <w:t xml:space="preserve">Retenu par le cadre national d’interopérabilité</w:t>
            </w:r>
          </w:p>
        </w:tc>
      </w:tr>
      <w:tr>
        <w:tc>
          <w:tcPr/>
          <w:p>
            <w:pPr>
              <w:pStyle w:val="Compact"/>
            </w:pPr>
            <w:r>
              <w:t xml:space="preserve">Usage interne au secteur santé</w:t>
            </w:r>
          </w:p>
        </w:tc>
        <w:tc>
          <w:tcPr/>
          <w:p>
            <w:pPr>
              <w:pStyle w:val="Compact"/>
            </w:pPr>
            <w:r>
              <w:t xml:space="preserve">Non obligatoire par défaut</w:t>
            </w:r>
          </w:p>
        </w:tc>
      </w:tr>
    </w:tbl>
    <w:p>
      <w:pPr>
        <w:pStyle w:val="BodyText"/>
      </w:pPr>
      <w:r>
        <w:t xml:space="preserve">X-Road permet l’échange sécurisé entre organisations membres au moyen de serveurs de sécurité et d’une infrastructure de confiance commune. Il ne constitue pas, à lui seul, un service de normalisation sémantique de santé.</w:t>
      </w:r>
    </w:p>
    <w:bookmarkEnd w:id="47"/>
    <w:bookmarkStart w:id="48" w:name="contrats-requis"/>
    <w:p>
      <w:pPr>
        <w:pStyle w:val="Heading2"/>
      </w:pPr>
      <w:r>
        <w:t xml:space="preserve">5. Contrats requis</w:t>
      </w:r>
    </w:p>
    <w:p>
      <w:pPr>
        <w:pStyle w:val="FirstParagraph"/>
      </w:pPr>
      <w:r>
        <w:t xml:space="preserve">Toute initiative utilisant ce service doit fournir :</w:t>
      </w:r>
    </w:p>
    <w:p>
      <w:pPr>
        <w:pStyle w:val="Compact"/>
        <w:numPr>
          <w:ilvl w:val="0"/>
          <w:numId w:val="1022"/>
        </w:numPr>
      </w:pPr>
      <w:r>
        <w:t xml:space="preserve">un accord de partage ;</w:t>
      </w:r>
    </w:p>
    <w:p>
      <w:pPr>
        <w:pStyle w:val="Compact"/>
        <w:numPr>
          <w:ilvl w:val="0"/>
          <w:numId w:val="1022"/>
        </w:numPr>
      </w:pPr>
      <w:r>
        <w:t xml:space="preserve">un fournisseur de service identifié ;</w:t>
      </w:r>
    </w:p>
    <w:p>
      <w:pPr>
        <w:pStyle w:val="Compact"/>
        <w:numPr>
          <w:ilvl w:val="0"/>
          <w:numId w:val="1022"/>
        </w:numPr>
      </w:pPr>
      <w:r>
        <w:t xml:space="preserve">un consommateur identifié ;</w:t>
      </w:r>
    </w:p>
    <w:p>
      <w:pPr>
        <w:pStyle w:val="Compact"/>
        <w:numPr>
          <w:ilvl w:val="0"/>
          <w:numId w:val="1022"/>
        </w:numPr>
      </w:pPr>
      <w:r>
        <w:t xml:space="preserve">une description de service ;</w:t>
      </w:r>
    </w:p>
    <w:p>
      <w:pPr>
        <w:pStyle w:val="Compact"/>
        <w:numPr>
          <w:ilvl w:val="0"/>
          <w:numId w:val="1022"/>
        </w:numPr>
      </w:pPr>
      <w:r>
        <w:t xml:space="preserve">un contrat de données ;</w:t>
      </w:r>
    </w:p>
    <w:p>
      <w:pPr>
        <w:pStyle w:val="Compact"/>
        <w:numPr>
          <w:ilvl w:val="0"/>
          <w:numId w:val="1022"/>
        </w:numPr>
      </w:pPr>
      <w:r>
        <w:t xml:space="preserve">une politique d’accès ;</w:t>
      </w:r>
    </w:p>
    <w:p>
      <w:pPr>
        <w:pStyle w:val="Compact"/>
        <w:numPr>
          <w:ilvl w:val="0"/>
          <w:numId w:val="1022"/>
        </w:numPr>
      </w:pPr>
      <w:r>
        <w:t xml:space="preserve">une politique de résidence ;</w:t>
      </w:r>
    </w:p>
    <w:p>
      <w:pPr>
        <w:pStyle w:val="Compact"/>
        <w:numPr>
          <w:ilvl w:val="0"/>
          <w:numId w:val="1022"/>
        </w:numPr>
      </w:pPr>
      <w:r>
        <w:t xml:space="preserve">une preuve de conformité au CNI ;</w:t>
      </w:r>
    </w:p>
    <w:p>
      <w:pPr>
        <w:pStyle w:val="Compact"/>
        <w:numPr>
          <w:ilvl w:val="0"/>
          <w:numId w:val="1022"/>
        </w:numPr>
      </w:pPr>
      <w:r>
        <w:t xml:space="preserve">une procédure de gestion des incidents.</w:t>
      </w:r>
    </w:p>
    <w:bookmarkEnd w:id="48"/>
    <w:bookmarkStart w:id="49" w:name="limites"/>
    <w:p>
      <w:pPr>
        <w:pStyle w:val="Heading2"/>
      </w:pPr>
      <w:r>
        <w:t xml:space="preserve">6. Limites</w:t>
      </w:r>
    </w:p>
    <w:p>
      <w:pPr>
        <w:pStyle w:val="FirstParagraph"/>
      </w:pPr>
      <w:r>
        <w:t xml:space="preserve">Le service national d’échange ne remplace pas :</w:t>
      </w:r>
    </w:p>
    <w:p>
      <w:pPr>
        <w:pStyle w:val="Compact"/>
        <w:numPr>
          <w:ilvl w:val="0"/>
          <w:numId w:val="1023"/>
        </w:numPr>
      </w:pPr>
      <w:r>
        <w:t xml:space="preserve">la résolution d’identité patient ;</w:t>
      </w:r>
    </w:p>
    <w:p>
      <w:pPr>
        <w:pStyle w:val="Compact"/>
        <w:numPr>
          <w:ilvl w:val="0"/>
          <w:numId w:val="1023"/>
        </w:numPr>
      </w:pPr>
      <w:r>
        <w:t xml:space="preserve">le registre des professionnels ;</w:t>
      </w:r>
    </w:p>
    <w:p>
      <w:pPr>
        <w:pStyle w:val="Compact"/>
        <w:numPr>
          <w:ilvl w:val="0"/>
          <w:numId w:val="1023"/>
        </w:numPr>
      </w:pPr>
      <w:r>
        <w:t xml:space="preserve">le consentement ;</w:t>
      </w:r>
    </w:p>
    <w:p>
      <w:pPr>
        <w:pStyle w:val="Compact"/>
        <w:numPr>
          <w:ilvl w:val="0"/>
          <w:numId w:val="1023"/>
        </w:numPr>
      </w:pPr>
      <w:r>
        <w:t xml:space="preserve">la terminologie ;</w:t>
      </w:r>
    </w:p>
    <w:p>
      <w:pPr>
        <w:pStyle w:val="Compact"/>
        <w:numPr>
          <w:ilvl w:val="0"/>
          <w:numId w:val="1023"/>
        </w:numPr>
      </w:pPr>
      <w:r>
        <w:t xml:space="preserve">l’autorisation fonctionnelle ;</w:t>
      </w:r>
    </w:p>
    <w:p>
      <w:pPr>
        <w:pStyle w:val="Compact"/>
        <w:numPr>
          <w:ilvl w:val="0"/>
          <w:numId w:val="1023"/>
        </w:numPr>
      </w:pPr>
      <w:r>
        <w:t xml:space="preserve">la transformation sémantique ;</w:t>
      </w:r>
    </w:p>
    <w:p>
      <w:pPr>
        <w:pStyle w:val="Compact"/>
        <w:numPr>
          <w:ilvl w:val="0"/>
          <w:numId w:val="1023"/>
        </w:numPr>
      </w:pPr>
      <w:r>
        <w:t xml:space="preserve">l’orchestration métier.</w:t>
      </w:r>
    </w:p>
    <w:p>
      <w:r>
        <w:pict>
          <v:rect style="width:0;height:1.5pt" o:hralign="center" o:hrstd="t" o:hr="t"/>
        </w:pict>
      </w:r>
    </w:p>
    <w:bookmarkEnd w:id="49"/>
    <w:bookmarkEnd w:id="50"/>
    <w:bookmarkStart w:id="58" w:name="pt-02-médiation-intra-secteur-santé"/>
    <w:p>
      <w:pPr>
        <w:pStyle w:val="Heading1"/>
      </w:pPr>
      <w:r>
        <w:t xml:space="preserve">PT-02 — Médiation intra-secteur santé</w:t>
      </w:r>
    </w:p>
    <w:bookmarkStart w:id="51" w:name="capacité-cnisn-1"/>
    <w:p>
      <w:pPr>
        <w:pStyle w:val="Heading2"/>
      </w:pPr>
      <w:r>
        <w:t xml:space="preserve">1. Capacité CNISN</w:t>
      </w:r>
    </w:p>
    <w:p>
      <w:pPr>
        <w:pStyle w:val="FirstParagraph"/>
      </w:pPr>
      <w:r>
        <w:rPr>
          <w:b/>
          <w:bCs/>
        </w:rPr>
        <w:t xml:space="preserve">CAP-INT-02 — Échange et médiation de données inter-systèmes</w:t>
      </w:r>
    </w:p>
    <w:bookmarkEnd w:id="51"/>
    <w:bookmarkStart w:id="52" w:name="chapitres-art-applicables-1"/>
    <w:p>
      <w:pPr>
        <w:pStyle w:val="Heading2"/>
      </w:pPr>
      <w:r>
        <w:t xml:space="preserve">2. Chapitres ART applicables</w:t>
      </w:r>
    </w:p>
    <w:p>
      <w:pPr>
        <w:pStyle w:val="Compact"/>
        <w:numPr>
          <w:ilvl w:val="0"/>
          <w:numId w:val="1024"/>
        </w:numPr>
      </w:pPr>
      <w:r>
        <w:t xml:space="preserve">ART-1 — intégration ;</w:t>
      </w:r>
    </w:p>
    <w:p>
      <w:pPr>
        <w:pStyle w:val="Compact"/>
        <w:numPr>
          <w:ilvl w:val="0"/>
          <w:numId w:val="1024"/>
        </w:numPr>
      </w:pPr>
      <w:r>
        <w:t xml:space="preserve">ART-2 — médiation ;</w:t>
      </w:r>
    </w:p>
    <w:p>
      <w:pPr>
        <w:pStyle w:val="Compact"/>
        <w:numPr>
          <w:ilvl w:val="0"/>
          <w:numId w:val="1024"/>
        </w:numPr>
      </w:pPr>
      <w:r>
        <w:t xml:space="preserve">ART-5 — qualité et réconciliation ;</w:t>
      </w:r>
    </w:p>
    <w:p>
      <w:pPr>
        <w:pStyle w:val="Compact"/>
        <w:numPr>
          <w:ilvl w:val="0"/>
          <w:numId w:val="1024"/>
        </w:numPr>
      </w:pPr>
      <w:r>
        <w:t xml:space="preserve">ART-7 — sécurité ;</w:t>
      </w:r>
    </w:p>
    <w:p>
      <w:pPr>
        <w:pStyle w:val="Compact"/>
        <w:numPr>
          <w:ilvl w:val="0"/>
          <w:numId w:val="1024"/>
        </w:numPr>
      </w:pPr>
      <w:r>
        <w:t xml:space="preserve">ART-8 — coordination lorsque applicable.</w:t>
      </w:r>
    </w:p>
    <w:bookmarkEnd w:id="52"/>
    <w:bookmarkStart w:id="53" w:name="service-national-2"/>
    <w:p>
      <w:pPr>
        <w:pStyle w:val="Heading2"/>
      </w:pPr>
      <w:r>
        <w:t xml:space="preserve">3. Service national</w:t>
      </w:r>
    </w:p>
    <w:p>
      <w:pPr>
        <w:pStyle w:val="FirstParagraph"/>
      </w:pPr>
      <w:r>
        <w:rPr>
          <w:b/>
          <w:bCs/>
        </w:rPr>
        <w:t xml:space="preserve">Service sectoriel de médiation et d’intégration sanitaire</w:t>
      </w:r>
    </w:p>
    <w:bookmarkEnd w:id="53"/>
    <w:bookmarkStart w:id="54" w:name="fonctions"/>
    <w:p>
      <w:pPr>
        <w:pStyle w:val="Heading2"/>
      </w:pPr>
      <w:r>
        <w:t xml:space="preserve">4. Fonctions</w:t>
      </w:r>
    </w:p>
    <w:p>
      <w:pPr>
        <w:pStyle w:val="Compact"/>
        <w:numPr>
          <w:ilvl w:val="0"/>
          <w:numId w:val="1025"/>
        </w:numPr>
      </w:pPr>
      <w:r>
        <w:t xml:space="preserve">exposition des interfaces santé ;</w:t>
      </w:r>
    </w:p>
    <w:p>
      <w:pPr>
        <w:pStyle w:val="Compact"/>
        <w:numPr>
          <w:ilvl w:val="0"/>
          <w:numId w:val="1025"/>
        </w:numPr>
      </w:pPr>
      <w:r>
        <w:t xml:space="preserve">authentification des systèmes ;</w:t>
      </w:r>
    </w:p>
    <w:p>
      <w:pPr>
        <w:pStyle w:val="Compact"/>
        <w:numPr>
          <w:ilvl w:val="0"/>
          <w:numId w:val="1025"/>
        </w:numPr>
      </w:pPr>
      <w:r>
        <w:t xml:space="preserve">routage ;</w:t>
      </w:r>
    </w:p>
    <w:p>
      <w:pPr>
        <w:pStyle w:val="Compact"/>
        <w:numPr>
          <w:ilvl w:val="0"/>
          <w:numId w:val="1025"/>
        </w:numPr>
      </w:pPr>
      <w:r>
        <w:t xml:space="preserve">transformation ;</w:t>
      </w:r>
    </w:p>
    <w:p>
      <w:pPr>
        <w:pStyle w:val="Compact"/>
        <w:numPr>
          <w:ilvl w:val="0"/>
          <w:numId w:val="1025"/>
        </w:numPr>
      </w:pPr>
      <w:r>
        <w:t xml:space="preserve">validation des profils ;</w:t>
      </w:r>
    </w:p>
    <w:p>
      <w:pPr>
        <w:pStyle w:val="Compact"/>
        <w:numPr>
          <w:ilvl w:val="0"/>
          <w:numId w:val="1025"/>
        </w:numPr>
      </w:pPr>
      <w:r>
        <w:t xml:space="preserve">enrichissement ;</w:t>
      </w:r>
    </w:p>
    <w:p>
      <w:pPr>
        <w:pStyle w:val="Compact"/>
        <w:numPr>
          <w:ilvl w:val="0"/>
          <w:numId w:val="1025"/>
        </w:numPr>
      </w:pPr>
      <w:r>
        <w:t xml:space="preserve">résolution des métadonnées ;</w:t>
      </w:r>
    </w:p>
    <w:p>
      <w:pPr>
        <w:pStyle w:val="Compact"/>
        <w:numPr>
          <w:ilvl w:val="0"/>
          <w:numId w:val="1025"/>
        </w:numPr>
      </w:pPr>
      <w:r>
        <w:t xml:space="preserve">corrélation ;</w:t>
      </w:r>
    </w:p>
    <w:p>
      <w:pPr>
        <w:pStyle w:val="Compact"/>
        <w:numPr>
          <w:ilvl w:val="0"/>
          <w:numId w:val="1025"/>
        </w:numPr>
      </w:pPr>
      <w:r>
        <w:t xml:space="preserve">gestion des erreurs ;</w:t>
      </w:r>
    </w:p>
    <w:p>
      <w:pPr>
        <w:pStyle w:val="Compact"/>
        <w:numPr>
          <w:ilvl w:val="0"/>
          <w:numId w:val="1025"/>
        </w:numPr>
      </w:pPr>
      <w:r>
        <w:t xml:space="preserve">observabilité ;</w:t>
      </w:r>
    </w:p>
    <w:p>
      <w:pPr>
        <w:pStyle w:val="Compact"/>
        <w:numPr>
          <w:ilvl w:val="0"/>
          <w:numId w:val="1025"/>
        </w:numPr>
      </w:pPr>
      <w:r>
        <w:t xml:space="preserve">réconciliation.</w:t>
      </w:r>
    </w:p>
    <w:bookmarkEnd w:id="54"/>
    <w:bookmarkStart w:id="55" w:name="produit-candidat"/>
    <w:p>
      <w:pPr>
        <w:pStyle w:val="Heading2"/>
      </w:pPr>
      <w:r>
        <w:t xml:space="preserve">5. Produit candidat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Décision</w:t>
            </w:r>
          </w:p>
        </w:tc>
      </w:tr>
      <w:tr>
        <w:tc>
          <w:tcPr/>
          <w:p>
            <w:pPr>
              <w:pStyle w:val="Compact"/>
            </w:pPr>
            <w:r>
              <w:t xml:space="preserve">Produit candidat de référence</w:t>
            </w:r>
          </w:p>
        </w:tc>
        <w:tc>
          <w:tcPr/>
          <w:p>
            <w:pPr>
              <w:pStyle w:val="Compact"/>
            </w:pPr>
            <w:r>
              <w:t xml:space="preserve">OpenHIM</w:t>
            </w:r>
          </w:p>
        </w:tc>
      </w:tr>
      <w:tr>
        <w:tc>
          <w:tcPr/>
          <w:p>
            <w:pPr>
              <w:pStyle w:val="Compact"/>
            </w:pPr>
            <w:r>
              <w:t xml:space="preserve">Statut</w:t>
            </w:r>
          </w:p>
        </w:tc>
        <w:tc>
          <w:tcPr/>
          <w:p>
            <w:pPr>
              <w:pStyle w:val="Compact"/>
            </w:pPr>
            <w:r>
              <w:t xml:space="preserve">Recommandé pour évaluation et pilotes</w:t>
            </w:r>
          </w:p>
        </w:tc>
      </w:tr>
      <w:tr>
        <w:tc>
          <w:tcPr/>
          <w:p>
            <w:pPr>
              <w:pStyle w:val="Compact"/>
            </w:pPr>
            <w:r>
              <w:t xml:space="preserve">Caractère obligatoire</w:t>
            </w:r>
          </w:p>
        </w:tc>
        <w:tc>
          <w:tcPr/>
          <w:p>
            <w:pPr>
              <w:pStyle w:val="Compact"/>
            </w:pPr>
            <w:r>
              <w:t xml:space="preserve">Non</w:t>
            </w:r>
          </w:p>
        </w:tc>
      </w:tr>
      <w:tr>
        <w:tc>
          <w:tcPr/>
          <w:p>
            <w:pPr>
              <w:pStyle w:val="Compact"/>
            </w:pPr>
            <w:r>
              <w:t xml:space="preserve">Alternatives</w:t>
            </w:r>
          </w:p>
        </w:tc>
        <w:tc>
          <w:tcPr/>
          <w:p>
            <w:pPr>
              <w:pStyle w:val="Compact"/>
            </w:pPr>
            <w:r>
              <w:t xml:space="preserve">Autorisées si les contrats ART sont satisfaits</w:t>
            </w:r>
          </w:p>
        </w:tc>
      </w:tr>
      <w:tr>
        <w:tc>
          <w:tcPr/>
          <w:p>
            <w:pPr>
              <w:pStyle w:val="Compact"/>
            </w:pPr>
            <w:r>
              <w:t xml:space="preserve">Périmètre</w:t>
            </w:r>
          </w:p>
        </w:tc>
        <w:tc>
          <w:tcPr/>
          <w:p>
            <w:pPr>
              <w:pStyle w:val="Compact"/>
            </w:pPr>
            <w:r>
              <w:t xml:space="preserve">Médiation intra-secteur santé</w:t>
            </w:r>
          </w:p>
        </w:tc>
      </w:tr>
    </w:tbl>
    <w:p>
      <w:pPr>
        <w:pStyle w:val="BodyText"/>
      </w:pPr>
      <w:r>
        <w:t xml:space="preserve">OpenHIM fournit un point d’entrée pour les services, journalise les requêtes et permet d’étendre les traitements à travers des médiateurs indépendants. Il est présenté par sa documentation comme une implémentation de référence de la couche d’interopérabilité OpenHIE.</w:t>
      </w:r>
    </w:p>
    <w:bookmarkEnd w:id="55"/>
    <w:bookmarkStart w:id="56" w:name="exigences"/>
    <w:p>
      <w:pPr>
        <w:pStyle w:val="Heading2"/>
      </w:pPr>
      <w:r>
        <w:t xml:space="preserve">6. Exigences</w:t>
      </w:r>
    </w:p>
    <w:p>
      <w:pPr>
        <w:pStyle w:val="FirstParagraph"/>
      </w:pPr>
      <w:r>
        <w:t xml:space="preserve">Une solution alternative doit au minimum supporter :</w:t>
      </w:r>
    </w:p>
    <w:p>
      <w:pPr>
        <w:pStyle w:val="Compact"/>
        <w:numPr>
          <w:ilvl w:val="0"/>
          <w:numId w:val="1026"/>
        </w:numPr>
      </w:pPr>
      <w:r>
        <w:t xml:space="preserve">interfaces synchrones et asynchrones ;</w:t>
      </w:r>
    </w:p>
    <w:p>
      <w:pPr>
        <w:pStyle w:val="Compact"/>
        <w:numPr>
          <w:ilvl w:val="0"/>
          <w:numId w:val="1026"/>
        </w:numPr>
      </w:pPr>
      <w:r>
        <w:t xml:space="preserve">routage configurable ;</w:t>
      </w:r>
    </w:p>
    <w:p>
      <w:pPr>
        <w:pStyle w:val="Compact"/>
        <w:numPr>
          <w:ilvl w:val="0"/>
          <w:numId w:val="1026"/>
        </w:numPr>
      </w:pPr>
      <w:r>
        <w:t xml:space="preserve">authentification des sources ;</w:t>
      </w:r>
    </w:p>
    <w:p>
      <w:pPr>
        <w:pStyle w:val="Compact"/>
        <w:numPr>
          <w:ilvl w:val="0"/>
          <w:numId w:val="1026"/>
        </w:numPr>
      </w:pPr>
      <w:r>
        <w:t xml:space="preserve">transformation ;</w:t>
      </w:r>
    </w:p>
    <w:p>
      <w:pPr>
        <w:pStyle w:val="Compact"/>
        <w:numPr>
          <w:ilvl w:val="0"/>
          <w:numId w:val="1026"/>
        </w:numPr>
      </w:pPr>
      <w:r>
        <w:t xml:space="preserve">gestion des erreurs ;</w:t>
      </w:r>
    </w:p>
    <w:p>
      <w:pPr>
        <w:pStyle w:val="Compact"/>
        <w:numPr>
          <w:ilvl w:val="0"/>
          <w:numId w:val="1026"/>
        </w:numPr>
      </w:pPr>
      <w:r>
        <w:t xml:space="preserve">corrélation ;</w:t>
      </w:r>
    </w:p>
    <w:p>
      <w:pPr>
        <w:pStyle w:val="Compact"/>
        <w:numPr>
          <w:ilvl w:val="0"/>
          <w:numId w:val="1026"/>
        </w:numPr>
      </w:pPr>
      <w:r>
        <w:t xml:space="preserve">métriques ;</w:t>
      </w:r>
    </w:p>
    <w:p>
      <w:pPr>
        <w:pStyle w:val="Compact"/>
        <w:numPr>
          <w:ilvl w:val="0"/>
          <w:numId w:val="1026"/>
        </w:numPr>
      </w:pPr>
      <w:r>
        <w:t xml:space="preserve">journalisation ;</w:t>
      </w:r>
    </w:p>
    <w:p>
      <w:pPr>
        <w:pStyle w:val="Compact"/>
        <w:numPr>
          <w:ilvl w:val="0"/>
          <w:numId w:val="1026"/>
        </w:numPr>
      </w:pPr>
      <w:r>
        <w:t xml:space="preserve">reprise ;</w:t>
      </w:r>
    </w:p>
    <w:p>
      <w:pPr>
        <w:pStyle w:val="Compact"/>
        <w:numPr>
          <w:ilvl w:val="0"/>
          <w:numId w:val="1026"/>
        </w:numPr>
      </w:pPr>
      <w:r>
        <w:t xml:space="preserve">déploiement de médiateurs indépendants ;</w:t>
      </w:r>
    </w:p>
    <w:p>
      <w:pPr>
        <w:pStyle w:val="Compact"/>
        <w:numPr>
          <w:ilvl w:val="0"/>
          <w:numId w:val="1026"/>
        </w:numPr>
      </w:pPr>
      <w:r>
        <w:t xml:space="preserve">intégration avec les services nationaux.</w:t>
      </w:r>
    </w:p>
    <w:bookmarkEnd w:id="56"/>
    <w:bookmarkStart w:id="57" w:name="Xf633a588c01af51ed5a1143ec5275785af14bde"/>
    <w:p>
      <w:pPr>
        <w:pStyle w:val="Heading2"/>
      </w:pPr>
      <w:r>
        <w:t xml:space="preserve">7. Articulation avec l’échange interinstitutionnel</w:t>
      </w:r>
    </w:p>
    <w:p>
      <w:pPr>
        <w:pStyle w:val="SourceCode"/>
      </w:pPr>
      <w:r>
        <w:rPr>
          <w:rStyle w:val="VerbatimChar"/>
        </w:rPr>
        <w:t xml:space="preserve">Système santé</w:t>
      </w:r>
      <w:r>
        <w:br/>
      </w:r>
      <w:r>
        <w:rPr>
          <w:rStyle w:val="VerbatimChar"/>
        </w:rPr>
        <w:t xml:space="preserve">      │</w:t>
      </w:r>
      <w:r>
        <w:br/>
      </w:r>
      <w:r>
        <w:rPr>
          <w:rStyle w:val="VerbatimChar"/>
        </w:rPr>
        <w:t xml:space="preserve">      ▼</w:t>
      </w:r>
      <w:r>
        <w:br/>
      </w:r>
      <w:r>
        <w:rPr>
          <w:rStyle w:val="VerbatimChar"/>
        </w:rPr>
        <w:t xml:space="preserve">Médiateur sectoriel</w:t>
      </w:r>
      <w:r>
        <w:br/>
      </w:r>
      <w:r>
        <w:rPr>
          <w:rStyle w:val="VerbatimChar"/>
        </w:rPr>
        <w:t xml:space="preserve">      │</w:t>
      </w:r>
      <w:r>
        <w:br/>
      </w:r>
      <w:r>
        <w:rPr>
          <w:rStyle w:val="VerbatimChar"/>
        </w:rPr>
        <w:t xml:space="preserve">      ▼</w:t>
      </w:r>
      <w:r>
        <w:br/>
      </w:r>
      <w:r>
        <w:rPr>
          <w:rStyle w:val="VerbatimChar"/>
        </w:rPr>
        <w:t xml:space="preserve">Service métier ou registre santé</w:t>
      </w:r>
      <w:r>
        <w:br/>
      </w:r>
      <w:r>
        <w:rPr>
          <w:rStyle w:val="VerbatimChar"/>
        </w:rPr>
        <w:t xml:space="preserve">      │</w:t>
      </w:r>
      <w:r>
        <w:br/>
      </w:r>
      <w:r>
        <w:rPr>
          <w:rStyle w:val="VerbatimChar"/>
        </w:rPr>
        <w:t xml:space="preserve">      ▼</w:t>
      </w:r>
      <w:r>
        <w:br/>
      </w:r>
      <w:r>
        <w:rPr>
          <w:rStyle w:val="VerbatimChar"/>
        </w:rPr>
        <w:t xml:space="preserve">Point d’échange sectoriel</w:t>
      </w:r>
      <w:r>
        <w:br/>
      </w:r>
      <w:r>
        <w:rPr>
          <w:rStyle w:val="VerbatimChar"/>
        </w:rPr>
        <w:t xml:space="preserve">      │</w:t>
      </w:r>
      <w:r>
        <w:br/>
      </w:r>
      <w:r>
        <w:rPr>
          <w:rStyle w:val="VerbatimChar"/>
        </w:rPr>
        <w:t xml:space="preserve">      ▼</w:t>
      </w:r>
      <w:r>
        <w:br/>
      </w:r>
      <w:r>
        <w:rPr>
          <w:rStyle w:val="VerbatimChar"/>
        </w:rPr>
        <w:t xml:space="preserve">Plateforme interinstitutionnelle</w:t>
      </w:r>
    </w:p>
    <w:p>
      <w:pPr>
        <w:pStyle w:val="FirstParagraph"/>
      </w:pPr>
      <w:r>
        <w:t xml:space="preserve">Le médiateur traite la sémantique et les règles sectorielles.</w:t>
      </w:r>
    </w:p>
    <w:p>
      <w:pPr>
        <w:pStyle w:val="BodyText"/>
      </w:pPr>
      <w:r>
        <w:t xml:space="preserve">La plateforme interinstitutionnelle assure la confiance entre organisations.</w:t>
      </w:r>
    </w:p>
    <w:p>
      <w:r>
        <w:pict>
          <v:rect style="width:0;height:1.5pt" o:hralign="center" o:hrstd="t" o:hr="t"/>
        </w:pict>
      </w:r>
    </w:p>
    <w:bookmarkEnd w:id="57"/>
    <w:bookmarkEnd w:id="58"/>
    <w:bookmarkStart w:id="67" w:name="Xe57106fda97c60e5c1fcdb568eae19213ae3371"/>
    <w:p>
      <w:pPr>
        <w:pStyle w:val="Heading1"/>
      </w:pPr>
      <w:r>
        <w:t xml:space="preserve">PT-03 — Catalogue des services et registre des contrats</w:t>
      </w:r>
    </w:p>
    <w:bookmarkStart w:id="59" w:name="capacité-cnisn-2"/>
    <w:p>
      <w:pPr>
        <w:pStyle w:val="Heading2"/>
      </w:pPr>
      <w:r>
        <w:t xml:space="preserve">1. Capacité CNISN</w:t>
      </w:r>
    </w:p>
    <w:p>
      <w:pPr>
        <w:pStyle w:val="FirstParagraph"/>
      </w:pPr>
      <w:r>
        <w:rPr>
          <w:b/>
          <w:bCs/>
        </w:rPr>
        <w:t xml:space="preserve">CAP-INT-02 — Échange et médiation de données inter-systèmes</w:t>
      </w:r>
    </w:p>
    <w:bookmarkEnd w:id="59"/>
    <w:bookmarkStart w:id="60" w:name="chapitres-art-applicables-2"/>
    <w:p>
      <w:pPr>
        <w:pStyle w:val="Heading2"/>
      </w:pPr>
      <w:r>
        <w:t xml:space="preserve">2. Chapitres ART applicables</w:t>
      </w:r>
    </w:p>
    <w:p>
      <w:pPr>
        <w:pStyle w:val="Compact"/>
        <w:numPr>
          <w:ilvl w:val="0"/>
          <w:numId w:val="1027"/>
        </w:numPr>
      </w:pPr>
      <w:r>
        <w:t xml:space="preserve">F.3 — versionnement ;</w:t>
      </w:r>
    </w:p>
    <w:p>
      <w:pPr>
        <w:pStyle w:val="Compact"/>
        <w:numPr>
          <w:ilvl w:val="0"/>
          <w:numId w:val="1027"/>
        </w:numPr>
      </w:pPr>
      <w:r>
        <w:t xml:space="preserve">F.4 — rattachement aux capacités ;</w:t>
      </w:r>
    </w:p>
    <w:p>
      <w:pPr>
        <w:pStyle w:val="Compact"/>
        <w:numPr>
          <w:ilvl w:val="0"/>
          <w:numId w:val="1027"/>
        </w:numPr>
      </w:pPr>
      <w:r>
        <w:t xml:space="preserve">ART-1 — interfaces ;</w:t>
      </w:r>
    </w:p>
    <w:p>
      <w:pPr>
        <w:pStyle w:val="Compact"/>
        <w:numPr>
          <w:ilvl w:val="0"/>
          <w:numId w:val="1027"/>
        </w:numPr>
      </w:pPr>
      <w:r>
        <w:t xml:space="preserve">ART-2 — contrats canoniques.</w:t>
      </w:r>
    </w:p>
    <w:bookmarkEnd w:id="60"/>
    <w:bookmarkStart w:id="63" w:name="services-nationaux"/>
    <w:p>
      <w:pPr>
        <w:pStyle w:val="Heading2"/>
      </w:pPr>
      <w:r>
        <w:t xml:space="preserve">3. Services nationaux</w:t>
      </w:r>
    </w:p>
    <w:p>
      <w:pPr>
        <w:pStyle w:val="FirstParagraph"/>
      </w:pPr>
      <w:r>
        <w:t xml:space="preserve">Deux services distincts sont requis.</w:t>
      </w:r>
    </w:p>
    <w:bookmarkStart w:id="61" w:name="catalogue-national-des-services"/>
    <w:p>
      <w:pPr>
        <w:pStyle w:val="Heading3"/>
      </w:pPr>
      <w:r>
        <w:t xml:space="preserve">Catalogue national des services</w:t>
      </w:r>
    </w:p>
    <w:p>
      <w:pPr>
        <w:pStyle w:val="FirstParagraph"/>
      </w:pPr>
      <w:r>
        <w:t xml:space="preserve">Répertorie :</w:t>
      </w:r>
    </w:p>
    <w:p>
      <w:pPr>
        <w:pStyle w:val="Compact"/>
        <w:numPr>
          <w:ilvl w:val="0"/>
          <w:numId w:val="1028"/>
        </w:numPr>
      </w:pPr>
      <w:r>
        <w:t xml:space="preserve">les services exposés ;</w:t>
      </w:r>
    </w:p>
    <w:p>
      <w:pPr>
        <w:pStyle w:val="Compact"/>
        <w:numPr>
          <w:ilvl w:val="0"/>
          <w:numId w:val="1028"/>
        </w:numPr>
      </w:pPr>
      <w:r>
        <w:t xml:space="preserve">les propriétaires ;</w:t>
      </w:r>
    </w:p>
    <w:p>
      <w:pPr>
        <w:pStyle w:val="Compact"/>
        <w:numPr>
          <w:ilvl w:val="0"/>
          <w:numId w:val="1028"/>
        </w:numPr>
      </w:pPr>
      <w:r>
        <w:t xml:space="preserve">les consommateurs autorisés ;</w:t>
      </w:r>
    </w:p>
    <w:p>
      <w:pPr>
        <w:pStyle w:val="Compact"/>
        <w:numPr>
          <w:ilvl w:val="0"/>
          <w:numId w:val="1028"/>
        </w:numPr>
      </w:pPr>
      <w:r>
        <w:t xml:space="preserve">les environnements ;</w:t>
      </w:r>
    </w:p>
    <w:p>
      <w:pPr>
        <w:pStyle w:val="Compact"/>
        <w:numPr>
          <w:ilvl w:val="0"/>
          <w:numId w:val="1028"/>
        </w:numPr>
      </w:pPr>
      <w:r>
        <w:t xml:space="preserve">les niveaux de service ;</w:t>
      </w:r>
    </w:p>
    <w:p>
      <w:pPr>
        <w:pStyle w:val="Compact"/>
        <w:numPr>
          <w:ilvl w:val="0"/>
          <w:numId w:val="1028"/>
        </w:numPr>
      </w:pPr>
      <w:r>
        <w:t xml:space="preserve">les points d’accès ;</w:t>
      </w:r>
    </w:p>
    <w:p>
      <w:pPr>
        <w:pStyle w:val="Compact"/>
        <w:numPr>
          <w:ilvl w:val="0"/>
          <w:numId w:val="1028"/>
        </w:numPr>
      </w:pPr>
      <w:r>
        <w:t xml:space="preserve">les politiques de sécurité.</w:t>
      </w:r>
    </w:p>
    <w:bookmarkEnd w:id="61"/>
    <w:bookmarkStart w:id="62" w:name="registre-national-des-contrats"/>
    <w:p>
      <w:pPr>
        <w:pStyle w:val="Heading3"/>
      </w:pPr>
      <w:r>
        <w:t xml:space="preserve">Registre national des contrats</w:t>
      </w:r>
    </w:p>
    <w:p>
      <w:pPr>
        <w:pStyle w:val="FirstParagraph"/>
      </w:pPr>
      <w:r>
        <w:t xml:space="preserve">Répertorie :</w:t>
      </w:r>
    </w:p>
    <w:p>
      <w:pPr>
        <w:pStyle w:val="Compact"/>
        <w:numPr>
          <w:ilvl w:val="0"/>
          <w:numId w:val="1029"/>
        </w:numPr>
      </w:pPr>
      <w:r>
        <w:t xml:space="preserve">les schémas ;</w:t>
      </w:r>
    </w:p>
    <w:p>
      <w:pPr>
        <w:pStyle w:val="Compact"/>
        <w:numPr>
          <w:ilvl w:val="0"/>
          <w:numId w:val="1029"/>
        </w:numPr>
      </w:pPr>
      <w:r>
        <w:t xml:space="preserve">les profils ;</w:t>
      </w:r>
    </w:p>
    <w:p>
      <w:pPr>
        <w:pStyle w:val="Compact"/>
        <w:numPr>
          <w:ilvl w:val="0"/>
          <w:numId w:val="1029"/>
        </w:numPr>
      </w:pPr>
      <w:r>
        <w:t xml:space="preserve">les API ;</w:t>
      </w:r>
    </w:p>
    <w:p>
      <w:pPr>
        <w:pStyle w:val="Compact"/>
        <w:numPr>
          <w:ilvl w:val="0"/>
          <w:numId w:val="1029"/>
        </w:numPr>
      </w:pPr>
      <w:r>
        <w:t xml:space="preserve">les événements ;</w:t>
      </w:r>
    </w:p>
    <w:p>
      <w:pPr>
        <w:pStyle w:val="Compact"/>
        <w:numPr>
          <w:ilvl w:val="0"/>
          <w:numId w:val="1029"/>
        </w:numPr>
      </w:pPr>
      <w:r>
        <w:t xml:space="preserve">les versions ;</w:t>
      </w:r>
    </w:p>
    <w:p>
      <w:pPr>
        <w:pStyle w:val="Compact"/>
        <w:numPr>
          <w:ilvl w:val="0"/>
          <w:numId w:val="1029"/>
        </w:numPr>
      </w:pPr>
      <w:r>
        <w:t xml:space="preserve">les extensions ;</w:t>
      </w:r>
    </w:p>
    <w:p>
      <w:pPr>
        <w:pStyle w:val="Compact"/>
        <w:numPr>
          <w:ilvl w:val="0"/>
          <w:numId w:val="1029"/>
        </w:numPr>
      </w:pPr>
      <w:r>
        <w:t xml:space="preserve">les règles de compatibilité ;</w:t>
      </w:r>
    </w:p>
    <w:p>
      <w:pPr>
        <w:pStyle w:val="Compact"/>
        <w:numPr>
          <w:ilvl w:val="0"/>
          <w:numId w:val="1029"/>
        </w:numPr>
      </w:pPr>
      <w:r>
        <w:t xml:space="preserve">les dépréciations.</w:t>
      </w:r>
    </w:p>
    <w:bookmarkEnd w:id="62"/>
    <w:bookmarkEnd w:id="63"/>
    <w:bookmarkStart w:id="64" w:name="formats-recommandés"/>
    <w:p>
      <w:pPr>
        <w:pStyle w:val="Heading2"/>
      </w:pPr>
      <w:r>
        <w:t xml:space="preserve">4. Formats recommandés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 de contrat</w:t>
            </w:r>
          </w:p>
        </w:tc>
        <w:tc>
          <w:tcPr/>
          <w:p>
            <w:pPr>
              <w:pStyle w:val="Compact"/>
            </w:pPr>
            <w:r>
              <w:t xml:space="preserve">Format recommandé</w:t>
            </w:r>
          </w:p>
        </w:tc>
      </w:tr>
      <w:tr>
        <w:tc>
          <w:tcPr/>
          <w:p>
            <w:pPr>
              <w:pStyle w:val="Compact"/>
            </w:pPr>
            <w:r>
              <w:t xml:space="preserve">API REST générale</w:t>
            </w:r>
          </w:p>
        </w:tc>
        <w:tc>
          <w:tcPr/>
          <w:p>
            <w:pPr>
              <w:pStyle w:val="Compact"/>
            </w:pPr>
            <w:r>
              <w:t xml:space="preserve">OpenAPI</w:t>
            </w:r>
          </w:p>
        </w:tc>
      </w:tr>
      <w:tr>
        <w:tc>
          <w:tcPr/>
          <w:p>
            <w:pPr>
              <w:pStyle w:val="Compact"/>
            </w:pPr>
            <w:r>
              <w:t xml:space="preserve">Ressource de santé</w:t>
            </w:r>
          </w:p>
        </w:tc>
        <w:tc>
          <w:tcPr/>
          <w:p>
            <w:pPr>
              <w:pStyle w:val="Compact"/>
            </w:pPr>
            <w:r>
              <w:t xml:space="preserve">Profil HL7 FHIR</w:t>
            </w:r>
          </w:p>
        </w:tc>
      </w:tr>
      <w:tr>
        <w:tc>
          <w:tcPr/>
          <w:p>
            <w:pPr>
              <w:pStyle w:val="Compact"/>
            </w:pPr>
            <w:r>
              <w:t xml:space="preserve">Guide national FHIR</w:t>
            </w:r>
          </w:p>
        </w:tc>
        <w:tc>
          <w:tcPr/>
          <w:p>
            <w:pPr>
              <w:pStyle w:val="Compact"/>
            </w:pPr>
            <w:r>
              <w:t xml:space="preserve">Implementation Guide publié</w:t>
            </w:r>
          </w:p>
        </w:tc>
      </w:tr>
      <w:tr>
        <w:tc>
          <w:tcPr/>
          <w:p>
            <w:pPr>
              <w:pStyle w:val="Compact"/>
            </w:pPr>
            <w:r>
              <w:t xml:space="preserve">Événement non-FHIR</w:t>
            </w:r>
          </w:p>
        </w:tc>
        <w:tc>
          <w:tcPr/>
          <w:p>
            <w:pPr>
              <w:pStyle w:val="Compact"/>
            </w:pPr>
            <w:r>
              <w:t xml:space="preserve">JSON Schema</w:t>
            </w:r>
          </w:p>
        </w:tc>
      </w:tr>
      <w:tr>
        <w:tc>
          <w:tcPr/>
          <w:p>
            <w:pPr>
              <w:pStyle w:val="Compact"/>
            </w:pPr>
            <w:r>
              <w:t xml:space="preserve">Interface asynchrone</w:t>
            </w:r>
          </w:p>
        </w:tc>
        <w:tc>
          <w:tcPr/>
          <w:p>
            <w:pPr>
              <w:pStyle w:val="Compact"/>
            </w:pPr>
            <w:r>
              <w:t xml:space="preserve">AsyncAPI ou contrat équivalent</w:t>
            </w:r>
          </w:p>
        </w:tc>
      </w:tr>
      <w:tr>
        <w:tc>
          <w:tcPr/>
          <w:p>
            <w:pPr>
              <w:pStyle w:val="Compact"/>
            </w:pPr>
            <w:r>
              <w:t xml:space="preserve">Terminologie</w:t>
            </w:r>
          </w:p>
        </w:tc>
        <w:tc>
          <w:tcPr/>
          <w:p>
            <w:pPr>
              <w:pStyle w:val="Compact"/>
            </w:pPr>
            <w:r>
              <w:t xml:space="preserve">CodeSystem, ValueSet, ConceptMap</w:t>
            </w:r>
          </w:p>
        </w:tc>
      </w:tr>
      <w:tr>
        <w:tc>
          <w:tcPr/>
          <w:p>
            <w:pPr>
              <w:pStyle w:val="Compact"/>
            </w:pPr>
            <w:r>
              <w:t xml:space="preserve">Exemples et tests</w:t>
            </w:r>
          </w:p>
        </w:tc>
        <w:tc>
          <w:tcPr/>
          <w:p>
            <w:pPr>
              <w:pStyle w:val="Compact"/>
            </w:pPr>
            <w:r>
              <w:t xml:space="preserve">Ressources et jeux de tests versionnés</w:t>
            </w:r>
          </w:p>
        </w:tc>
      </w:tr>
    </w:tbl>
    <w:bookmarkEnd w:id="64"/>
    <w:bookmarkStart w:id="65" w:name="produit"/>
    <w:p>
      <w:pPr>
        <w:pStyle w:val="Heading2"/>
      </w:pPr>
      <w:r>
        <w:t xml:space="preserve">5. Produit</w:t>
      </w:r>
    </w:p>
    <w:p>
      <w:pPr>
        <w:pStyle w:val="FirstParagraph"/>
      </w:pPr>
      <w:r>
        <w:t xml:space="preserve">Aucun produit national n’est encore retenu.</w:t>
      </w:r>
    </w:p>
    <w:p>
      <w:pPr>
        <w:pStyle w:val="BodyText"/>
      </w:pPr>
      <w:r>
        <w:rPr>
          <w:b/>
          <w:bCs/>
        </w:rPr>
        <w:t xml:space="preserve">Statut : à instruire.</w:t>
      </w:r>
    </w:p>
    <w:bookmarkEnd w:id="65"/>
    <w:bookmarkStart w:id="66" w:name="preuves-de-conformité"/>
    <w:p>
      <w:pPr>
        <w:pStyle w:val="Heading2"/>
      </w:pPr>
      <w:r>
        <w:t xml:space="preserve">6. Preuves de conformité</w:t>
      </w:r>
    </w:p>
    <w:p>
      <w:pPr>
        <w:pStyle w:val="Compact"/>
        <w:numPr>
          <w:ilvl w:val="0"/>
          <w:numId w:val="1030"/>
        </w:numPr>
      </w:pPr>
      <w:r>
        <w:t xml:space="preserve">contrat publié ;</w:t>
      </w:r>
    </w:p>
    <w:p>
      <w:pPr>
        <w:pStyle w:val="Compact"/>
        <w:numPr>
          <w:ilvl w:val="0"/>
          <w:numId w:val="1030"/>
        </w:numPr>
      </w:pPr>
      <w:r>
        <w:t xml:space="preserve">version explicite ;</w:t>
      </w:r>
    </w:p>
    <w:p>
      <w:pPr>
        <w:pStyle w:val="Compact"/>
        <w:numPr>
          <w:ilvl w:val="0"/>
          <w:numId w:val="1030"/>
        </w:numPr>
      </w:pPr>
      <w:r>
        <w:t xml:space="preserve">propriétaire ;</w:t>
      </w:r>
    </w:p>
    <w:p>
      <w:pPr>
        <w:pStyle w:val="Compact"/>
        <w:numPr>
          <w:ilvl w:val="0"/>
          <w:numId w:val="1030"/>
        </w:numPr>
      </w:pPr>
      <w:r>
        <w:t xml:space="preserve">test de validation ;</w:t>
      </w:r>
    </w:p>
    <w:p>
      <w:pPr>
        <w:pStyle w:val="Compact"/>
        <w:numPr>
          <w:ilvl w:val="0"/>
          <w:numId w:val="1030"/>
        </w:numPr>
      </w:pPr>
      <w:r>
        <w:t xml:space="preserve">politique de compatibilité ;</w:t>
      </w:r>
    </w:p>
    <w:p>
      <w:pPr>
        <w:pStyle w:val="Compact"/>
        <w:numPr>
          <w:ilvl w:val="0"/>
          <w:numId w:val="1030"/>
        </w:numPr>
      </w:pPr>
      <w:r>
        <w:t xml:space="preserve">calendrier de dépréciation.</w:t>
      </w:r>
    </w:p>
    <w:p>
      <w:r>
        <w:pict>
          <v:rect style="width:0;height:1.5pt" o:hralign="center" o:hrstd="t" o:hr="t"/>
        </w:pict>
      </w:r>
    </w:p>
    <w:bookmarkEnd w:id="66"/>
    <w:bookmarkEnd w:id="67"/>
    <w:bookmarkStart w:id="76" w:name="Xc27f786f05b088dbf85ce437141b90a21f9b618"/>
    <w:p>
      <w:pPr>
        <w:pStyle w:val="Heading1"/>
      </w:pPr>
      <w:r>
        <w:t xml:space="preserve">PT-04 — Résolution d’identité du bénéficiaire</w:t>
      </w:r>
    </w:p>
    <w:bookmarkStart w:id="68" w:name="capacité-cnisn-3"/>
    <w:p>
      <w:pPr>
        <w:pStyle w:val="Heading2"/>
      </w:pPr>
      <w:r>
        <w:t xml:space="preserve">1. Capacité CNISN</w:t>
      </w:r>
    </w:p>
    <w:p>
      <w:pPr>
        <w:pStyle w:val="FirstParagraph"/>
      </w:pPr>
      <w:r>
        <w:rPr>
          <w:b/>
          <w:bCs/>
        </w:rPr>
        <w:t xml:space="preserve">CAP-INT-01 — Résolution d’identité individuelle</w:t>
      </w:r>
    </w:p>
    <w:bookmarkEnd w:id="68"/>
    <w:bookmarkStart w:id="69" w:name="chapitres-art-applicables-3"/>
    <w:p>
      <w:pPr>
        <w:pStyle w:val="Heading2"/>
      </w:pPr>
      <w:r>
        <w:t xml:space="preserve">2. Chapitres ART applicables</w:t>
      </w:r>
    </w:p>
    <w:p>
      <w:pPr>
        <w:pStyle w:val="Compact"/>
        <w:numPr>
          <w:ilvl w:val="0"/>
          <w:numId w:val="1031"/>
        </w:numPr>
      </w:pPr>
      <w:r>
        <w:t xml:space="preserve">ART-4 — référentiels ;</w:t>
      </w:r>
    </w:p>
    <w:p>
      <w:pPr>
        <w:pStyle w:val="Compact"/>
        <w:numPr>
          <w:ilvl w:val="0"/>
          <w:numId w:val="1031"/>
        </w:numPr>
      </w:pPr>
      <w:r>
        <w:t xml:space="preserve">ART-4a — identité individuelle ;</w:t>
      </w:r>
    </w:p>
    <w:p>
      <w:pPr>
        <w:pStyle w:val="Compact"/>
        <w:numPr>
          <w:ilvl w:val="0"/>
          <w:numId w:val="1031"/>
        </w:numPr>
      </w:pPr>
      <w:r>
        <w:t xml:space="preserve">ART-4c — bases d’autorisation ;</w:t>
      </w:r>
    </w:p>
    <w:p>
      <w:pPr>
        <w:pStyle w:val="Compact"/>
        <w:numPr>
          <w:ilvl w:val="0"/>
          <w:numId w:val="1031"/>
        </w:numPr>
      </w:pPr>
      <w:r>
        <w:t xml:space="preserve">ART-7 — sécurité.</w:t>
      </w:r>
    </w:p>
    <w:bookmarkEnd w:id="69"/>
    <w:bookmarkStart w:id="70" w:name="service-national-3"/>
    <w:p>
      <w:pPr>
        <w:pStyle w:val="Heading2"/>
      </w:pPr>
      <w:r>
        <w:t xml:space="preserve">3. Service national</w:t>
      </w:r>
    </w:p>
    <w:p>
      <w:pPr>
        <w:pStyle w:val="FirstParagraph"/>
      </w:pPr>
      <w:r>
        <w:rPr>
          <w:b/>
          <w:bCs/>
        </w:rPr>
        <w:t xml:space="preserve">Service national de résolution d’identité santé du bénéficiaire</w:t>
      </w:r>
    </w:p>
    <w:bookmarkEnd w:id="70"/>
    <w:bookmarkStart w:id="71" w:name="responsabilités"/>
    <w:p>
      <w:pPr>
        <w:pStyle w:val="Heading2"/>
      </w:pPr>
      <w:r>
        <w:t xml:space="preserve">4. Responsabilités</w:t>
      </w:r>
    </w:p>
    <w:p>
      <w:pPr>
        <w:pStyle w:val="FirstParagraph"/>
      </w:pPr>
      <w:r>
        <w:t xml:space="preserve">Le service doit permettre :</w:t>
      </w:r>
    </w:p>
    <w:p>
      <w:pPr>
        <w:pStyle w:val="Compact"/>
        <w:numPr>
          <w:ilvl w:val="0"/>
          <w:numId w:val="1032"/>
        </w:numPr>
      </w:pPr>
      <w:r>
        <w:t xml:space="preserve">la recherche démographique ;</w:t>
      </w:r>
    </w:p>
    <w:p>
      <w:pPr>
        <w:pStyle w:val="Compact"/>
        <w:numPr>
          <w:ilvl w:val="0"/>
          <w:numId w:val="1032"/>
        </w:numPr>
      </w:pPr>
      <w:r>
        <w:t xml:space="preserve">la résolution des identifiants ;</w:t>
      </w:r>
    </w:p>
    <w:p>
      <w:pPr>
        <w:pStyle w:val="Compact"/>
        <w:numPr>
          <w:ilvl w:val="0"/>
          <w:numId w:val="1032"/>
        </w:numPr>
      </w:pPr>
      <w:r>
        <w:t xml:space="preserve">le rapprochement de dossiers ;</w:t>
      </w:r>
    </w:p>
    <w:p>
      <w:pPr>
        <w:pStyle w:val="Compact"/>
        <w:numPr>
          <w:ilvl w:val="0"/>
          <w:numId w:val="1032"/>
        </w:numPr>
      </w:pPr>
      <w:r>
        <w:t xml:space="preserve">la gestion des identités temporaires ;</w:t>
      </w:r>
    </w:p>
    <w:p>
      <w:pPr>
        <w:pStyle w:val="Compact"/>
        <w:numPr>
          <w:ilvl w:val="0"/>
          <w:numId w:val="1032"/>
        </w:numPr>
      </w:pPr>
      <w:r>
        <w:t xml:space="preserve">le lien avec l’identité fondationnelle ;</w:t>
      </w:r>
    </w:p>
    <w:p>
      <w:pPr>
        <w:pStyle w:val="Compact"/>
        <w:numPr>
          <w:ilvl w:val="0"/>
          <w:numId w:val="1032"/>
        </w:numPr>
      </w:pPr>
      <w:r>
        <w:t xml:space="preserve">la détection des doublons ;</w:t>
      </w:r>
    </w:p>
    <w:p>
      <w:pPr>
        <w:pStyle w:val="Compact"/>
        <w:numPr>
          <w:ilvl w:val="0"/>
          <w:numId w:val="1032"/>
        </w:numPr>
      </w:pPr>
      <w:r>
        <w:t xml:space="preserve">la fusion contrôlée ;</w:t>
      </w:r>
    </w:p>
    <w:p>
      <w:pPr>
        <w:pStyle w:val="Compact"/>
        <w:numPr>
          <w:ilvl w:val="0"/>
          <w:numId w:val="1032"/>
        </w:numPr>
      </w:pPr>
      <w:r>
        <w:t xml:space="preserve">la séparation après erreur ;</w:t>
      </w:r>
    </w:p>
    <w:p>
      <w:pPr>
        <w:pStyle w:val="Compact"/>
        <w:numPr>
          <w:ilvl w:val="0"/>
          <w:numId w:val="1032"/>
        </w:numPr>
      </w:pPr>
      <w:r>
        <w:t xml:space="preserve">la conservation de la provenance.</w:t>
      </w:r>
    </w:p>
    <w:bookmarkEnd w:id="71"/>
    <w:bookmarkStart w:id="72" w:name="profils-cibles"/>
    <w:p>
      <w:pPr>
        <w:pStyle w:val="Heading2"/>
      </w:pPr>
      <w:r>
        <w:t xml:space="preserve">5. Profils cibles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w:t>
            </w:r>
          </w:p>
        </w:tc>
        <w:tc>
          <w:tcPr/>
          <w:p>
            <w:pPr>
              <w:pStyle w:val="Compact"/>
            </w:pPr>
            <w:r>
              <w:t xml:space="preserve">Profil recommandé</w:t>
            </w:r>
          </w:p>
        </w:tc>
      </w:tr>
      <w:tr>
        <w:tc>
          <w:tcPr/>
          <w:p>
            <w:pPr>
              <w:pStyle w:val="Compact"/>
            </w:pPr>
            <w:r>
              <w:t xml:space="preserve">Recherche démographique</w:t>
            </w:r>
          </w:p>
        </w:tc>
        <w:tc>
          <w:tcPr/>
          <w:p>
            <w:pPr>
              <w:pStyle w:val="Compact"/>
            </w:pPr>
            <w:r>
              <w:t xml:space="preserve">IHE PDQm</w:t>
            </w:r>
          </w:p>
        </w:tc>
      </w:tr>
      <w:tr>
        <w:tc>
          <w:tcPr/>
          <w:p>
            <w:pPr>
              <w:pStyle w:val="Compact"/>
            </w:pPr>
            <w:r>
              <w:t xml:space="preserve">Résolution d’identifiants</w:t>
            </w:r>
          </w:p>
        </w:tc>
        <w:tc>
          <w:tcPr/>
          <w:p>
            <w:pPr>
              <w:pStyle w:val="Compact"/>
            </w:pPr>
            <w:r>
              <w:t xml:space="preserve">IHE PIXm</w:t>
            </w:r>
          </w:p>
        </w:tc>
      </w:tr>
      <w:tr>
        <w:tc>
          <w:tcPr/>
          <w:p>
            <w:pPr>
              <w:pStyle w:val="Compact"/>
            </w:pPr>
            <w:r>
              <w:t xml:space="preserve">Modèle de données</w:t>
            </w:r>
          </w:p>
        </w:tc>
        <w:tc>
          <w:tcPr/>
          <w:p>
            <w:pPr>
              <w:pStyle w:val="Compact"/>
            </w:pPr>
            <w:r>
              <w:t xml:space="preserve">HL7 FHIR Patient</w:t>
            </w:r>
          </w:p>
        </w:tc>
      </w:tr>
      <w:tr>
        <w:tc>
          <w:tcPr/>
          <w:p>
            <w:pPr>
              <w:pStyle w:val="Compact"/>
            </w:pPr>
            <w:r>
              <w:t xml:space="preserve">Historique et origine</w:t>
            </w:r>
          </w:p>
        </w:tc>
        <w:tc>
          <w:tcPr/>
          <w:p>
            <w:pPr>
              <w:pStyle w:val="Compact"/>
            </w:pPr>
            <w:r>
              <w:t xml:space="preserve">HL7 FHIR Provenance ou profil national équivalent</w:t>
            </w:r>
          </w:p>
        </w:tc>
      </w:tr>
      <w:tr>
        <w:tc>
          <w:tcPr/>
          <w:p>
            <w:pPr>
              <w:pStyle w:val="Compact"/>
            </w:pPr>
            <w:r>
              <w:t xml:space="preserve">Autorisation REST/FHIR</w:t>
            </w:r>
          </w:p>
        </w:tc>
        <w:tc>
          <w:tcPr/>
          <w:p>
            <w:pPr>
              <w:pStyle w:val="Compact"/>
            </w:pPr>
            <w:r>
              <w:t xml:space="preserve">IHE IUA ou mécanisme national équivalent</w:t>
            </w:r>
          </w:p>
        </w:tc>
      </w:tr>
    </w:tbl>
    <w:p>
      <w:pPr>
        <w:pStyle w:val="BodyText"/>
      </w:pPr>
      <w:r>
        <w:t xml:space="preserve">PIXm fournit des transactions REST permettant de gérer et rechercher les identifiants d’un patient entre domaines. PDQm définit une interface REST légère permettant la recherche de patients à partir de données démographiques.</w:t>
      </w:r>
    </w:p>
    <w:bookmarkEnd w:id="72"/>
    <w:bookmarkStart w:id="73" w:name="statut"/>
    <w:p>
      <w:pPr>
        <w:pStyle w:val="Heading2"/>
      </w:pPr>
      <w:r>
        <w:t xml:space="preserve">6. Statut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Statut</w:t>
            </w:r>
          </w:p>
        </w:tc>
      </w:tr>
      <w:tr>
        <w:tc>
          <w:tcPr/>
          <w:p>
            <w:pPr>
              <w:pStyle w:val="Compact"/>
            </w:pPr>
            <w:r>
              <w:t xml:space="preserve">PIXm</w:t>
            </w:r>
          </w:p>
        </w:tc>
        <w:tc>
          <w:tcPr/>
          <w:p>
            <w:pPr>
              <w:pStyle w:val="Compact"/>
            </w:pPr>
            <w:r>
              <w:t xml:space="preserve">Recommandé pour les nouveaux services</w:t>
            </w:r>
          </w:p>
        </w:tc>
      </w:tr>
      <w:tr>
        <w:tc>
          <w:tcPr/>
          <w:p>
            <w:pPr>
              <w:pStyle w:val="Compact"/>
            </w:pPr>
            <w:r>
              <w:t xml:space="preserve">PDQm</w:t>
            </w:r>
          </w:p>
        </w:tc>
        <w:tc>
          <w:tcPr/>
          <w:p>
            <w:pPr>
              <w:pStyle w:val="Compact"/>
            </w:pPr>
            <w:r>
              <w:t xml:space="preserve">Recommandé pour les nouveaux services</w:t>
            </w:r>
          </w:p>
        </w:tc>
      </w:tr>
      <w:tr>
        <w:tc>
          <w:tcPr/>
          <w:p>
            <w:pPr>
              <w:pStyle w:val="Compact"/>
            </w:pPr>
            <w:r>
              <w:t xml:space="preserve">PIX/PDQ historiques</w:t>
            </w:r>
          </w:p>
        </w:tc>
        <w:tc>
          <w:tcPr/>
          <w:p>
            <w:pPr>
              <w:pStyle w:val="Compact"/>
            </w:pPr>
            <w:r>
              <w:t xml:space="preserve">Compatibilité transitoire si nécessaire</w:t>
            </w:r>
          </w:p>
        </w:tc>
      </w:tr>
      <w:tr>
        <w:tc>
          <w:tcPr/>
          <w:p>
            <w:pPr>
              <w:pStyle w:val="Compact"/>
            </w:pPr>
            <w:r>
              <w:t xml:space="preserve">Produit de registre client</w:t>
            </w:r>
          </w:p>
        </w:tc>
        <w:tc>
          <w:tcPr/>
          <w:p>
            <w:pPr>
              <w:pStyle w:val="Compact"/>
            </w:pPr>
            <w:r>
              <w:t xml:space="preserve">À sélectionner</w:t>
            </w:r>
          </w:p>
        </w:tc>
      </w:tr>
      <w:tr>
        <w:tc>
          <w:tcPr/>
          <w:p>
            <w:pPr>
              <w:pStyle w:val="Compact"/>
            </w:pPr>
            <w:r>
              <w:t xml:space="preserve">Algorithme national de rapprochement</w:t>
            </w:r>
          </w:p>
        </w:tc>
        <w:tc>
          <w:tcPr/>
          <w:p>
            <w:pPr>
              <w:pStyle w:val="Compact"/>
            </w:pPr>
            <w:r>
              <w:t xml:space="preserve">À instruire</w:t>
            </w:r>
          </w:p>
        </w:tc>
      </w:tr>
      <w:tr>
        <w:tc>
          <w:tcPr/>
          <w:p>
            <w:pPr>
              <w:pStyle w:val="Compact"/>
            </w:pPr>
            <w:r>
              <w:t xml:space="preserve">Lien avec la CNIE</w:t>
            </w:r>
          </w:p>
        </w:tc>
        <w:tc>
          <w:tcPr/>
          <w:p>
            <w:pPr>
              <w:pStyle w:val="Compact"/>
            </w:pPr>
            <w:r>
              <w:t xml:space="preserve">Soumis à accord et architecture interinstitutionnelle</w:t>
            </w:r>
          </w:p>
        </w:tc>
      </w:tr>
    </w:tbl>
    <w:bookmarkEnd w:id="73"/>
    <w:bookmarkStart w:id="74" w:name="exigences-nationales-complémentaires"/>
    <w:p>
      <w:pPr>
        <w:pStyle w:val="Heading2"/>
      </w:pPr>
      <w:r>
        <w:t xml:space="preserve">7. Exigences nationales complémentaires</w:t>
      </w:r>
    </w:p>
    <w:p>
      <w:pPr>
        <w:pStyle w:val="FirstParagraph"/>
      </w:pPr>
      <w:r>
        <w:t xml:space="preserve">Les profils PIXm et PDQm ne définissent pas à eux seuls :</w:t>
      </w:r>
    </w:p>
    <w:p>
      <w:pPr>
        <w:pStyle w:val="Compact"/>
        <w:numPr>
          <w:ilvl w:val="0"/>
          <w:numId w:val="1033"/>
        </w:numPr>
      </w:pPr>
      <w:r>
        <w:t xml:space="preserve">les seuils de rapprochement ;</w:t>
      </w:r>
    </w:p>
    <w:p>
      <w:pPr>
        <w:pStyle w:val="Compact"/>
        <w:numPr>
          <w:ilvl w:val="0"/>
          <w:numId w:val="1033"/>
        </w:numPr>
      </w:pPr>
      <w:r>
        <w:t xml:space="preserve">la stratégie de golden record ;</w:t>
      </w:r>
    </w:p>
    <w:p>
      <w:pPr>
        <w:pStyle w:val="Compact"/>
        <w:numPr>
          <w:ilvl w:val="0"/>
          <w:numId w:val="1033"/>
        </w:numPr>
      </w:pPr>
      <w:r>
        <w:t xml:space="preserve">les procédures de fusion ;</w:t>
      </w:r>
    </w:p>
    <w:p>
      <w:pPr>
        <w:pStyle w:val="Compact"/>
        <w:numPr>
          <w:ilvl w:val="0"/>
          <w:numId w:val="1033"/>
        </w:numPr>
      </w:pPr>
      <w:r>
        <w:t xml:space="preserve">les contrôles humains ;</w:t>
      </w:r>
    </w:p>
    <w:p>
      <w:pPr>
        <w:pStyle w:val="Compact"/>
        <w:numPr>
          <w:ilvl w:val="0"/>
          <w:numId w:val="1033"/>
        </w:numPr>
      </w:pPr>
      <w:r>
        <w:t xml:space="preserve">le traitement des identités temporaires ;</w:t>
      </w:r>
    </w:p>
    <w:p>
      <w:pPr>
        <w:pStyle w:val="Compact"/>
        <w:numPr>
          <w:ilvl w:val="0"/>
          <w:numId w:val="1033"/>
        </w:numPr>
      </w:pPr>
      <w:r>
        <w:t xml:space="preserve">le lien juridique avec la CNIE ;</w:t>
      </w:r>
    </w:p>
    <w:p>
      <w:pPr>
        <w:pStyle w:val="Compact"/>
        <w:numPr>
          <w:ilvl w:val="0"/>
          <w:numId w:val="1033"/>
        </w:numPr>
      </w:pPr>
      <w:r>
        <w:t xml:space="preserve">la gestion d’un faux rapprochement.</w:t>
      </w:r>
    </w:p>
    <w:p>
      <w:pPr>
        <w:pStyle w:val="FirstParagraph"/>
      </w:pPr>
      <w:r>
        <w:t xml:space="preserve">Ces règles doivent être définies dans un profil national d’identité santé.</w:t>
      </w:r>
    </w:p>
    <w:bookmarkEnd w:id="74"/>
    <w:bookmarkStart w:id="75" w:name="séparation-des-identités"/>
    <w:p>
      <w:pPr>
        <w:pStyle w:val="Heading2"/>
      </w:pPr>
      <w:r>
        <w:t xml:space="preserve">8. Séparation des identités</w:t>
      </w:r>
    </w:p>
    <w:p>
      <w:pPr>
        <w:pStyle w:val="FirstParagraph"/>
      </w:pPr>
      <w:r>
        <w:t xml:space="preserve">Le PTISN distingue :</w:t>
      </w:r>
    </w:p>
    <w:p>
      <w:pPr>
        <w:pStyle w:val="SourceCode"/>
      </w:pPr>
      <w:r>
        <w:rPr>
          <w:rStyle w:val="VerbatimChar"/>
        </w:rPr>
        <w:t xml:space="preserve">Identité fondationnelle</w:t>
      </w:r>
      <w:r>
        <w:br/>
      </w:r>
      <w:r>
        <w:rPr>
          <w:rStyle w:val="VerbatimChar"/>
        </w:rPr>
        <w:t xml:space="preserve">Preuve qu’une personne existe dans le registre national</w:t>
      </w:r>
      <w:r>
        <w:br/>
      </w:r>
      <w:r>
        <w:rPr>
          <w:rStyle w:val="VerbatimChar"/>
        </w:rPr>
        <w:t xml:space="preserve">                 │</w:t>
      </w:r>
      <w:r>
        <w:br/>
      </w:r>
      <w:r>
        <w:rPr>
          <w:rStyle w:val="VerbatimChar"/>
        </w:rPr>
        <w:t xml:space="preserve">                 ▼</w:t>
      </w:r>
      <w:r>
        <w:br/>
      </w:r>
      <w:r>
        <w:rPr>
          <w:rStyle w:val="VerbatimChar"/>
        </w:rPr>
        <w:t xml:space="preserve">Identité fonctionnelle santé</w:t>
      </w:r>
      <w:r>
        <w:br/>
      </w:r>
      <w:r>
        <w:rPr>
          <w:rStyle w:val="VerbatimChar"/>
        </w:rPr>
        <w:t xml:space="preserve">Identifiant utilisé dans les services de santé</w:t>
      </w:r>
      <w:r>
        <w:br/>
      </w:r>
      <w:r>
        <w:rPr>
          <w:rStyle w:val="VerbatimChar"/>
        </w:rPr>
        <w:t xml:space="preserve">                 │</w:t>
      </w:r>
      <w:r>
        <w:br/>
      </w:r>
      <w:r>
        <w:rPr>
          <w:rStyle w:val="VerbatimChar"/>
        </w:rPr>
        <w:t xml:space="preserve">                 ▼</w:t>
      </w:r>
      <w:r>
        <w:br/>
      </w:r>
      <w:r>
        <w:rPr>
          <w:rStyle w:val="VerbatimChar"/>
        </w:rPr>
        <w:t xml:space="preserve">Identifiants locaux</w:t>
      </w:r>
      <w:r>
        <w:br/>
      </w:r>
      <w:r>
        <w:rPr>
          <w:rStyle w:val="VerbatimChar"/>
        </w:rPr>
        <w:t xml:space="preserve">Dossier hospitalier, centre de santé, programme</w:t>
      </w:r>
    </w:p>
    <w:p>
      <w:pPr>
        <w:pStyle w:val="FirstParagraph"/>
      </w:pPr>
      <w:r>
        <w:t xml:space="preserve">L’identifiant santé ne doit pas nécessairement être identique à l’identifiant fondationnel.</w:t>
      </w:r>
    </w:p>
    <w:p>
      <w:pPr>
        <w:pStyle w:val="BodyText"/>
      </w:pPr>
      <w:r>
        <w:t xml:space="preserve">Le lien entre les deux doit être gouverné, sécurisé et limité à une finalité.</w:t>
      </w:r>
    </w:p>
    <w:p>
      <w:r>
        <w:pict>
          <v:rect style="width:0;height:1.5pt" o:hralign="center" o:hrstd="t" o:hr="t"/>
        </w:pict>
      </w:r>
    </w:p>
    <w:bookmarkEnd w:id="75"/>
    <w:bookmarkEnd w:id="76"/>
    <w:bookmarkStart w:id="84" w:name="Xc2b0c2dfffbd2533dfd355537b5781721c3a96b"/>
    <w:p>
      <w:pPr>
        <w:pStyle w:val="Heading1"/>
      </w:pPr>
      <w:r>
        <w:t xml:space="preserve">PT-05 — Registre des professionnels de santé</w:t>
      </w:r>
    </w:p>
    <w:bookmarkStart w:id="77" w:name="capacité-cnisn-4"/>
    <w:p>
      <w:pPr>
        <w:pStyle w:val="Heading2"/>
      </w:pPr>
      <w:r>
        <w:t xml:space="preserve">1. Capacité CNISN</w:t>
      </w:r>
    </w:p>
    <w:p>
      <w:pPr>
        <w:pStyle w:val="FirstParagraph"/>
      </w:pPr>
      <w:r>
        <w:t xml:space="preserve">Déclinaison de</w:t>
      </w:r>
      <w:r>
        <w:t xml:space="preserve"> </w:t>
      </w:r>
      <w:r>
        <w:rPr>
          <w:b/>
          <w:bCs/>
        </w:rPr>
        <w:t xml:space="preserve">CAP-INT-01</w:t>
      </w:r>
      <w:r>
        <w:t xml:space="preserve">, complétée par les capacités relatives à la gouvernance des professionnels.</w:t>
      </w:r>
    </w:p>
    <w:bookmarkEnd w:id="77"/>
    <w:bookmarkStart w:id="78" w:name="chapitres-art-applicables-4"/>
    <w:p>
      <w:pPr>
        <w:pStyle w:val="Heading2"/>
      </w:pPr>
      <w:r>
        <w:t xml:space="preserve">2. Chapitres ART applicables</w:t>
      </w:r>
    </w:p>
    <w:p>
      <w:pPr>
        <w:pStyle w:val="Compact"/>
        <w:numPr>
          <w:ilvl w:val="0"/>
          <w:numId w:val="1034"/>
        </w:numPr>
      </w:pPr>
      <w:r>
        <w:t xml:space="preserve">ART-4 ;</w:t>
      </w:r>
    </w:p>
    <w:p>
      <w:pPr>
        <w:pStyle w:val="Compact"/>
        <w:numPr>
          <w:ilvl w:val="0"/>
          <w:numId w:val="1034"/>
        </w:numPr>
      </w:pPr>
      <w:r>
        <w:t xml:space="preserve">ART-4b — identité et habilitation professionnelles ;</w:t>
      </w:r>
    </w:p>
    <w:p>
      <w:pPr>
        <w:pStyle w:val="Compact"/>
        <w:numPr>
          <w:ilvl w:val="0"/>
          <w:numId w:val="1034"/>
        </w:numPr>
      </w:pPr>
      <w:r>
        <w:t xml:space="preserve">ART-7.</w:t>
      </w:r>
    </w:p>
    <w:bookmarkEnd w:id="78"/>
    <w:bookmarkStart w:id="79" w:name="service-national-4"/>
    <w:p>
      <w:pPr>
        <w:pStyle w:val="Heading2"/>
      </w:pPr>
      <w:r>
        <w:t xml:space="preserve">3. Service national</w:t>
      </w:r>
    </w:p>
    <w:p>
      <w:pPr>
        <w:pStyle w:val="FirstParagraph"/>
      </w:pPr>
      <w:r>
        <w:rPr>
          <w:b/>
          <w:bCs/>
        </w:rPr>
        <w:t xml:space="preserve">Registre national des professionnels et travailleurs de santé</w:t>
      </w:r>
    </w:p>
    <w:bookmarkEnd w:id="79"/>
    <w:bookmarkStart w:id="80" w:name="responsabilités-1"/>
    <w:p>
      <w:pPr>
        <w:pStyle w:val="Heading2"/>
      </w:pPr>
      <w:r>
        <w:t xml:space="preserve">4. Responsabilités</w:t>
      </w:r>
    </w:p>
    <w:p>
      <w:pPr>
        <w:pStyle w:val="FirstParagraph"/>
      </w:pPr>
      <w:r>
        <w:t xml:space="preserve">Le service doit gérer :</w:t>
      </w:r>
    </w:p>
    <w:p>
      <w:pPr>
        <w:pStyle w:val="Compact"/>
        <w:numPr>
          <w:ilvl w:val="0"/>
          <w:numId w:val="1035"/>
        </w:numPr>
      </w:pPr>
      <w:r>
        <w:t xml:space="preserve">l’identité du professionnel ;</w:t>
      </w:r>
    </w:p>
    <w:p>
      <w:pPr>
        <w:pStyle w:val="Compact"/>
        <w:numPr>
          <w:ilvl w:val="0"/>
          <w:numId w:val="1035"/>
        </w:numPr>
      </w:pPr>
      <w:r>
        <w:t xml:space="preserve">la profession ;</w:t>
      </w:r>
    </w:p>
    <w:p>
      <w:pPr>
        <w:pStyle w:val="Compact"/>
        <w:numPr>
          <w:ilvl w:val="0"/>
          <w:numId w:val="1035"/>
        </w:numPr>
      </w:pPr>
      <w:r>
        <w:t xml:space="preserve">la qualification ;</w:t>
      </w:r>
    </w:p>
    <w:p>
      <w:pPr>
        <w:pStyle w:val="Compact"/>
        <w:numPr>
          <w:ilvl w:val="0"/>
          <w:numId w:val="1035"/>
        </w:numPr>
      </w:pPr>
      <w:r>
        <w:t xml:space="preserve">la spécialité ;</w:t>
      </w:r>
    </w:p>
    <w:p>
      <w:pPr>
        <w:pStyle w:val="Compact"/>
        <w:numPr>
          <w:ilvl w:val="0"/>
          <w:numId w:val="1035"/>
        </w:numPr>
      </w:pPr>
      <w:r>
        <w:t xml:space="preserve">la licence ;</w:t>
      </w:r>
    </w:p>
    <w:p>
      <w:pPr>
        <w:pStyle w:val="Compact"/>
        <w:numPr>
          <w:ilvl w:val="0"/>
          <w:numId w:val="1035"/>
        </w:numPr>
      </w:pPr>
      <w:r>
        <w:t xml:space="preserve">l’ordre ou l’autorité professionnelle ;</w:t>
      </w:r>
    </w:p>
    <w:p>
      <w:pPr>
        <w:pStyle w:val="Compact"/>
        <w:numPr>
          <w:ilvl w:val="0"/>
          <w:numId w:val="1035"/>
        </w:numPr>
      </w:pPr>
      <w:r>
        <w:t xml:space="preserve">l’employeur ;</w:t>
      </w:r>
    </w:p>
    <w:p>
      <w:pPr>
        <w:pStyle w:val="Compact"/>
        <w:numPr>
          <w:ilvl w:val="0"/>
          <w:numId w:val="1035"/>
        </w:numPr>
      </w:pPr>
      <w:r>
        <w:t xml:space="preserve">l’affectation ;</w:t>
      </w:r>
    </w:p>
    <w:p>
      <w:pPr>
        <w:pStyle w:val="Compact"/>
        <w:numPr>
          <w:ilvl w:val="0"/>
          <w:numId w:val="1035"/>
        </w:numPr>
      </w:pPr>
      <w:r>
        <w:t xml:space="preserve">l’établissement ;</w:t>
      </w:r>
    </w:p>
    <w:p>
      <w:pPr>
        <w:pStyle w:val="Compact"/>
        <w:numPr>
          <w:ilvl w:val="0"/>
          <w:numId w:val="1035"/>
        </w:numPr>
      </w:pPr>
      <w:r>
        <w:t xml:space="preserve">la période d’exercice ;</w:t>
      </w:r>
    </w:p>
    <w:p>
      <w:pPr>
        <w:pStyle w:val="Compact"/>
        <w:numPr>
          <w:ilvl w:val="0"/>
          <w:numId w:val="1035"/>
        </w:numPr>
      </w:pPr>
      <w:r>
        <w:t xml:space="preserve">le statut ;</w:t>
      </w:r>
    </w:p>
    <w:p>
      <w:pPr>
        <w:pStyle w:val="Compact"/>
        <w:numPr>
          <w:ilvl w:val="0"/>
          <w:numId w:val="1035"/>
        </w:numPr>
      </w:pPr>
      <w:r>
        <w:t xml:space="preserve">les habilitations métier.</w:t>
      </w:r>
    </w:p>
    <w:bookmarkEnd w:id="80"/>
    <w:bookmarkStart w:id="81" w:name="profil-cible"/>
    <w:p>
      <w:pPr>
        <w:pStyle w:val="Heading2"/>
      </w:pPr>
      <w:r>
        <w:t xml:space="preserve">5. Profil cible</w:t>
      </w:r>
    </w:p>
    <w:p>
      <w:pPr>
        <w:pStyle w:val="FirstParagraph"/>
      </w:pPr>
      <w:r>
        <w:t xml:space="preserve">Le profil mCSD peut être utilisé pour exposer les informations de découverte relatives aux organisations, localisations, services et professionnels, selon le périmètre national retenu. mCSD fournit des interfaces REST adaptées à des environnements fédérés et permet la recherche de ressources liées aux services de santé.</w:t>
      </w:r>
    </w:p>
    <w:bookmarkEnd w:id="81"/>
    <w:bookmarkStart w:id="82" w:name="décisions"/>
    <w:p>
      <w:pPr>
        <w:pStyle w:val="Heading2"/>
      </w:pPr>
      <w:r>
        <w:t xml:space="preserve">6. Décisions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Statut</w:t>
            </w:r>
          </w:p>
        </w:tc>
      </w:tr>
      <w:tr>
        <w:tc>
          <w:tcPr/>
          <w:p>
            <w:pPr>
              <w:pStyle w:val="Compact"/>
            </w:pPr>
            <w:r>
              <w:t xml:space="preserve">Service national HWR</w:t>
            </w:r>
          </w:p>
        </w:tc>
        <w:tc>
          <w:tcPr/>
          <w:p>
            <w:pPr>
              <w:pStyle w:val="Compact"/>
            </w:pPr>
            <w:r>
              <w:t xml:space="preserve">Requis</w:t>
            </w:r>
          </w:p>
        </w:tc>
      </w:tr>
      <w:tr>
        <w:tc>
          <w:tcPr/>
          <w:p>
            <w:pPr>
              <w:pStyle w:val="Compact"/>
            </w:pPr>
            <w:r>
              <w:t xml:space="preserve">Profil d’exposition mCSD</w:t>
            </w:r>
          </w:p>
        </w:tc>
        <w:tc>
          <w:tcPr/>
          <w:p>
            <w:pPr>
              <w:pStyle w:val="Compact"/>
            </w:pPr>
            <w:r>
              <w:t xml:space="preserve">Recommandé</w:t>
            </w:r>
          </w:p>
        </w:tc>
      </w:tr>
      <w:tr>
        <w:tc>
          <w:tcPr/>
          <w:p>
            <w:pPr>
              <w:pStyle w:val="Compact"/>
            </w:pPr>
            <w:r>
              <w:t xml:space="preserve">Produit de registre</w:t>
            </w:r>
          </w:p>
        </w:tc>
        <w:tc>
          <w:tcPr/>
          <w:p>
            <w:pPr>
              <w:pStyle w:val="Compact"/>
            </w:pPr>
            <w:r>
              <w:t xml:space="preserve">À sélectionner</w:t>
            </w:r>
          </w:p>
        </w:tc>
      </w:tr>
      <w:tr>
        <w:tc>
          <w:tcPr/>
          <w:p>
            <w:pPr>
              <w:pStyle w:val="Compact"/>
            </w:pPr>
            <w:r>
              <w:t xml:space="preserve">Modèle métier national</w:t>
            </w:r>
          </w:p>
        </w:tc>
        <w:tc>
          <w:tcPr/>
          <w:p>
            <w:pPr>
              <w:pStyle w:val="Compact"/>
            </w:pPr>
            <w:r>
              <w:t xml:space="preserve">À définir</w:t>
            </w:r>
          </w:p>
        </w:tc>
      </w:tr>
      <w:tr>
        <w:tc>
          <w:tcPr/>
          <w:p>
            <w:pPr>
              <w:pStyle w:val="Compact"/>
            </w:pPr>
            <w:r>
              <w:t xml:space="preserve">Lien avec l’identité fondationnelle</w:t>
            </w:r>
          </w:p>
        </w:tc>
        <w:tc>
          <w:tcPr/>
          <w:p>
            <w:pPr>
              <w:pStyle w:val="Compact"/>
            </w:pPr>
            <w:r>
              <w:t xml:space="preserve">À définir</w:t>
            </w:r>
          </w:p>
        </w:tc>
      </w:tr>
      <w:tr>
        <w:tc>
          <w:tcPr/>
          <w:p>
            <w:pPr>
              <w:pStyle w:val="Compact"/>
            </w:pPr>
            <w:r>
              <w:t xml:space="preserve">Authentification des professionnels</w:t>
            </w:r>
          </w:p>
        </w:tc>
        <w:tc>
          <w:tcPr/>
          <w:p>
            <w:pPr>
              <w:pStyle w:val="Compact"/>
            </w:pPr>
            <w:r>
              <w:t xml:space="preserve">Service distinct</w:t>
            </w:r>
          </w:p>
        </w:tc>
      </w:tr>
    </w:tbl>
    <w:bookmarkEnd w:id="82"/>
    <w:bookmarkStart w:id="83" w:name="principe-de-séparation"/>
    <w:p>
      <w:pPr>
        <w:pStyle w:val="Heading2"/>
      </w:pPr>
      <w:r>
        <w:t xml:space="preserve">7. Principe de séparation</w:t>
      </w:r>
    </w:p>
    <w:p>
      <w:pPr>
        <w:pStyle w:val="FirstParagraph"/>
      </w:pPr>
      <w:r>
        <w:t xml:space="preserve">Le registre professionnel ne constitue pas le fournisseur d’authentification.</w:t>
      </w:r>
    </w:p>
    <w:p>
      <w:pPr>
        <w:pStyle w:val="SourceCode"/>
      </w:pPr>
      <w:r>
        <w:rPr>
          <w:rStyle w:val="VerbatimChar"/>
        </w:rPr>
        <w:t xml:space="preserve">Fournisseur d’identité</w:t>
      </w:r>
      <w:r>
        <w:br/>
      </w:r>
      <w:r>
        <w:rPr>
          <w:rStyle w:val="VerbatimChar"/>
        </w:rPr>
        <w:t xml:space="preserve">Authentifie la personne</w:t>
      </w:r>
      <w:r>
        <w:br/>
      </w:r>
      <w:r>
        <w:rPr>
          <w:rStyle w:val="VerbatimChar"/>
        </w:rPr>
        <w:t xml:space="preserve">          │</w:t>
      </w:r>
      <w:r>
        <w:br/>
      </w:r>
      <w:r>
        <w:rPr>
          <w:rStyle w:val="VerbatimChar"/>
        </w:rPr>
        <w:t xml:space="preserve">          ▼</w:t>
      </w:r>
      <w:r>
        <w:br/>
      </w:r>
      <w:r>
        <w:rPr>
          <w:rStyle w:val="VerbatimChar"/>
        </w:rPr>
        <w:t xml:space="preserve">Registre professionnel</w:t>
      </w:r>
      <w:r>
        <w:br/>
      </w:r>
      <w:r>
        <w:rPr>
          <w:rStyle w:val="VerbatimChar"/>
        </w:rPr>
        <w:t xml:space="preserve">Détermine sa qualité et son statut</w:t>
      </w:r>
      <w:r>
        <w:br/>
      </w:r>
      <w:r>
        <w:rPr>
          <w:rStyle w:val="VerbatimChar"/>
        </w:rPr>
        <w:t xml:space="preserve">          │</w:t>
      </w:r>
      <w:r>
        <w:br/>
      </w:r>
      <w:r>
        <w:rPr>
          <w:rStyle w:val="VerbatimChar"/>
        </w:rPr>
        <w:t xml:space="preserve">          ▼</w:t>
      </w:r>
      <w:r>
        <w:br/>
      </w:r>
      <w:r>
        <w:rPr>
          <w:rStyle w:val="VerbatimChar"/>
        </w:rPr>
        <w:t xml:space="preserve">Service d’autorisation</w:t>
      </w:r>
      <w:r>
        <w:br/>
      </w:r>
      <w:r>
        <w:rPr>
          <w:rStyle w:val="VerbatimChar"/>
        </w:rPr>
        <w:t xml:space="preserve">Détermine ce qu’elle peut faire</w:t>
      </w:r>
    </w:p>
    <w:p>
      <w:pPr>
        <w:pStyle w:val="FirstParagraph"/>
      </w:pPr>
      <w:r>
        <w:t xml:space="preserve">Un utilisateur authentifié ne doit pas être considéré comme professionnel habilité sans vérification de son statut dans le registre approprié.</w:t>
      </w:r>
    </w:p>
    <w:p>
      <w:r>
        <w:pict>
          <v:rect style="width:0;height:1.5pt" o:hralign="center" o:hrstd="t" o:hr="t"/>
        </w:pict>
      </w:r>
    </w:p>
    <w:bookmarkEnd w:id="83"/>
    <w:bookmarkEnd w:id="84"/>
    <w:bookmarkStart w:id="93" w:name="Xb91cc3bd34de5ee6a0a2ec336cf19c665685e7b"/>
    <w:p>
      <w:pPr>
        <w:pStyle w:val="Heading1"/>
      </w:pPr>
      <w:r>
        <w:t xml:space="preserve">PT-06 — Référentiel des structures et services de santé</w:t>
      </w:r>
    </w:p>
    <w:bookmarkStart w:id="85" w:name="capacité-cnisn-5"/>
    <w:p>
      <w:pPr>
        <w:pStyle w:val="Heading2"/>
      </w:pPr>
      <w:r>
        <w:t xml:space="preserve">1. Capacité CNISN</w:t>
      </w:r>
    </w:p>
    <w:p>
      <w:pPr>
        <w:pStyle w:val="FirstParagraph"/>
      </w:pPr>
      <w:r>
        <w:rPr>
          <w:b/>
          <w:bCs/>
        </w:rPr>
        <w:t xml:space="preserve">CAP-INT-03 — Référentiel des structures et services de santé</w:t>
      </w:r>
    </w:p>
    <w:bookmarkEnd w:id="85"/>
    <w:bookmarkStart w:id="86" w:name="chapitres-art-applicables-5"/>
    <w:p>
      <w:pPr>
        <w:pStyle w:val="Heading2"/>
      </w:pPr>
      <w:r>
        <w:t xml:space="preserve">2. Chapitres ART applicables</w:t>
      </w:r>
    </w:p>
    <w:p>
      <w:pPr>
        <w:pStyle w:val="Compact"/>
        <w:numPr>
          <w:ilvl w:val="0"/>
          <w:numId w:val="1036"/>
        </w:numPr>
      </w:pPr>
      <w:r>
        <w:t xml:space="preserve">ART-4 ;</w:t>
      </w:r>
    </w:p>
    <w:p>
      <w:pPr>
        <w:pStyle w:val="Compact"/>
        <w:numPr>
          <w:ilvl w:val="0"/>
          <w:numId w:val="1036"/>
        </w:numPr>
      </w:pPr>
      <w:r>
        <w:t xml:space="preserve">ART-5 ;</w:t>
      </w:r>
    </w:p>
    <w:p>
      <w:pPr>
        <w:pStyle w:val="Compact"/>
        <w:numPr>
          <w:ilvl w:val="0"/>
          <w:numId w:val="1036"/>
        </w:numPr>
      </w:pPr>
      <w:r>
        <w:t xml:space="preserve">ART-6 pour les usages analytiques.</w:t>
      </w:r>
    </w:p>
    <w:bookmarkEnd w:id="86"/>
    <w:bookmarkStart w:id="87" w:name="service-national-5"/>
    <w:p>
      <w:pPr>
        <w:pStyle w:val="Heading2"/>
      </w:pPr>
      <w:r>
        <w:t xml:space="preserve">3. Service national</w:t>
      </w:r>
    </w:p>
    <w:p>
      <w:pPr>
        <w:pStyle w:val="FirstParagraph"/>
      </w:pPr>
      <w:r>
        <w:rPr>
          <w:b/>
          <w:bCs/>
        </w:rPr>
        <w:t xml:space="preserve">Référentiel national des formations sanitaires et services de santé</w:t>
      </w:r>
    </w:p>
    <w:bookmarkEnd w:id="87"/>
    <w:bookmarkStart w:id="88" w:name="périmètre"/>
    <w:p>
      <w:pPr>
        <w:pStyle w:val="Heading2"/>
      </w:pPr>
      <w:r>
        <w:t xml:space="preserve">4. Périmètre</w:t>
      </w:r>
    </w:p>
    <w:p>
      <w:pPr>
        <w:pStyle w:val="Compact"/>
        <w:numPr>
          <w:ilvl w:val="0"/>
          <w:numId w:val="1037"/>
        </w:numPr>
      </w:pPr>
      <w:r>
        <w:t xml:space="preserve">formations sanitaires publiques ;</w:t>
      </w:r>
    </w:p>
    <w:p>
      <w:pPr>
        <w:pStyle w:val="Compact"/>
        <w:numPr>
          <w:ilvl w:val="0"/>
          <w:numId w:val="1037"/>
        </w:numPr>
      </w:pPr>
      <w:r>
        <w:t xml:space="preserve">formations sanitaires privées ;</w:t>
      </w:r>
    </w:p>
    <w:p>
      <w:pPr>
        <w:pStyle w:val="Compact"/>
        <w:numPr>
          <w:ilvl w:val="0"/>
          <w:numId w:val="1037"/>
        </w:numPr>
      </w:pPr>
      <w:r>
        <w:t xml:space="preserve">structures communautaires ;</w:t>
      </w:r>
    </w:p>
    <w:p>
      <w:pPr>
        <w:pStyle w:val="Compact"/>
        <w:numPr>
          <w:ilvl w:val="0"/>
          <w:numId w:val="1037"/>
        </w:numPr>
      </w:pPr>
      <w:r>
        <w:t xml:space="preserve">laboratoires ;</w:t>
      </w:r>
    </w:p>
    <w:p>
      <w:pPr>
        <w:pStyle w:val="Compact"/>
        <w:numPr>
          <w:ilvl w:val="0"/>
          <w:numId w:val="1037"/>
        </w:numPr>
      </w:pPr>
      <w:r>
        <w:t xml:space="preserve">pharmacies et dépôts lorsque applicables ;</w:t>
      </w:r>
    </w:p>
    <w:p>
      <w:pPr>
        <w:pStyle w:val="Compact"/>
        <w:numPr>
          <w:ilvl w:val="0"/>
          <w:numId w:val="1037"/>
        </w:numPr>
      </w:pPr>
      <w:r>
        <w:t xml:space="preserve">structures administratives ;</w:t>
      </w:r>
    </w:p>
    <w:p>
      <w:pPr>
        <w:pStyle w:val="Compact"/>
        <w:numPr>
          <w:ilvl w:val="0"/>
          <w:numId w:val="1037"/>
        </w:numPr>
      </w:pPr>
      <w:r>
        <w:t xml:space="preserve">services disponibles ;</w:t>
      </w:r>
    </w:p>
    <w:p>
      <w:pPr>
        <w:pStyle w:val="Compact"/>
        <w:numPr>
          <w:ilvl w:val="0"/>
          <w:numId w:val="1037"/>
        </w:numPr>
      </w:pPr>
      <w:r>
        <w:t xml:space="preserve">localisations ;</w:t>
      </w:r>
    </w:p>
    <w:p>
      <w:pPr>
        <w:pStyle w:val="Compact"/>
        <w:numPr>
          <w:ilvl w:val="0"/>
          <w:numId w:val="1037"/>
        </w:numPr>
      </w:pPr>
      <w:r>
        <w:t xml:space="preserve">coordonnées ;</w:t>
      </w:r>
    </w:p>
    <w:p>
      <w:pPr>
        <w:pStyle w:val="Compact"/>
        <w:numPr>
          <w:ilvl w:val="0"/>
          <w:numId w:val="1037"/>
        </w:numPr>
      </w:pPr>
      <w:r>
        <w:t xml:space="preserve">rattachements ;</w:t>
      </w:r>
    </w:p>
    <w:p>
      <w:pPr>
        <w:pStyle w:val="Compact"/>
        <w:numPr>
          <w:ilvl w:val="0"/>
          <w:numId w:val="1037"/>
        </w:numPr>
      </w:pPr>
      <w:r>
        <w:t xml:space="preserve">périodes d’activité.</w:t>
      </w:r>
    </w:p>
    <w:bookmarkEnd w:id="88"/>
    <w:bookmarkStart w:id="89" w:name="profil-cible-1"/>
    <w:p>
      <w:pPr>
        <w:pStyle w:val="Heading2"/>
      </w:pPr>
      <w:r>
        <w:t xml:space="preserve">5. Profil cible</w:t>
      </w:r>
    </w:p>
    <w:p>
      <w:pPr>
        <w:pStyle w:val="FirstParagraph"/>
      </w:pPr>
      <w:r>
        <w:rPr>
          <w:b/>
          <w:bCs/>
        </w:rPr>
        <w:t xml:space="preserve">IHE mCSD — Mobile Care Services Discovery</w:t>
      </w:r>
    </w:p>
    <w:p>
      <w:pPr>
        <w:pStyle w:val="BodyText"/>
      </w:pPr>
      <w:r>
        <w:t xml:space="preserve">mCSD permet la publication et la recherche d’organisations, localisations, services et autres ressources associées dans des architectures centralisées ou fédérées.</w:t>
      </w:r>
    </w:p>
    <w:bookmarkEnd w:id="89"/>
    <w:bookmarkStart w:id="90" w:name="position-sur-csd"/>
    <w:p>
      <w:pPr>
        <w:pStyle w:val="Heading2"/>
      </w:pPr>
      <w:r>
        <w:t xml:space="preserve">6. Position sur CSD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w:t>
            </w:r>
          </w:p>
        </w:tc>
        <w:tc>
          <w:tcPr/>
          <w:p>
            <w:pPr>
              <w:pStyle w:val="Compact"/>
            </w:pPr>
            <w:r>
              <w:t xml:space="preserve">Position</w:t>
            </w:r>
          </w:p>
        </w:tc>
      </w:tr>
      <w:tr>
        <w:tc>
          <w:tcPr/>
          <w:p>
            <w:pPr>
              <w:pStyle w:val="Compact"/>
            </w:pPr>
            <w:r>
              <w:t xml:space="preserve">mCSD</w:t>
            </w:r>
          </w:p>
        </w:tc>
        <w:tc>
          <w:tcPr/>
          <w:p>
            <w:pPr>
              <w:pStyle w:val="Compact"/>
            </w:pPr>
            <w:r>
              <w:t xml:space="preserve">Profil cible pour les nouveaux services</w:t>
            </w:r>
          </w:p>
        </w:tc>
      </w:tr>
      <w:tr>
        <w:tc>
          <w:tcPr/>
          <w:p>
            <w:pPr>
              <w:pStyle w:val="Compact"/>
            </w:pPr>
            <w:r>
              <w:t xml:space="preserve">CSD</w:t>
            </w:r>
          </w:p>
        </w:tc>
        <w:tc>
          <w:tcPr/>
          <w:p>
            <w:pPr>
              <w:pStyle w:val="Compact"/>
            </w:pPr>
            <w:r>
              <w:t xml:space="preserve">Profil de compatibilité si un système existant le requiert</w:t>
            </w:r>
          </w:p>
        </w:tc>
      </w:tr>
      <w:tr>
        <w:tc>
          <w:tcPr/>
          <w:p>
            <w:pPr>
              <w:pStyle w:val="Compact"/>
            </w:pPr>
            <w:r>
              <w:t xml:space="preserve">Fichiers statiques</w:t>
            </w:r>
          </w:p>
        </w:tc>
        <w:tc>
          <w:tcPr/>
          <w:p>
            <w:pPr>
              <w:pStyle w:val="Compact"/>
            </w:pPr>
            <w:r>
              <w:t xml:space="preserve">Uniquement comme mécanisme transitoire</w:t>
            </w:r>
          </w:p>
        </w:tc>
      </w:tr>
      <w:tr>
        <w:tc>
          <w:tcPr/>
          <w:p>
            <w:pPr>
              <w:pStyle w:val="Compact"/>
            </w:pPr>
            <w:r>
              <w:t xml:space="preserve">Hiérarchie locale indépendante</w:t>
            </w:r>
          </w:p>
        </w:tc>
        <w:tc>
          <w:tcPr/>
          <w:p>
            <w:pPr>
              <w:pStyle w:val="Compact"/>
            </w:pPr>
            <w:r>
              <w:t xml:space="preserve">Ne doit pas être autoritative</w:t>
            </w:r>
          </w:p>
        </w:tc>
      </w:tr>
    </w:tbl>
    <w:bookmarkEnd w:id="90"/>
    <w:bookmarkStart w:id="91" w:name="exigences-nationales"/>
    <w:p>
      <w:pPr>
        <w:pStyle w:val="Heading2"/>
      </w:pPr>
      <w:r>
        <w:t xml:space="preserve">7. Exigences nationales</w:t>
      </w:r>
    </w:p>
    <w:p>
      <w:pPr>
        <w:pStyle w:val="FirstParagraph"/>
      </w:pPr>
      <w:r>
        <w:t xml:space="preserve">Le référentiel doit fournir :</w:t>
      </w:r>
    </w:p>
    <w:p>
      <w:pPr>
        <w:pStyle w:val="Compact"/>
        <w:numPr>
          <w:ilvl w:val="0"/>
          <w:numId w:val="1038"/>
        </w:numPr>
      </w:pPr>
      <w:r>
        <w:t xml:space="preserve">un identifiant national stable ;</w:t>
      </w:r>
    </w:p>
    <w:p>
      <w:pPr>
        <w:pStyle w:val="Compact"/>
        <w:numPr>
          <w:ilvl w:val="0"/>
          <w:numId w:val="1038"/>
        </w:numPr>
      </w:pPr>
      <w:r>
        <w:t xml:space="preserve">l’historique des changements ;</w:t>
      </w:r>
    </w:p>
    <w:p>
      <w:pPr>
        <w:pStyle w:val="Compact"/>
        <w:numPr>
          <w:ilvl w:val="0"/>
          <w:numId w:val="1038"/>
        </w:numPr>
      </w:pPr>
      <w:r>
        <w:t xml:space="preserve">la période de validité ;</w:t>
      </w:r>
    </w:p>
    <w:p>
      <w:pPr>
        <w:pStyle w:val="Compact"/>
        <w:numPr>
          <w:ilvl w:val="0"/>
          <w:numId w:val="1038"/>
        </w:numPr>
      </w:pPr>
      <w:r>
        <w:t xml:space="preserve">le rattachement administratif ;</w:t>
      </w:r>
    </w:p>
    <w:p>
      <w:pPr>
        <w:pStyle w:val="Compact"/>
        <w:numPr>
          <w:ilvl w:val="0"/>
          <w:numId w:val="1038"/>
        </w:numPr>
      </w:pPr>
      <w:r>
        <w:t xml:space="preserve">les services fournis ;</w:t>
      </w:r>
    </w:p>
    <w:p>
      <w:pPr>
        <w:pStyle w:val="Compact"/>
        <w:numPr>
          <w:ilvl w:val="0"/>
          <w:numId w:val="1038"/>
        </w:numPr>
      </w:pPr>
      <w:r>
        <w:t xml:space="preserve">la localisation ;</w:t>
      </w:r>
    </w:p>
    <w:p>
      <w:pPr>
        <w:pStyle w:val="Compact"/>
        <w:numPr>
          <w:ilvl w:val="0"/>
          <w:numId w:val="1038"/>
        </w:numPr>
      </w:pPr>
      <w:r>
        <w:t xml:space="preserve">le statut ;</w:t>
      </w:r>
    </w:p>
    <w:p>
      <w:pPr>
        <w:pStyle w:val="Compact"/>
        <w:numPr>
          <w:ilvl w:val="0"/>
          <w:numId w:val="1038"/>
        </w:numPr>
      </w:pPr>
      <w:r>
        <w:t xml:space="preserve">les correspondances avec les identifiants historiques.</w:t>
      </w:r>
    </w:p>
    <w:bookmarkEnd w:id="91"/>
    <w:bookmarkStart w:id="92" w:name="cas-dhis2"/>
    <w:p>
      <w:pPr>
        <w:pStyle w:val="Heading2"/>
      </w:pPr>
      <w:r>
        <w:t xml:space="preserve">8. Cas DHIS2</w:t>
      </w:r>
    </w:p>
    <w:p>
      <w:pPr>
        <w:pStyle w:val="FirstParagraph"/>
      </w:pPr>
      <w:r>
        <w:t xml:space="preserve">Les différentes instances DHIS2 doivent résoudre leurs unités organisationnelles contre le référentiel national.</w:t>
      </w:r>
    </w:p>
    <w:p>
      <w:pPr>
        <w:pStyle w:val="BodyText"/>
      </w:pPr>
      <w:r>
        <w:t xml:space="preserve">Les correspondances entre identifiants DHIS2 et identifiants nationaux doivent être :</w:t>
      </w:r>
    </w:p>
    <w:p>
      <w:pPr>
        <w:pStyle w:val="Compact"/>
        <w:numPr>
          <w:ilvl w:val="0"/>
          <w:numId w:val="1039"/>
        </w:numPr>
      </w:pPr>
      <w:r>
        <w:t xml:space="preserve">explicites ;</w:t>
      </w:r>
    </w:p>
    <w:p>
      <w:pPr>
        <w:pStyle w:val="Compact"/>
        <w:numPr>
          <w:ilvl w:val="0"/>
          <w:numId w:val="1039"/>
        </w:numPr>
      </w:pPr>
      <w:r>
        <w:t xml:space="preserve">versionnées ;</w:t>
      </w:r>
    </w:p>
    <w:p>
      <w:pPr>
        <w:pStyle w:val="Compact"/>
        <w:numPr>
          <w:ilvl w:val="0"/>
          <w:numId w:val="1039"/>
        </w:numPr>
      </w:pPr>
      <w:r>
        <w:t xml:space="preserve">datées ;</w:t>
      </w:r>
    </w:p>
    <w:p>
      <w:pPr>
        <w:pStyle w:val="Compact"/>
        <w:numPr>
          <w:ilvl w:val="0"/>
          <w:numId w:val="1039"/>
        </w:numPr>
      </w:pPr>
      <w:r>
        <w:t xml:space="preserve">réconciliées ;</w:t>
      </w:r>
    </w:p>
    <w:p>
      <w:pPr>
        <w:pStyle w:val="Compact"/>
        <w:numPr>
          <w:ilvl w:val="0"/>
          <w:numId w:val="1039"/>
        </w:numPr>
      </w:pPr>
      <w:r>
        <w:t xml:space="preserve">gouvernées.</w:t>
      </w:r>
    </w:p>
    <w:p>
      <w:r>
        <w:pict>
          <v:rect style="width:0;height:1.5pt" o:hralign="center" o:hrstd="t" o:hr="t"/>
        </w:pict>
      </w:r>
    </w:p>
    <w:bookmarkEnd w:id="92"/>
    <w:bookmarkEnd w:id="93"/>
    <w:bookmarkStart w:id="102" w:name="X33acd9b79affe09764f77b73e87fc4f09d9b4ec"/>
    <w:p>
      <w:pPr>
        <w:pStyle w:val="Heading1"/>
      </w:pPr>
      <w:r>
        <w:t xml:space="preserve">PT-07 — Terminologie et codification communes</w:t>
      </w:r>
    </w:p>
    <w:bookmarkStart w:id="94" w:name="capacité-cnisn-6"/>
    <w:p>
      <w:pPr>
        <w:pStyle w:val="Heading2"/>
      </w:pPr>
      <w:r>
        <w:t xml:space="preserve">1. Capacité CNISN</w:t>
      </w:r>
    </w:p>
    <w:p>
      <w:pPr>
        <w:pStyle w:val="FirstParagraph"/>
      </w:pPr>
      <w:r>
        <w:rPr>
          <w:b/>
          <w:bCs/>
        </w:rPr>
        <w:t xml:space="preserve">CAP-INT-04 — Terminologie et codification communes</w:t>
      </w:r>
    </w:p>
    <w:bookmarkEnd w:id="94"/>
    <w:bookmarkStart w:id="95" w:name="chapitres-art-applicables-6"/>
    <w:p>
      <w:pPr>
        <w:pStyle w:val="Heading2"/>
      </w:pPr>
      <w:r>
        <w:t xml:space="preserve">2. Chapitres ART applicables</w:t>
      </w:r>
    </w:p>
    <w:p>
      <w:pPr>
        <w:pStyle w:val="Compact"/>
        <w:numPr>
          <w:ilvl w:val="0"/>
          <w:numId w:val="1040"/>
        </w:numPr>
      </w:pPr>
      <w:r>
        <w:t xml:space="preserve">ART-2 — normalisation sémantique ;</w:t>
      </w:r>
    </w:p>
    <w:p>
      <w:pPr>
        <w:pStyle w:val="Compact"/>
        <w:numPr>
          <w:ilvl w:val="0"/>
          <w:numId w:val="1040"/>
        </w:numPr>
      </w:pPr>
      <w:r>
        <w:t xml:space="preserve">ART-4 — référentiels ;</w:t>
      </w:r>
    </w:p>
    <w:p>
      <w:pPr>
        <w:pStyle w:val="Compact"/>
        <w:numPr>
          <w:ilvl w:val="0"/>
          <w:numId w:val="1040"/>
        </w:numPr>
      </w:pPr>
      <w:r>
        <w:t xml:space="preserve">ART-5 — qualité.</w:t>
      </w:r>
    </w:p>
    <w:bookmarkEnd w:id="95"/>
    <w:bookmarkStart w:id="96" w:name="service-national-6"/>
    <w:p>
      <w:pPr>
        <w:pStyle w:val="Heading2"/>
      </w:pPr>
      <w:r>
        <w:t xml:space="preserve">3. Service national</w:t>
      </w:r>
    </w:p>
    <w:p>
      <w:pPr>
        <w:pStyle w:val="FirstParagraph"/>
      </w:pPr>
      <w:r>
        <w:rPr>
          <w:b/>
          <w:bCs/>
        </w:rPr>
        <w:t xml:space="preserve">Service terminologique national de santé</w:t>
      </w:r>
    </w:p>
    <w:bookmarkEnd w:id="96"/>
    <w:bookmarkStart w:id="97" w:name="responsabilités-2"/>
    <w:p>
      <w:pPr>
        <w:pStyle w:val="Heading2"/>
      </w:pPr>
      <w:r>
        <w:t xml:space="preserve">4. Responsabilités</w:t>
      </w:r>
    </w:p>
    <w:p>
      <w:pPr>
        <w:pStyle w:val="FirstParagraph"/>
      </w:pPr>
      <w:r>
        <w:t xml:space="preserve">Le service doit permettre :</w:t>
      </w:r>
    </w:p>
    <w:p>
      <w:pPr>
        <w:pStyle w:val="Compact"/>
        <w:numPr>
          <w:ilvl w:val="0"/>
          <w:numId w:val="1041"/>
        </w:numPr>
      </w:pPr>
      <w:r>
        <w:t xml:space="preserve">la consultation d’un système de codes ;</w:t>
      </w:r>
    </w:p>
    <w:p>
      <w:pPr>
        <w:pStyle w:val="Compact"/>
        <w:numPr>
          <w:ilvl w:val="0"/>
          <w:numId w:val="1041"/>
        </w:numPr>
      </w:pPr>
      <w:r>
        <w:t xml:space="preserve">la consultation d’un ensemble de valeurs ;</w:t>
      </w:r>
    </w:p>
    <w:p>
      <w:pPr>
        <w:pStyle w:val="Compact"/>
        <w:numPr>
          <w:ilvl w:val="0"/>
          <w:numId w:val="1041"/>
        </w:numPr>
      </w:pPr>
      <w:r>
        <w:t xml:space="preserve">l’expansion d’un ensemble de valeurs ;</w:t>
      </w:r>
    </w:p>
    <w:p>
      <w:pPr>
        <w:pStyle w:val="Compact"/>
        <w:numPr>
          <w:ilvl w:val="0"/>
          <w:numId w:val="1041"/>
        </w:numPr>
      </w:pPr>
      <w:r>
        <w:t xml:space="preserve">la validation d’un code ;</w:t>
      </w:r>
    </w:p>
    <w:p>
      <w:pPr>
        <w:pStyle w:val="Compact"/>
        <w:numPr>
          <w:ilvl w:val="0"/>
          <w:numId w:val="1041"/>
        </w:numPr>
      </w:pPr>
      <w:r>
        <w:t xml:space="preserve">la recherche d’un concept ;</w:t>
      </w:r>
    </w:p>
    <w:p>
      <w:pPr>
        <w:pStyle w:val="Compact"/>
        <w:numPr>
          <w:ilvl w:val="0"/>
          <w:numId w:val="1041"/>
        </w:numPr>
      </w:pPr>
      <w:r>
        <w:t xml:space="preserve">la traduction entre systèmes de codes ;</w:t>
      </w:r>
    </w:p>
    <w:p>
      <w:pPr>
        <w:pStyle w:val="Compact"/>
        <w:numPr>
          <w:ilvl w:val="0"/>
          <w:numId w:val="1041"/>
        </w:numPr>
      </w:pPr>
      <w:r>
        <w:t xml:space="preserve">la publication de mappings ;</w:t>
      </w:r>
    </w:p>
    <w:p>
      <w:pPr>
        <w:pStyle w:val="Compact"/>
        <w:numPr>
          <w:ilvl w:val="0"/>
          <w:numId w:val="1041"/>
        </w:numPr>
      </w:pPr>
      <w:r>
        <w:t xml:space="preserve">la gestion des versions ;</w:t>
      </w:r>
    </w:p>
    <w:p>
      <w:pPr>
        <w:pStyle w:val="Compact"/>
        <w:numPr>
          <w:ilvl w:val="0"/>
          <w:numId w:val="1041"/>
        </w:numPr>
      </w:pPr>
      <w:r>
        <w:t xml:space="preserve">la dépréciation des concepts.</w:t>
      </w:r>
    </w:p>
    <w:bookmarkEnd w:id="97"/>
    <w:bookmarkStart w:id="98" w:name="profil-cible-2"/>
    <w:p>
      <w:pPr>
        <w:pStyle w:val="Heading2"/>
      </w:pPr>
      <w:r>
        <w:t xml:space="preserve">5. Profil cible</w:t>
      </w:r>
    </w:p>
    <w:p>
      <w:pPr>
        <w:pStyle w:val="FirstParagraph"/>
      </w:pPr>
      <w:r>
        <w:rPr>
          <w:b/>
          <w:bCs/>
        </w:rPr>
        <w:t xml:space="preserve">IHE SVCM — Sharing Valuesets, Codes, and Maps</w:t>
      </w:r>
    </w:p>
    <w:p>
      <w:pPr>
        <w:pStyle w:val="BodyText"/>
      </w:pPr>
      <w:r>
        <w:t xml:space="preserve">SVCM définit une interface légère, fondée sur FHIR, pour récupérer des nomenclatures, ensembles de valeurs et correspondances centralement gérés. Il prévoit notamment la consultation, l’expansion, la validation et la traduction de codes.</w:t>
      </w:r>
    </w:p>
    <w:bookmarkEnd w:id="98"/>
    <w:bookmarkStart w:id="99" w:name="ressources-de-base"/>
    <w:p>
      <w:pPr>
        <w:pStyle w:val="Heading2"/>
      </w:pPr>
      <w:r>
        <w:t xml:space="preserve">6. Ressources de base</w:t>
      </w:r>
    </w:p>
    <w:p>
      <w:pPr>
        <w:pStyle w:val="Compact"/>
        <w:numPr>
          <w:ilvl w:val="0"/>
          <w:numId w:val="1042"/>
        </w:numPr>
      </w:pPr>
      <w:r>
        <w:rPr>
          <w:rStyle w:val="VerbatimChar"/>
        </w:rPr>
        <w:t xml:space="preserve">CodeSystem</w:t>
      </w:r>
      <w:r>
        <w:t xml:space="preserve"> </w:t>
      </w:r>
      <w:r>
        <w:t xml:space="preserve">;</w:t>
      </w:r>
    </w:p>
    <w:p>
      <w:pPr>
        <w:pStyle w:val="Compact"/>
        <w:numPr>
          <w:ilvl w:val="0"/>
          <w:numId w:val="1042"/>
        </w:numPr>
      </w:pPr>
      <w:r>
        <w:rPr>
          <w:rStyle w:val="VerbatimChar"/>
        </w:rPr>
        <w:t xml:space="preserve">ValueSet</w:t>
      </w:r>
      <w:r>
        <w:t xml:space="preserve"> </w:t>
      </w:r>
      <w:r>
        <w:t xml:space="preserve">;</w:t>
      </w:r>
    </w:p>
    <w:p>
      <w:pPr>
        <w:pStyle w:val="Compact"/>
        <w:numPr>
          <w:ilvl w:val="0"/>
          <w:numId w:val="1042"/>
        </w:numPr>
      </w:pPr>
      <w:r>
        <w:rPr>
          <w:rStyle w:val="VerbatimChar"/>
        </w:rPr>
        <w:t xml:space="preserve">ConceptMap</w:t>
      </w:r>
      <w:r>
        <w:t xml:space="preserve">.</w:t>
      </w:r>
    </w:p>
    <w:bookmarkEnd w:id="99"/>
    <w:bookmarkStart w:id="100" w:name="décisions-1"/>
    <w:p>
      <w:pPr>
        <w:pStyle w:val="Heading2"/>
      </w:pPr>
      <w:r>
        <w:t xml:space="preserve">7. Décisions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Statut</w:t>
            </w:r>
          </w:p>
        </w:tc>
      </w:tr>
      <w:tr>
        <w:tc>
          <w:tcPr/>
          <w:p>
            <w:pPr>
              <w:pStyle w:val="Compact"/>
            </w:pPr>
            <w:r>
              <w:t xml:space="preserve">SVCM</w:t>
            </w:r>
          </w:p>
        </w:tc>
        <w:tc>
          <w:tcPr/>
          <w:p>
            <w:pPr>
              <w:pStyle w:val="Compact"/>
            </w:pPr>
            <w:r>
              <w:t xml:space="preserve">Recommandé</w:t>
            </w:r>
          </w:p>
        </w:tc>
      </w:tr>
      <w:tr>
        <w:tc>
          <w:tcPr/>
          <w:p>
            <w:pPr>
              <w:pStyle w:val="Compact"/>
            </w:pPr>
            <w:r>
              <w:t xml:space="preserve">Service terminologique national</w:t>
            </w:r>
          </w:p>
        </w:tc>
        <w:tc>
          <w:tcPr/>
          <w:p>
            <w:pPr>
              <w:pStyle w:val="Compact"/>
            </w:pPr>
            <w:r>
              <w:t xml:space="preserve">Requis</w:t>
            </w:r>
          </w:p>
        </w:tc>
      </w:tr>
      <w:tr>
        <w:tc>
          <w:tcPr/>
          <w:p>
            <w:pPr>
              <w:pStyle w:val="Compact"/>
            </w:pPr>
            <w:r>
              <w:t xml:space="preserve">Produit serveur terminologique</w:t>
            </w:r>
          </w:p>
        </w:tc>
        <w:tc>
          <w:tcPr/>
          <w:p>
            <w:pPr>
              <w:pStyle w:val="Compact"/>
            </w:pPr>
            <w:r>
              <w:t xml:space="preserve">À sélectionner</w:t>
            </w:r>
          </w:p>
        </w:tc>
      </w:tr>
      <w:tr>
        <w:tc>
          <w:tcPr/>
          <w:p>
            <w:pPr>
              <w:pStyle w:val="Compact"/>
            </w:pPr>
            <w:r>
              <w:t xml:space="preserve">Catalogue national des terminologies</w:t>
            </w:r>
          </w:p>
        </w:tc>
        <w:tc>
          <w:tcPr/>
          <w:p>
            <w:pPr>
              <w:pStyle w:val="Compact"/>
            </w:pPr>
            <w:r>
              <w:t xml:space="preserve">À constituer</w:t>
            </w:r>
          </w:p>
        </w:tc>
      </w:tr>
      <w:tr>
        <w:tc>
          <w:tcPr/>
          <w:p>
            <w:pPr>
              <w:pStyle w:val="Compact"/>
            </w:pPr>
            <w:r>
              <w:t xml:space="preserve">Extensions nationales</w:t>
            </w:r>
          </w:p>
        </w:tc>
        <w:tc>
          <w:tcPr/>
          <w:p>
            <w:pPr>
              <w:pStyle w:val="Compact"/>
            </w:pPr>
            <w:r>
              <w:t xml:space="preserve">À gouverner</w:t>
            </w:r>
          </w:p>
        </w:tc>
      </w:tr>
    </w:tbl>
    <w:bookmarkEnd w:id="100"/>
    <w:bookmarkStart w:id="101" w:name="terminologies-concernées"/>
    <w:p>
      <w:pPr>
        <w:pStyle w:val="Heading2"/>
      </w:pPr>
      <w:r>
        <w:t xml:space="preserve">8. Terminologies concernées</w:t>
      </w:r>
    </w:p>
    <w:p>
      <w:pPr>
        <w:pStyle w:val="FirstParagraph"/>
      </w:pPr>
      <w:r>
        <w:t xml:space="preserve">Le service peut gérer :</w:t>
      </w:r>
    </w:p>
    <w:p>
      <w:pPr>
        <w:pStyle w:val="Compact"/>
        <w:numPr>
          <w:ilvl w:val="0"/>
          <w:numId w:val="1043"/>
        </w:numPr>
      </w:pPr>
      <w:r>
        <w:t xml:space="preserve">diagnostics ;</w:t>
      </w:r>
    </w:p>
    <w:p>
      <w:pPr>
        <w:pStyle w:val="Compact"/>
        <w:numPr>
          <w:ilvl w:val="0"/>
          <w:numId w:val="1043"/>
        </w:numPr>
      </w:pPr>
      <w:r>
        <w:t xml:space="preserve">actes ;</w:t>
      </w:r>
    </w:p>
    <w:p>
      <w:pPr>
        <w:pStyle w:val="Compact"/>
        <w:numPr>
          <w:ilvl w:val="0"/>
          <w:numId w:val="1043"/>
        </w:numPr>
      </w:pPr>
      <w:r>
        <w:t xml:space="preserve">résultats de laboratoire ;</w:t>
      </w:r>
    </w:p>
    <w:p>
      <w:pPr>
        <w:pStyle w:val="Compact"/>
        <w:numPr>
          <w:ilvl w:val="0"/>
          <w:numId w:val="1043"/>
        </w:numPr>
      </w:pPr>
      <w:r>
        <w:t xml:space="preserve">produits de santé ;</w:t>
      </w:r>
    </w:p>
    <w:p>
      <w:pPr>
        <w:pStyle w:val="Compact"/>
        <w:numPr>
          <w:ilvl w:val="0"/>
          <w:numId w:val="1043"/>
        </w:numPr>
      </w:pPr>
      <w:r>
        <w:t xml:space="preserve">types de structures ;</w:t>
      </w:r>
    </w:p>
    <w:p>
      <w:pPr>
        <w:pStyle w:val="Compact"/>
        <w:numPr>
          <w:ilvl w:val="0"/>
          <w:numId w:val="1043"/>
        </w:numPr>
      </w:pPr>
      <w:r>
        <w:t xml:space="preserve">professions ;</w:t>
      </w:r>
    </w:p>
    <w:p>
      <w:pPr>
        <w:pStyle w:val="Compact"/>
        <w:numPr>
          <w:ilvl w:val="0"/>
          <w:numId w:val="1043"/>
        </w:numPr>
      </w:pPr>
      <w:r>
        <w:t xml:space="preserve">spécialités ;</w:t>
      </w:r>
    </w:p>
    <w:p>
      <w:pPr>
        <w:pStyle w:val="Compact"/>
        <w:numPr>
          <w:ilvl w:val="0"/>
          <w:numId w:val="1043"/>
        </w:numPr>
      </w:pPr>
      <w:r>
        <w:t xml:space="preserve">programmes ;</w:t>
      </w:r>
    </w:p>
    <w:p>
      <w:pPr>
        <w:pStyle w:val="Compact"/>
        <w:numPr>
          <w:ilvl w:val="0"/>
          <w:numId w:val="1043"/>
        </w:numPr>
      </w:pPr>
      <w:r>
        <w:t xml:space="preserve">indicateurs ;</w:t>
      </w:r>
    </w:p>
    <w:p>
      <w:pPr>
        <w:pStyle w:val="Compact"/>
        <w:numPr>
          <w:ilvl w:val="0"/>
          <w:numId w:val="1043"/>
        </w:numPr>
      </w:pPr>
      <w:r>
        <w:t xml:space="preserve">classifications nationales.</w:t>
      </w:r>
    </w:p>
    <w:p>
      <w:pPr>
        <w:pStyle w:val="FirstParagraph"/>
      </w:pPr>
      <w:r>
        <w:t xml:space="preserve">L’adoption d’une terminologie internationale doit être précédée d’une évaluation :</w:t>
      </w:r>
    </w:p>
    <w:p>
      <w:pPr>
        <w:pStyle w:val="Compact"/>
        <w:numPr>
          <w:ilvl w:val="0"/>
          <w:numId w:val="1044"/>
        </w:numPr>
      </w:pPr>
      <w:r>
        <w:t xml:space="preserve">des besoins nationaux ;</w:t>
      </w:r>
    </w:p>
    <w:p>
      <w:pPr>
        <w:pStyle w:val="Compact"/>
        <w:numPr>
          <w:ilvl w:val="0"/>
          <w:numId w:val="1044"/>
        </w:numPr>
      </w:pPr>
      <w:r>
        <w:t xml:space="preserve">de la langue ;</w:t>
      </w:r>
    </w:p>
    <w:p>
      <w:pPr>
        <w:pStyle w:val="Compact"/>
        <w:numPr>
          <w:ilvl w:val="0"/>
          <w:numId w:val="1044"/>
        </w:numPr>
      </w:pPr>
      <w:r>
        <w:t xml:space="preserve">des licences ;</w:t>
      </w:r>
    </w:p>
    <w:p>
      <w:pPr>
        <w:pStyle w:val="Compact"/>
        <w:numPr>
          <w:ilvl w:val="0"/>
          <w:numId w:val="1044"/>
        </w:numPr>
      </w:pPr>
      <w:r>
        <w:t xml:space="preserve">de la capacité d’exploitation ;</w:t>
      </w:r>
    </w:p>
    <w:p>
      <w:pPr>
        <w:pStyle w:val="Compact"/>
        <w:numPr>
          <w:ilvl w:val="0"/>
          <w:numId w:val="1044"/>
        </w:numPr>
      </w:pPr>
      <w:r>
        <w:t xml:space="preserve">des mappings nécessaires ;</w:t>
      </w:r>
    </w:p>
    <w:p>
      <w:pPr>
        <w:pStyle w:val="Compact"/>
        <w:numPr>
          <w:ilvl w:val="0"/>
          <w:numId w:val="1044"/>
        </w:numPr>
      </w:pPr>
      <w:r>
        <w:t xml:space="preserve">de la compatibilité avec les systèmes existants.</w:t>
      </w:r>
    </w:p>
    <w:p>
      <w:r>
        <w:pict>
          <v:rect style="width:0;height:1.5pt" o:hralign="center" o:hrstd="t" o:hr="t"/>
        </w:pict>
      </w:r>
    </w:p>
    <w:bookmarkEnd w:id="101"/>
    <w:bookmarkEnd w:id="102"/>
    <w:bookmarkStart w:id="111" w:name="X8dc36139b5acdba4c9e355cd4b6086038fd7c63"/>
    <w:p>
      <w:pPr>
        <w:pStyle w:val="Heading1"/>
      </w:pPr>
      <w:r>
        <w:t xml:space="preserve">PT-08 — Échange de données sanitaires agrégées</w:t>
      </w:r>
    </w:p>
    <w:bookmarkStart w:id="103" w:name="capacités-cnisn"/>
    <w:p>
      <w:pPr>
        <w:pStyle w:val="Heading2"/>
      </w:pPr>
      <w:r>
        <w:t xml:space="preserve">1. Capacités CNISN</w:t>
      </w:r>
    </w:p>
    <w:p>
      <w:pPr>
        <w:pStyle w:val="Compact"/>
        <w:numPr>
          <w:ilvl w:val="0"/>
          <w:numId w:val="1045"/>
        </w:numPr>
      </w:pPr>
      <w:r>
        <w:rPr>
          <w:b/>
          <w:bCs/>
        </w:rPr>
        <w:t xml:space="preserve">CAP-INT-02 — échange et médiation</w:t>
      </w:r>
      <w:r>
        <w:t xml:space="preserve"> </w:t>
      </w:r>
      <w:r>
        <w:t xml:space="preserve">;</w:t>
      </w:r>
    </w:p>
    <w:p>
      <w:pPr>
        <w:pStyle w:val="Compact"/>
        <w:numPr>
          <w:ilvl w:val="0"/>
          <w:numId w:val="1045"/>
        </w:numPr>
      </w:pPr>
      <w:r>
        <w:t xml:space="preserve">contribution à</w:t>
      </w:r>
      <w:r>
        <w:t xml:space="preserve"> </w:t>
      </w:r>
      <w:r>
        <w:rPr>
          <w:b/>
          <w:bCs/>
        </w:rPr>
        <w:t xml:space="preserve">CAP-INT-05 — restitution analytique nationale</w:t>
      </w:r>
      <w:r>
        <w:t xml:space="preserve">.</w:t>
      </w:r>
    </w:p>
    <w:bookmarkEnd w:id="103"/>
    <w:bookmarkStart w:id="104" w:name="chapitres-art-applicables-7"/>
    <w:p>
      <w:pPr>
        <w:pStyle w:val="Heading2"/>
      </w:pPr>
      <w:r>
        <w:t xml:space="preserve">2. Chapitres ART applicables</w:t>
      </w:r>
    </w:p>
    <w:p>
      <w:pPr>
        <w:pStyle w:val="Compact"/>
        <w:numPr>
          <w:ilvl w:val="0"/>
          <w:numId w:val="1046"/>
        </w:numPr>
      </w:pPr>
      <w:r>
        <w:t xml:space="preserve">ART-1 ;</w:t>
      </w:r>
    </w:p>
    <w:p>
      <w:pPr>
        <w:pStyle w:val="Compact"/>
        <w:numPr>
          <w:ilvl w:val="0"/>
          <w:numId w:val="1046"/>
        </w:numPr>
      </w:pPr>
      <w:r>
        <w:t xml:space="preserve">ART-2 ;</w:t>
      </w:r>
    </w:p>
    <w:p>
      <w:pPr>
        <w:pStyle w:val="Compact"/>
        <w:numPr>
          <w:ilvl w:val="0"/>
          <w:numId w:val="1046"/>
        </w:numPr>
      </w:pPr>
      <w:r>
        <w:t xml:space="preserve">ART-5 ;</w:t>
      </w:r>
    </w:p>
    <w:p>
      <w:pPr>
        <w:pStyle w:val="Compact"/>
        <w:numPr>
          <w:ilvl w:val="0"/>
          <w:numId w:val="1046"/>
        </w:numPr>
      </w:pPr>
      <w:r>
        <w:t xml:space="preserve">ART-6.</w:t>
      </w:r>
    </w:p>
    <w:bookmarkEnd w:id="104"/>
    <w:bookmarkStart w:id="105" w:name="service-national-7"/>
    <w:p>
      <w:pPr>
        <w:pStyle w:val="Heading2"/>
      </w:pPr>
      <w:r>
        <w:t xml:space="preserve">3. Service national</w:t>
      </w:r>
    </w:p>
    <w:p>
      <w:pPr>
        <w:pStyle w:val="FirstParagraph"/>
      </w:pPr>
      <w:r>
        <w:rPr>
          <w:b/>
          <w:bCs/>
        </w:rPr>
        <w:t xml:space="preserve">Service d’échange de rapports et indicateurs sanitaires agrégés</w:t>
      </w:r>
    </w:p>
    <w:bookmarkEnd w:id="105"/>
    <w:bookmarkStart w:id="106" w:name="cas-dusage"/>
    <w:p>
      <w:pPr>
        <w:pStyle w:val="Heading2"/>
      </w:pPr>
      <w:r>
        <w:t xml:space="preserve">4. Cas d’usage</w:t>
      </w:r>
    </w:p>
    <w:p>
      <w:pPr>
        <w:pStyle w:val="Compact"/>
        <w:numPr>
          <w:ilvl w:val="0"/>
          <w:numId w:val="1047"/>
        </w:numPr>
      </w:pPr>
      <w:r>
        <w:t xml:space="preserve">rapports mensuels d’activité ;</w:t>
      </w:r>
    </w:p>
    <w:p>
      <w:pPr>
        <w:pStyle w:val="Compact"/>
        <w:numPr>
          <w:ilvl w:val="0"/>
          <w:numId w:val="1047"/>
        </w:numPr>
      </w:pPr>
      <w:r>
        <w:t xml:space="preserve">rapports hebdomadaires ;</w:t>
      </w:r>
    </w:p>
    <w:p>
      <w:pPr>
        <w:pStyle w:val="Compact"/>
        <w:numPr>
          <w:ilvl w:val="0"/>
          <w:numId w:val="1047"/>
        </w:numPr>
      </w:pPr>
      <w:r>
        <w:t xml:space="preserve">rapports trimestriels ;</w:t>
      </w:r>
    </w:p>
    <w:p>
      <w:pPr>
        <w:pStyle w:val="Compact"/>
        <w:numPr>
          <w:ilvl w:val="0"/>
          <w:numId w:val="1047"/>
        </w:numPr>
      </w:pPr>
      <w:r>
        <w:t xml:space="preserve">indicateurs de programme ;</w:t>
      </w:r>
    </w:p>
    <w:p>
      <w:pPr>
        <w:pStyle w:val="Compact"/>
        <w:numPr>
          <w:ilvl w:val="0"/>
          <w:numId w:val="1047"/>
        </w:numPr>
      </w:pPr>
      <w:r>
        <w:t xml:space="preserve">remontée communautaire ;</w:t>
      </w:r>
    </w:p>
    <w:p>
      <w:pPr>
        <w:pStyle w:val="Compact"/>
        <w:numPr>
          <w:ilvl w:val="0"/>
          <w:numId w:val="1047"/>
        </w:numPr>
      </w:pPr>
      <w:r>
        <w:t xml:space="preserve">reporting international ;</w:t>
      </w:r>
    </w:p>
    <w:p>
      <w:pPr>
        <w:pStyle w:val="Compact"/>
        <w:numPr>
          <w:ilvl w:val="0"/>
          <w:numId w:val="1047"/>
        </w:numPr>
      </w:pPr>
      <w:r>
        <w:t xml:space="preserve">transmission établissement-district ;</w:t>
      </w:r>
    </w:p>
    <w:p>
      <w:pPr>
        <w:pStyle w:val="Compact"/>
        <w:numPr>
          <w:ilvl w:val="0"/>
          <w:numId w:val="1047"/>
        </w:numPr>
      </w:pPr>
      <w:r>
        <w:t xml:space="preserve">échange entre systèmes de collecte et entrepôt national.</w:t>
      </w:r>
    </w:p>
    <w:bookmarkEnd w:id="106"/>
    <w:bookmarkStart w:id="107" w:name="profil-cible-3"/>
    <w:p>
      <w:pPr>
        <w:pStyle w:val="Heading2"/>
      </w:pPr>
      <w:r>
        <w:t xml:space="preserve">5. Profil cible</w:t>
      </w:r>
    </w:p>
    <w:p>
      <w:pPr>
        <w:pStyle w:val="FirstParagraph"/>
      </w:pPr>
      <w:r>
        <w:rPr>
          <w:b/>
          <w:bCs/>
        </w:rPr>
        <w:t xml:space="preserve">IHE mADX — Mobile Aggregate Data Exchange</w:t>
      </w:r>
    </w:p>
    <w:p>
      <w:pPr>
        <w:pStyle w:val="BodyText"/>
      </w:pPr>
      <w:r>
        <w:t xml:space="preserve">mADX est conçu pour l’échange interopérable de données agrégées de santé publique, notamment les rapports périodiques produits par les établissements et transmis à une juridiction administrative. Il est présenté comme fonctionnellement équivalent à ADX pour ces usages, tout en reposant sur FHIR.</w:t>
      </w:r>
    </w:p>
    <w:bookmarkEnd w:id="107"/>
    <w:bookmarkStart w:id="108" w:name="positionnement"/>
    <w:p>
      <w:pPr>
        <w:pStyle w:val="Heading2"/>
      </w:pPr>
      <w:r>
        <w:t xml:space="preserve">6. Positionnement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Profil</w:t>
            </w:r>
          </w:p>
        </w:tc>
        <w:tc>
          <w:tcPr/>
          <w:p>
            <w:pPr>
              <w:pStyle w:val="Compact"/>
            </w:pPr>
            <w:r>
              <w:t xml:space="preserve">Position</w:t>
            </w:r>
          </w:p>
        </w:tc>
      </w:tr>
      <w:tr>
        <w:tc>
          <w:tcPr/>
          <w:p>
            <w:pPr>
              <w:pStyle w:val="Compact"/>
            </w:pPr>
            <w:r>
              <w:t xml:space="preserve">mADX</w:t>
            </w:r>
          </w:p>
        </w:tc>
        <w:tc>
          <w:tcPr/>
          <w:p>
            <w:pPr>
              <w:pStyle w:val="Compact"/>
            </w:pPr>
            <w:r>
              <w:t xml:space="preserve">Profil cible pour les nouvelles interfaces</w:t>
            </w:r>
          </w:p>
        </w:tc>
      </w:tr>
      <w:tr>
        <w:tc>
          <w:tcPr/>
          <w:p>
            <w:pPr>
              <w:pStyle w:val="Compact"/>
            </w:pPr>
            <w:r>
              <w:t xml:space="preserve">ADX</w:t>
            </w:r>
          </w:p>
        </w:tc>
        <w:tc>
          <w:tcPr/>
          <w:p>
            <w:pPr>
              <w:pStyle w:val="Compact"/>
            </w:pPr>
            <w:r>
              <w:t xml:space="preserve">Compatibilité avec les implémentations existantes</w:t>
            </w:r>
          </w:p>
        </w:tc>
      </w:tr>
      <w:tr>
        <w:tc>
          <w:tcPr/>
          <w:p>
            <w:pPr>
              <w:pStyle w:val="Compact"/>
            </w:pPr>
            <w:r>
              <w:t xml:space="preserve">Export CSV non profilé</w:t>
            </w:r>
          </w:p>
        </w:tc>
        <w:tc>
          <w:tcPr/>
          <w:p>
            <w:pPr>
              <w:pStyle w:val="Compact"/>
            </w:pPr>
            <w:r>
              <w:t xml:space="preserve">Transitoire, non recommandé comme contrat national</w:t>
            </w:r>
          </w:p>
        </w:tc>
      </w:tr>
      <w:tr>
        <w:tc>
          <w:tcPr/>
          <w:p>
            <w:pPr>
              <w:pStyle w:val="Compact"/>
            </w:pPr>
            <w:r>
              <w:t xml:space="preserve">API propriétaire</w:t>
            </w:r>
          </w:p>
        </w:tc>
        <w:tc>
          <w:tcPr/>
          <w:p>
            <w:pPr>
              <w:pStyle w:val="Compact"/>
            </w:pPr>
            <w:r>
              <w:t xml:space="preserve">Doit être médiée vers le profil national</w:t>
            </w:r>
          </w:p>
        </w:tc>
      </w:tr>
    </w:tbl>
    <w:bookmarkEnd w:id="108"/>
    <w:bookmarkStart w:id="109" w:name="relation-avec-la-terminologie"/>
    <w:p>
      <w:pPr>
        <w:pStyle w:val="Heading2"/>
      </w:pPr>
      <w:r>
        <w:t xml:space="preserve">7. Relation avec la terminologie</w:t>
      </w:r>
    </w:p>
    <w:p>
      <w:pPr>
        <w:pStyle w:val="FirstParagraph"/>
      </w:pPr>
      <w:r>
        <w:t xml:space="preserve">mADX est un profil d’échange de données agrégées.</w:t>
      </w:r>
    </w:p>
    <w:p>
      <w:pPr>
        <w:pStyle w:val="BodyText"/>
      </w:pPr>
      <w:r>
        <w:t xml:space="preserve">Il ne remplace pas le service terminologique.</w:t>
      </w:r>
    </w:p>
    <w:p>
      <w:pPr>
        <w:pStyle w:val="BodyText"/>
      </w:pPr>
      <w:r>
        <w:t xml:space="preserve">Les codes et dimensions utilisés dans un rapport agrégé doivent être résolus par :</w:t>
      </w:r>
    </w:p>
    <w:p>
      <w:pPr>
        <w:pStyle w:val="Compact"/>
        <w:numPr>
          <w:ilvl w:val="0"/>
          <w:numId w:val="1048"/>
        </w:numPr>
      </w:pPr>
      <w:r>
        <w:t xml:space="preserve">le service terminologique ;</w:t>
      </w:r>
    </w:p>
    <w:p>
      <w:pPr>
        <w:pStyle w:val="Compact"/>
        <w:numPr>
          <w:ilvl w:val="0"/>
          <w:numId w:val="1048"/>
        </w:numPr>
      </w:pPr>
      <w:r>
        <w:t xml:space="preserve">le référentiel des structures ;</w:t>
      </w:r>
    </w:p>
    <w:p>
      <w:pPr>
        <w:pStyle w:val="Compact"/>
        <w:numPr>
          <w:ilvl w:val="0"/>
          <w:numId w:val="1048"/>
        </w:numPr>
      </w:pPr>
      <w:r>
        <w:t xml:space="preserve">les définitions d’indicateurs ;</w:t>
      </w:r>
    </w:p>
    <w:p>
      <w:pPr>
        <w:pStyle w:val="Compact"/>
        <w:numPr>
          <w:ilvl w:val="0"/>
          <w:numId w:val="1048"/>
        </w:numPr>
      </w:pPr>
      <w:r>
        <w:t xml:space="preserve">les périodes et dimensions publiées.</w:t>
      </w:r>
    </w:p>
    <w:bookmarkEnd w:id="109"/>
    <w:bookmarkStart w:id="110" w:name="relation-avec-la-plateforme-rma"/>
    <w:p>
      <w:pPr>
        <w:pStyle w:val="Heading2"/>
      </w:pPr>
      <w:r>
        <w:t xml:space="preserve">8. Relation avec la plateforme RMA</w:t>
      </w:r>
    </w:p>
    <w:p>
      <w:pPr>
        <w:pStyle w:val="FirstParagraph"/>
      </w:pPr>
      <w:r>
        <w:t xml:space="preserve">La plateforme nationale de traçabilité RMA constitue une première initiative d’application des contrats ART relatifs :</w:t>
      </w:r>
    </w:p>
    <w:p>
      <w:pPr>
        <w:pStyle w:val="Compact"/>
        <w:numPr>
          <w:ilvl w:val="0"/>
          <w:numId w:val="1049"/>
        </w:numPr>
      </w:pPr>
      <w:r>
        <w:t xml:space="preserve">à l’ingestion ;</w:t>
      </w:r>
    </w:p>
    <w:p>
      <w:pPr>
        <w:pStyle w:val="Compact"/>
        <w:numPr>
          <w:ilvl w:val="0"/>
          <w:numId w:val="1049"/>
        </w:numPr>
      </w:pPr>
      <w:r>
        <w:t xml:space="preserve">à l’historisation ;</w:t>
      </w:r>
    </w:p>
    <w:p>
      <w:pPr>
        <w:pStyle w:val="Compact"/>
        <w:numPr>
          <w:ilvl w:val="0"/>
          <w:numId w:val="1049"/>
        </w:numPr>
      </w:pPr>
      <w:r>
        <w:t xml:space="preserve">à la qualité ;</w:t>
      </w:r>
    </w:p>
    <w:p>
      <w:pPr>
        <w:pStyle w:val="Compact"/>
        <w:numPr>
          <w:ilvl w:val="0"/>
          <w:numId w:val="1049"/>
        </w:numPr>
      </w:pPr>
      <w:r>
        <w:t xml:space="preserve">à la réconciliation ;</w:t>
      </w:r>
    </w:p>
    <w:p>
      <w:pPr>
        <w:pStyle w:val="Compact"/>
        <w:numPr>
          <w:ilvl w:val="0"/>
          <w:numId w:val="1049"/>
        </w:numPr>
      </w:pPr>
      <w:r>
        <w:t xml:space="preserve">à l’analytique.</w:t>
      </w:r>
    </w:p>
    <w:p>
      <w:pPr>
        <w:pStyle w:val="FirstParagraph"/>
      </w:pPr>
      <w:r>
        <w:t xml:space="preserve">Le profil mADX doit être évalué comme contrat cible d’entrée et de sortie pour les données agrégées, indépendamment du format interne du système opérationnel.</w:t>
      </w:r>
    </w:p>
    <w:p>
      <w:r>
        <w:pict>
          <v:rect style="width:0;height:1.5pt" o:hralign="center" o:hrstd="t" o:hr="t"/>
        </w:pict>
      </w:r>
    </w:p>
    <w:bookmarkEnd w:id="110"/>
    <w:bookmarkEnd w:id="111"/>
    <w:bookmarkStart w:id="119" w:name="X833e51a79d197ee522b1a42e869d65de9176aae"/>
    <w:p>
      <w:pPr>
        <w:pStyle w:val="Heading1"/>
      </w:pPr>
      <w:r>
        <w:t xml:space="preserve">PT-09 — Analytique et exposition des données nationales</w:t>
      </w:r>
    </w:p>
    <w:bookmarkStart w:id="112" w:name="capacité-cnisn-7"/>
    <w:p>
      <w:pPr>
        <w:pStyle w:val="Heading2"/>
      </w:pPr>
      <w:r>
        <w:t xml:space="preserve">1. Capacité CNISN</w:t>
      </w:r>
    </w:p>
    <w:p>
      <w:pPr>
        <w:pStyle w:val="FirstParagraph"/>
      </w:pPr>
      <w:r>
        <w:rPr>
          <w:b/>
          <w:bCs/>
        </w:rPr>
        <w:t xml:space="preserve">CAP-INT-05 — Restitution analytique nationale</w:t>
      </w:r>
    </w:p>
    <w:bookmarkEnd w:id="112"/>
    <w:bookmarkStart w:id="113" w:name="chapitres-art-applicables-8"/>
    <w:p>
      <w:pPr>
        <w:pStyle w:val="Heading2"/>
      </w:pPr>
      <w:r>
        <w:t xml:space="preserve">2. Chapitres ART applicables</w:t>
      </w:r>
    </w:p>
    <w:p>
      <w:pPr>
        <w:pStyle w:val="Compact"/>
        <w:numPr>
          <w:ilvl w:val="0"/>
          <w:numId w:val="1050"/>
        </w:numPr>
      </w:pPr>
      <w:r>
        <w:t xml:space="preserve">ART-3 selon le profil retenu ;</w:t>
      </w:r>
    </w:p>
    <w:p>
      <w:pPr>
        <w:pStyle w:val="Compact"/>
        <w:numPr>
          <w:ilvl w:val="0"/>
          <w:numId w:val="1050"/>
        </w:numPr>
      </w:pPr>
      <w:r>
        <w:t xml:space="preserve">ART-5 ;</w:t>
      </w:r>
    </w:p>
    <w:p>
      <w:pPr>
        <w:pStyle w:val="Compact"/>
        <w:numPr>
          <w:ilvl w:val="0"/>
          <w:numId w:val="1050"/>
        </w:numPr>
      </w:pPr>
      <w:r>
        <w:t xml:space="preserve">ART-6 ;</w:t>
      </w:r>
    </w:p>
    <w:p>
      <w:pPr>
        <w:pStyle w:val="Compact"/>
        <w:numPr>
          <w:ilvl w:val="0"/>
          <w:numId w:val="1050"/>
        </w:numPr>
      </w:pPr>
      <w:r>
        <w:t xml:space="preserve">ART-7.</w:t>
      </w:r>
    </w:p>
    <w:bookmarkEnd w:id="113"/>
    <w:bookmarkStart w:id="114" w:name="services-nationaux-1"/>
    <w:p>
      <w:pPr>
        <w:pStyle w:val="Heading2"/>
      </w:pPr>
      <w:r>
        <w:t xml:space="preserve">3. Services nationaux</w:t>
      </w:r>
    </w:p>
    <w:p>
      <w:pPr>
        <w:pStyle w:val="Compact"/>
        <w:numPr>
          <w:ilvl w:val="0"/>
          <w:numId w:val="1051"/>
        </w:numPr>
      </w:pPr>
      <w:r>
        <w:t xml:space="preserve">entrepôt analytique national ;</w:t>
      </w:r>
    </w:p>
    <w:p>
      <w:pPr>
        <w:pStyle w:val="Compact"/>
        <w:numPr>
          <w:ilvl w:val="0"/>
          <w:numId w:val="1051"/>
        </w:numPr>
      </w:pPr>
      <w:r>
        <w:t xml:space="preserve">service d’indicateurs ;</w:t>
      </w:r>
    </w:p>
    <w:p>
      <w:pPr>
        <w:pStyle w:val="Compact"/>
        <w:numPr>
          <w:ilvl w:val="0"/>
          <w:numId w:val="1051"/>
        </w:numPr>
      </w:pPr>
      <w:r>
        <w:t xml:space="preserve">service de consultation des données agrégées ;</w:t>
      </w:r>
    </w:p>
    <w:p>
      <w:pPr>
        <w:pStyle w:val="Compact"/>
        <w:numPr>
          <w:ilvl w:val="0"/>
          <w:numId w:val="1051"/>
        </w:numPr>
      </w:pPr>
      <w:r>
        <w:t xml:space="preserve">service de qualité ;</w:t>
      </w:r>
    </w:p>
    <w:p>
      <w:pPr>
        <w:pStyle w:val="Compact"/>
        <w:numPr>
          <w:ilvl w:val="0"/>
          <w:numId w:val="1051"/>
        </w:numPr>
      </w:pPr>
      <w:r>
        <w:t xml:space="preserve">service de réconciliation ;</w:t>
      </w:r>
    </w:p>
    <w:p>
      <w:pPr>
        <w:pStyle w:val="Compact"/>
        <w:numPr>
          <w:ilvl w:val="0"/>
          <w:numId w:val="1051"/>
        </w:numPr>
      </w:pPr>
      <w:r>
        <w:t xml:space="preserve">service de tableaux de bord ;</w:t>
      </w:r>
    </w:p>
    <w:p>
      <w:pPr>
        <w:pStyle w:val="Compact"/>
        <w:numPr>
          <w:ilvl w:val="0"/>
          <w:numId w:val="1051"/>
        </w:numPr>
      </w:pPr>
      <w:r>
        <w:t xml:space="preserve">service de publication de jeux de données autorisés.</w:t>
      </w:r>
    </w:p>
    <w:bookmarkEnd w:id="114"/>
    <w:bookmarkStart w:id="115" w:name="patrons-applicables"/>
    <w:p>
      <w:pPr>
        <w:pStyle w:val="Heading2"/>
      </w:pPr>
      <w:r>
        <w:t xml:space="preserve">4. Patrons applicables</w:t>
      </w:r>
    </w:p>
    <w:p>
      <w:pPr>
        <w:pStyle w:val="FirstParagraph"/>
      </w:pPr>
      <w:r>
        <w:t xml:space="preserve">Les initiatives peuvent appliquer :</w:t>
      </w:r>
    </w:p>
    <w:p>
      <w:pPr>
        <w:pStyle w:val="Compact"/>
        <w:numPr>
          <w:ilvl w:val="0"/>
          <w:numId w:val="1052"/>
        </w:numPr>
      </w:pPr>
      <w:r>
        <w:t xml:space="preserve">séparation lecture-écriture ;</w:t>
      </w:r>
    </w:p>
    <w:p>
      <w:pPr>
        <w:pStyle w:val="Compact"/>
        <w:numPr>
          <w:ilvl w:val="0"/>
          <w:numId w:val="1052"/>
        </w:numPr>
      </w:pPr>
      <w:r>
        <w:t xml:space="preserve">projections tabulaires ;</w:t>
      </w:r>
    </w:p>
    <w:p>
      <w:pPr>
        <w:pStyle w:val="Compact"/>
        <w:numPr>
          <w:ilvl w:val="0"/>
          <w:numId w:val="1052"/>
        </w:numPr>
      </w:pPr>
      <w:r>
        <w:t xml:space="preserve">modèles historiques ;</w:t>
      </w:r>
    </w:p>
    <w:p>
      <w:pPr>
        <w:pStyle w:val="Compact"/>
        <w:numPr>
          <w:ilvl w:val="0"/>
          <w:numId w:val="1052"/>
        </w:numPr>
      </w:pPr>
      <w:r>
        <w:t xml:space="preserve">modèles d’état courant ;</w:t>
      </w:r>
    </w:p>
    <w:p>
      <w:pPr>
        <w:pStyle w:val="Compact"/>
        <w:numPr>
          <w:ilvl w:val="0"/>
          <w:numId w:val="1052"/>
        </w:numPr>
      </w:pPr>
      <w:r>
        <w:t xml:space="preserve">modèles spatio-temporels ;</w:t>
      </w:r>
    </w:p>
    <w:p>
      <w:pPr>
        <w:pStyle w:val="Compact"/>
        <w:numPr>
          <w:ilvl w:val="0"/>
          <w:numId w:val="1052"/>
        </w:numPr>
      </w:pPr>
      <w:r>
        <w:t xml:space="preserve">historisation événementielle lorsque justifiée.</w:t>
      </w:r>
    </w:p>
    <w:p>
      <w:pPr>
        <w:pStyle w:val="FirstParagraph"/>
      </w:pPr>
      <w:r>
        <w:t xml:space="preserve">Le choix du patron est défini dans l’ART et dans le profil d’applicabilité de l’initiative.</w:t>
      </w:r>
    </w:p>
    <w:bookmarkEnd w:id="115"/>
    <w:bookmarkStart w:id="116" w:name="standards-dexposition"/>
    <w:p>
      <w:pPr>
        <w:pStyle w:val="Heading2"/>
      </w:pPr>
      <w:r>
        <w:t xml:space="preserve">5. Standards d’exposition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Usage</w:t>
            </w:r>
          </w:p>
        </w:tc>
        <w:tc>
          <w:tcPr/>
          <w:p>
            <w:pPr>
              <w:pStyle w:val="Compact"/>
            </w:pPr>
            <w:r>
              <w:t xml:space="preserve">Standard ou profil recommandé</w:t>
            </w:r>
          </w:p>
        </w:tc>
      </w:tr>
      <w:tr>
        <w:tc>
          <w:tcPr/>
          <w:p>
            <w:pPr>
              <w:pStyle w:val="Compact"/>
            </w:pPr>
            <w:r>
              <w:t xml:space="preserve">Données agrégées structurées</w:t>
            </w:r>
          </w:p>
        </w:tc>
        <w:tc>
          <w:tcPr/>
          <w:p>
            <w:pPr>
              <w:pStyle w:val="Compact"/>
            </w:pPr>
            <w:r>
              <w:t xml:space="preserve">mADX</w:t>
            </w:r>
          </w:p>
        </w:tc>
      </w:tr>
      <w:tr>
        <w:tc>
          <w:tcPr/>
          <w:p>
            <w:pPr>
              <w:pStyle w:val="Compact"/>
            </w:pPr>
            <w:r>
              <w:t xml:space="preserve">API de consultation</w:t>
            </w:r>
          </w:p>
        </w:tc>
        <w:tc>
          <w:tcPr/>
          <w:p>
            <w:pPr>
              <w:pStyle w:val="Compact"/>
            </w:pPr>
            <w:r>
              <w:t xml:space="preserve">REST/OpenAPI</w:t>
            </w:r>
          </w:p>
        </w:tc>
      </w:tr>
      <w:tr>
        <w:tc>
          <w:tcPr/>
          <w:p>
            <w:pPr>
              <w:pStyle w:val="Compact"/>
            </w:pPr>
            <w:r>
              <w:t xml:space="preserve">Ressources de santé</w:t>
            </w:r>
          </w:p>
        </w:tc>
        <w:tc>
          <w:tcPr/>
          <w:p>
            <w:pPr>
              <w:pStyle w:val="Compact"/>
            </w:pPr>
            <w:r>
              <w:t xml:space="preserve">HL7 FHIR lorsque applicable</w:t>
            </w:r>
          </w:p>
        </w:tc>
      </w:tr>
      <w:tr>
        <w:tc>
          <w:tcPr/>
          <w:p>
            <w:pPr>
              <w:pStyle w:val="Compact"/>
            </w:pPr>
            <w:r>
              <w:t xml:space="preserve">Métadonnées</w:t>
            </w:r>
          </w:p>
        </w:tc>
        <w:tc>
          <w:tcPr/>
          <w:p>
            <w:pPr>
              <w:pStyle w:val="Compact"/>
            </w:pPr>
            <w:r>
              <w:t xml:space="preserve">mCSD, SVCM ou profils nationaux</w:t>
            </w:r>
          </w:p>
        </w:tc>
      </w:tr>
      <w:tr>
        <w:tc>
          <w:tcPr/>
          <w:p>
            <w:pPr>
              <w:pStyle w:val="Compact"/>
            </w:pPr>
            <w:r>
              <w:t xml:space="preserve">Export tabulaire</w:t>
            </w:r>
          </w:p>
        </w:tc>
        <w:tc>
          <w:tcPr/>
          <w:p>
            <w:pPr>
              <w:pStyle w:val="Compact"/>
            </w:pPr>
            <w:r>
              <w:t xml:space="preserve">Format ouvert, documenté et versionné</w:t>
            </w:r>
          </w:p>
        </w:tc>
      </w:tr>
      <w:tr>
        <w:tc>
          <w:tcPr/>
          <w:p>
            <w:pPr>
              <w:pStyle w:val="Compact"/>
            </w:pPr>
            <w:r>
              <w:t xml:space="preserve">Catalogue de données</w:t>
            </w:r>
          </w:p>
        </w:tc>
        <w:tc>
          <w:tcPr/>
          <w:p>
            <w:pPr>
              <w:pStyle w:val="Compact"/>
            </w:pPr>
            <w:r>
              <w:t xml:space="preserve">Profil national à définir</w:t>
            </w:r>
          </w:p>
        </w:tc>
      </w:tr>
    </w:tbl>
    <w:bookmarkEnd w:id="116"/>
    <w:bookmarkStart w:id="117" w:name="produits"/>
    <w:p>
      <w:pPr>
        <w:pStyle w:val="Heading2"/>
      </w:pPr>
      <w:r>
        <w:t xml:space="preserve">6. Produits</w:t>
      </w:r>
    </w:p>
    <w:p>
      <w:pPr>
        <w:pStyle w:val="FirstParagraph"/>
      </w:pPr>
      <w:r>
        <w:t xml:space="preserve">Le PTISN ne retient pas, à ce stade, de produit national unique pour :</w:t>
      </w:r>
    </w:p>
    <w:p>
      <w:pPr>
        <w:pStyle w:val="Compact"/>
        <w:numPr>
          <w:ilvl w:val="0"/>
          <w:numId w:val="1053"/>
        </w:numPr>
      </w:pPr>
      <w:r>
        <w:t xml:space="preserve">l’entrepôt analytique ;</w:t>
      </w:r>
    </w:p>
    <w:p>
      <w:pPr>
        <w:pStyle w:val="Compact"/>
        <w:numPr>
          <w:ilvl w:val="0"/>
          <w:numId w:val="1053"/>
        </w:numPr>
      </w:pPr>
      <w:r>
        <w:t xml:space="preserve">la visualisation ;</w:t>
      </w:r>
    </w:p>
    <w:p>
      <w:pPr>
        <w:pStyle w:val="Compact"/>
        <w:numPr>
          <w:ilvl w:val="0"/>
          <w:numId w:val="1053"/>
        </w:numPr>
      </w:pPr>
      <w:r>
        <w:t xml:space="preserve">le moteur de projection ;</w:t>
      </w:r>
    </w:p>
    <w:p>
      <w:pPr>
        <w:pStyle w:val="Compact"/>
        <w:numPr>
          <w:ilvl w:val="0"/>
          <w:numId w:val="1053"/>
        </w:numPr>
      </w:pPr>
      <w:r>
        <w:t xml:space="preserve">l’historisation événementielle.</w:t>
      </w:r>
    </w:p>
    <w:p>
      <w:pPr>
        <w:pStyle w:val="FirstParagraph"/>
      </w:pPr>
      <w:r>
        <w:t xml:space="preserve">Ces choix relèvent :</w:t>
      </w:r>
    </w:p>
    <w:p>
      <w:pPr>
        <w:pStyle w:val="Compact"/>
        <w:numPr>
          <w:ilvl w:val="0"/>
          <w:numId w:val="1054"/>
        </w:numPr>
      </w:pPr>
      <w:r>
        <w:t xml:space="preserve">de l’architecture de solution ;</w:t>
      </w:r>
    </w:p>
    <w:p>
      <w:pPr>
        <w:pStyle w:val="Compact"/>
        <w:numPr>
          <w:ilvl w:val="0"/>
          <w:numId w:val="1054"/>
        </w:numPr>
      </w:pPr>
      <w:r>
        <w:t xml:space="preserve">de l’analyse comparative ;</w:t>
      </w:r>
    </w:p>
    <w:p>
      <w:pPr>
        <w:pStyle w:val="Compact"/>
        <w:numPr>
          <w:ilvl w:val="0"/>
          <w:numId w:val="1054"/>
        </w:numPr>
      </w:pPr>
      <w:r>
        <w:t xml:space="preserve">de l’homologation ;</w:t>
      </w:r>
    </w:p>
    <w:p>
      <w:pPr>
        <w:pStyle w:val="Compact"/>
        <w:numPr>
          <w:ilvl w:val="0"/>
          <w:numId w:val="1054"/>
        </w:numPr>
      </w:pPr>
      <w:r>
        <w:t xml:space="preserve">des exigences de performance ;</w:t>
      </w:r>
    </w:p>
    <w:p>
      <w:pPr>
        <w:pStyle w:val="Compact"/>
        <w:numPr>
          <w:ilvl w:val="0"/>
          <w:numId w:val="1054"/>
        </w:numPr>
      </w:pPr>
      <w:r>
        <w:t xml:space="preserve">du coût total de possession.</w:t>
      </w:r>
    </w:p>
    <w:bookmarkEnd w:id="117"/>
    <w:bookmarkStart w:id="118" w:name="première-implémentation"/>
    <w:p>
      <w:pPr>
        <w:pStyle w:val="Heading2"/>
      </w:pPr>
      <w:r>
        <w:t xml:space="preserve">7. Première implémentation</w:t>
      </w:r>
    </w:p>
    <w:p>
      <w:pPr>
        <w:pStyle w:val="FirstParagraph"/>
      </w:pPr>
      <w:r>
        <w:t xml:space="preserve">La plateforme de traçabilité RMA est reconnue comme</w:t>
      </w:r>
      <w:r>
        <w:t xml:space="preserve"> </w:t>
      </w:r>
      <w:r>
        <w:rPr>
          <w:b/>
          <w:bCs/>
        </w:rPr>
        <w:t xml:space="preserve">première initiative de validation</w:t>
      </w:r>
      <w:r>
        <w:t xml:space="preserve"> </w:t>
      </w:r>
      <w:r>
        <w:t xml:space="preserve">du profil analytique national.</w:t>
      </w:r>
    </w:p>
    <w:p>
      <w:pPr>
        <w:pStyle w:val="BodyText"/>
      </w:pPr>
      <w:r>
        <w:t xml:space="preserve">Son architecture ne devient pas automatiquement obligatoire pour toutes les initiatives.</w:t>
      </w:r>
    </w:p>
    <w:p>
      <w:r>
        <w:pict>
          <v:rect style="width:0;height:1.5pt" o:hralign="center" o:hrstd="t" o:hr="t"/>
        </w:pict>
      </w:r>
    </w:p>
    <w:bookmarkEnd w:id="118"/>
    <w:bookmarkEnd w:id="119"/>
    <w:bookmarkStart w:id="126" w:name="X13b010545fe815507cd21e9b703dcbc821e8e9a"/>
    <w:p>
      <w:pPr>
        <w:pStyle w:val="Heading1"/>
      </w:pPr>
      <w:r>
        <w:t xml:space="preserve">PT-10 — Confiance, authentification et autorisation</w:t>
      </w:r>
    </w:p>
    <w:bookmarkStart w:id="120" w:name="capacité-cnisn-8"/>
    <w:p>
      <w:pPr>
        <w:pStyle w:val="Heading2"/>
      </w:pPr>
      <w:r>
        <w:t xml:space="preserve">1. Capacité CNISN</w:t>
      </w:r>
    </w:p>
    <w:p>
      <w:pPr>
        <w:pStyle w:val="FirstParagraph"/>
      </w:pPr>
      <w:r>
        <w:rPr>
          <w:b/>
          <w:bCs/>
        </w:rPr>
        <w:t xml:space="preserve">CAP-INT-06 — Confiance, sécurité et gestion du consentement</w:t>
      </w:r>
    </w:p>
    <w:bookmarkEnd w:id="120"/>
    <w:bookmarkStart w:id="121" w:name="chapitres-art-applicables-9"/>
    <w:p>
      <w:pPr>
        <w:pStyle w:val="Heading2"/>
      </w:pPr>
      <w:r>
        <w:t xml:space="preserve">2. Chapitres ART applicables</w:t>
      </w:r>
    </w:p>
    <w:p>
      <w:pPr>
        <w:pStyle w:val="Compact"/>
        <w:numPr>
          <w:ilvl w:val="0"/>
          <w:numId w:val="1055"/>
        </w:numPr>
      </w:pPr>
      <w:r>
        <w:t xml:space="preserve">ART-0 ;</w:t>
      </w:r>
    </w:p>
    <w:p>
      <w:pPr>
        <w:pStyle w:val="Compact"/>
        <w:numPr>
          <w:ilvl w:val="0"/>
          <w:numId w:val="1055"/>
        </w:numPr>
      </w:pPr>
      <w:r>
        <w:t xml:space="preserve">ART-4c ;</w:t>
      </w:r>
    </w:p>
    <w:p>
      <w:pPr>
        <w:pStyle w:val="Compact"/>
        <w:numPr>
          <w:ilvl w:val="0"/>
          <w:numId w:val="1055"/>
        </w:numPr>
      </w:pPr>
      <w:r>
        <w:t xml:space="preserve">ART-7 ;</w:t>
      </w:r>
    </w:p>
    <w:p>
      <w:pPr>
        <w:pStyle w:val="Compact"/>
        <w:numPr>
          <w:ilvl w:val="0"/>
          <w:numId w:val="1055"/>
        </w:numPr>
      </w:pPr>
      <w:r>
        <w:t xml:space="preserve">ART-9 lorsque applicable.</w:t>
      </w:r>
    </w:p>
    <w:bookmarkEnd w:id="121"/>
    <w:bookmarkStart w:id="122" w:name="services-nationaux-2"/>
    <w:p>
      <w:pPr>
        <w:pStyle w:val="Heading2"/>
      </w:pPr>
      <w:r>
        <w:t xml:space="preserve">3. Services nationaux</w:t>
      </w:r>
    </w:p>
    <w:p>
      <w:pPr>
        <w:pStyle w:val="Compact"/>
        <w:numPr>
          <w:ilvl w:val="0"/>
          <w:numId w:val="1056"/>
        </w:numPr>
      </w:pPr>
      <w:r>
        <w:t xml:space="preserve">fournisseur d’identité sectoriel ou fédéré ;</w:t>
      </w:r>
    </w:p>
    <w:p>
      <w:pPr>
        <w:pStyle w:val="Compact"/>
        <w:numPr>
          <w:ilvl w:val="0"/>
          <w:numId w:val="1056"/>
        </w:numPr>
      </w:pPr>
      <w:r>
        <w:t xml:space="preserve">authentification des utilisateurs ;</w:t>
      </w:r>
    </w:p>
    <w:p>
      <w:pPr>
        <w:pStyle w:val="Compact"/>
        <w:numPr>
          <w:ilvl w:val="0"/>
          <w:numId w:val="1056"/>
        </w:numPr>
      </w:pPr>
      <w:r>
        <w:t xml:space="preserve">identité des systèmes ;</w:t>
      </w:r>
    </w:p>
    <w:p>
      <w:pPr>
        <w:pStyle w:val="Compact"/>
        <w:numPr>
          <w:ilvl w:val="0"/>
          <w:numId w:val="1056"/>
        </w:numPr>
      </w:pPr>
      <w:r>
        <w:t xml:space="preserve">service d’autorisation ;</w:t>
      </w:r>
    </w:p>
    <w:p>
      <w:pPr>
        <w:pStyle w:val="Compact"/>
        <w:numPr>
          <w:ilvl w:val="0"/>
          <w:numId w:val="1056"/>
        </w:numPr>
      </w:pPr>
      <w:r>
        <w:t xml:space="preserve">gestion des politiques ;</w:t>
      </w:r>
    </w:p>
    <w:p>
      <w:pPr>
        <w:pStyle w:val="Compact"/>
        <w:numPr>
          <w:ilvl w:val="0"/>
          <w:numId w:val="1056"/>
        </w:numPr>
      </w:pPr>
      <w:r>
        <w:t xml:space="preserve">gestion des comptes techniques ;</w:t>
      </w:r>
    </w:p>
    <w:p>
      <w:pPr>
        <w:pStyle w:val="Compact"/>
        <w:numPr>
          <w:ilvl w:val="0"/>
          <w:numId w:val="1056"/>
        </w:numPr>
      </w:pPr>
      <w:r>
        <w:t xml:space="preserve">fédération avec les identités pangouvernementales ;</w:t>
      </w:r>
    </w:p>
    <w:p>
      <w:pPr>
        <w:pStyle w:val="Compact"/>
        <w:numPr>
          <w:ilvl w:val="0"/>
          <w:numId w:val="1056"/>
        </w:numPr>
      </w:pPr>
      <w:r>
        <w:t xml:space="preserve">gestion des certificats et secrets.</w:t>
      </w:r>
    </w:p>
    <w:bookmarkEnd w:id="122"/>
    <w:bookmarkStart w:id="123" w:name="profils-recommandés"/>
    <w:p>
      <w:pPr>
        <w:pStyle w:val="Heading2"/>
      </w:pPr>
      <w:r>
        <w:t xml:space="preserve">4. Profils recommandés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Besoin</w:t>
            </w:r>
          </w:p>
        </w:tc>
        <w:tc>
          <w:tcPr/>
          <w:p>
            <w:pPr>
              <w:pStyle w:val="Compact"/>
            </w:pPr>
            <w:r>
              <w:t xml:space="preserve">Profil ou standard</w:t>
            </w:r>
          </w:p>
        </w:tc>
      </w:tr>
      <w:tr>
        <w:tc>
          <w:tcPr/>
          <w:p>
            <w:pPr>
              <w:pStyle w:val="Compact"/>
            </w:pPr>
            <w:r>
              <w:t xml:space="preserve">Autorisation des API REST/FHIR</w:t>
            </w:r>
          </w:p>
        </w:tc>
        <w:tc>
          <w:tcPr/>
          <w:p>
            <w:pPr>
              <w:pStyle w:val="Compact"/>
            </w:pPr>
            <w:r>
              <w:t xml:space="preserve">OAuth 2.0 / OpenID Connect selon le contexte</w:t>
            </w:r>
          </w:p>
        </w:tc>
      </w:tr>
      <w:tr>
        <w:tc>
          <w:tcPr/>
          <w:p>
            <w:pPr>
              <w:pStyle w:val="Compact"/>
            </w:pPr>
            <w:r>
              <w:t xml:space="preserve">Profil IHE d’autorisation REST</w:t>
            </w:r>
          </w:p>
        </w:tc>
        <w:tc>
          <w:tcPr/>
          <w:p>
            <w:pPr>
              <w:pStyle w:val="Compact"/>
            </w:pPr>
            <w:r>
              <w:t xml:space="preserve">IHE IUA</w:t>
            </w:r>
          </w:p>
        </w:tc>
      </w:tr>
      <w:tr>
        <w:tc>
          <w:tcPr/>
          <w:p>
            <w:pPr>
              <w:pStyle w:val="Compact"/>
            </w:pPr>
            <w:r>
              <w:t xml:space="preserve">Authentification des nœuds et audit</w:t>
            </w:r>
          </w:p>
        </w:tc>
        <w:tc>
          <w:tcPr/>
          <w:p>
            <w:pPr>
              <w:pStyle w:val="Compact"/>
            </w:pPr>
            <w:r>
              <w:t xml:space="preserve">IHE ATNA lorsque applicable</w:t>
            </w:r>
          </w:p>
        </w:tc>
      </w:tr>
      <w:tr>
        <w:tc>
          <w:tcPr/>
          <w:p>
            <w:pPr>
              <w:pStyle w:val="Compact"/>
            </w:pPr>
            <w:r>
              <w:t xml:space="preserve">Confiance interinstitutionnelle</w:t>
            </w:r>
          </w:p>
        </w:tc>
        <w:tc>
          <w:tcPr/>
          <w:p>
            <w:pPr>
              <w:pStyle w:val="Compact"/>
            </w:pPr>
            <w:r>
              <w:t xml:space="preserve">Mécanismes de la plateforme nationale d’échange</w:t>
            </w:r>
          </w:p>
        </w:tc>
      </w:tr>
      <w:tr>
        <w:tc>
          <w:tcPr/>
          <w:p>
            <w:pPr>
              <w:pStyle w:val="Compact"/>
            </w:pPr>
            <w:r>
              <w:t xml:space="preserve">Authentification renforcée</w:t>
            </w:r>
          </w:p>
        </w:tc>
        <w:tc>
          <w:tcPr/>
          <w:p>
            <w:pPr>
              <w:pStyle w:val="Compact"/>
            </w:pPr>
            <w:r>
              <w:t xml:space="preserve">Profil national à définir</w:t>
            </w:r>
          </w:p>
        </w:tc>
      </w:tr>
      <w:tr>
        <w:tc>
          <w:tcPr/>
          <w:p>
            <w:pPr>
              <w:pStyle w:val="Compact"/>
            </w:pPr>
            <w:r>
              <w:t xml:space="preserve">Autorisation par attributs</w:t>
            </w:r>
          </w:p>
        </w:tc>
        <w:tc>
          <w:tcPr/>
          <w:p>
            <w:pPr>
              <w:pStyle w:val="Compact"/>
            </w:pPr>
            <w:r>
              <w:t xml:space="preserve">Politique ABAC nationale à définir</w:t>
            </w:r>
          </w:p>
        </w:tc>
      </w:tr>
    </w:tbl>
    <w:p>
      <w:pPr>
        <w:pStyle w:val="BodyText"/>
      </w:pPr>
      <w:r>
        <w:t xml:space="preserve">IHE IUA fournit un cadre d’autorisation fondé sur des jetons pour les services HTTP REST, notamment FHIR. ATNA porte des exigences relatives à l’authentification des nœuds et à l’audit des événements de sécurité.</w:t>
      </w:r>
    </w:p>
    <w:bookmarkEnd w:id="123"/>
    <w:bookmarkStart w:id="124" w:name="principe-de-séparation-1"/>
    <w:p>
      <w:pPr>
        <w:pStyle w:val="Heading2"/>
      </w:pPr>
      <w:r>
        <w:t xml:space="preserve">5. Principe de séparation</w:t>
      </w:r>
    </w:p>
    <w:p>
      <w:pPr>
        <w:pStyle w:val="SourceCode"/>
      </w:pPr>
      <w:r>
        <w:rPr>
          <w:rStyle w:val="VerbatimChar"/>
        </w:rPr>
        <w:t xml:space="preserve">Authentification</w:t>
      </w:r>
      <w:r>
        <w:br/>
      </w:r>
      <w:r>
        <w:rPr>
          <w:rStyle w:val="VerbatimChar"/>
        </w:rPr>
        <w:t xml:space="preserve">Qui est l’utilisateur ou le système ?</w:t>
      </w:r>
      <w:r>
        <w:br/>
      </w:r>
      <w:r>
        <w:rPr>
          <w:rStyle w:val="VerbatimChar"/>
        </w:rPr>
        <w:t xml:space="preserve">             │</w:t>
      </w:r>
      <w:r>
        <w:br/>
      </w:r>
      <w:r>
        <w:rPr>
          <w:rStyle w:val="VerbatimChar"/>
        </w:rPr>
        <w:t xml:space="preserve">             ▼</w:t>
      </w:r>
      <w:r>
        <w:br/>
      </w:r>
      <w:r>
        <w:rPr>
          <w:rStyle w:val="VerbatimChar"/>
        </w:rPr>
        <w:t xml:space="preserve">Contexte professionnel</w:t>
      </w:r>
      <w:r>
        <w:br/>
      </w:r>
      <w:r>
        <w:rPr>
          <w:rStyle w:val="VerbatimChar"/>
        </w:rPr>
        <w:t xml:space="preserve">Quelle est sa fonction et son affectation ?</w:t>
      </w:r>
      <w:r>
        <w:br/>
      </w:r>
      <w:r>
        <w:rPr>
          <w:rStyle w:val="VerbatimChar"/>
        </w:rPr>
        <w:t xml:space="preserve">             │</w:t>
      </w:r>
      <w:r>
        <w:br/>
      </w:r>
      <w:r>
        <w:rPr>
          <w:rStyle w:val="VerbatimChar"/>
        </w:rPr>
        <w:t xml:space="preserve">             ▼</w:t>
      </w:r>
      <w:r>
        <w:br/>
      </w:r>
      <w:r>
        <w:rPr>
          <w:rStyle w:val="VerbatimChar"/>
        </w:rPr>
        <w:t xml:space="preserve">Base d’autorisation</w:t>
      </w:r>
      <w:r>
        <w:br/>
      </w:r>
      <w:r>
        <w:rPr>
          <w:rStyle w:val="VerbatimChar"/>
        </w:rPr>
        <w:t xml:space="preserve">Pourquoi l’accès est-il permis ?</w:t>
      </w:r>
      <w:r>
        <w:br/>
      </w:r>
      <w:r>
        <w:rPr>
          <w:rStyle w:val="VerbatimChar"/>
        </w:rPr>
        <w:t xml:space="preserve">             │</w:t>
      </w:r>
      <w:r>
        <w:br/>
      </w:r>
      <w:r>
        <w:rPr>
          <w:rStyle w:val="VerbatimChar"/>
        </w:rPr>
        <w:t xml:space="preserve">             ▼</w:t>
      </w:r>
      <w:r>
        <w:br/>
      </w:r>
      <w:r>
        <w:rPr>
          <w:rStyle w:val="VerbatimChar"/>
        </w:rPr>
        <w:t xml:space="preserve">Décision d’autorisation</w:t>
      </w:r>
      <w:r>
        <w:br/>
      </w:r>
      <w:r>
        <w:rPr>
          <w:rStyle w:val="VerbatimChar"/>
        </w:rPr>
        <w:t xml:space="preserve">Quelles actions sont autorisées ?</w:t>
      </w:r>
    </w:p>
    <w:bookmarkEnd w:id="124"/>
    <w:bookmarkStart w:id="125" w:name="exigences-minimales"/>
    <w:p>
      <w:pPr>
        <w:pStyle w:val="Heading2"/>
      </w:pPr>
      <w:r>
        <w:t xml:space="preserve">6. Exigences minimales</w:t>
      </w:r>
    </w:p>
    <w:p>
      <w:pPr>
        <w:pStyle w:val="Compact"/>
        <w:numPr>
          <w:ilvl w:val="0"/>
          <w:numId w:val="1057"/>
        </w:numPr>
      </w:pPr>
      <w:r>
        <w:t xml:space="preserve">moindre privilège ;</w:t>
      </w:r>
    </w:p>
    <w:p>
      <w:pPr>
        <w:pStyle w:val="Compact"/>
        <w:numPr>
          <w:ilvl w:val="0"/>
          <w:numId w:val="1057"/>
        </w:numPr>
      </w:pPr>
      <w:r>
        <w:t xml:space="preserve">authentification adaptée au risque ;</w:t>
      </w:r>
    </w:p>
    <w:p>
      <w:pPr>
        <w:pStyle w:val="Compact"/>
        <w:numPr>
          <w:ilvl w:val="0"/>
          <w:numId w:val="1057"/>
        </w:numPr>
      </w:pPr>
      <w:r>
        <w:t xml:space="preserve">séparation des comptes utilisateurs et techniques ;</w:t>
      </w:r>
    </w:p>
    <w:p>
      <w:pPr>
        <w:pStyle w:val="Compact"/>
        <w:numPr>
          <w:ilvl w:val="0"/>
          <w:numId w:val="1057"/>
        </w:numPr>
      </w:pPr>
      <w:r>
        <w:t xml:space="preserve">révocation ;</w:t>
      </w:r>
    </w:p>
    <w:p>
      <w:pPr>
        <w:pStyle w:val="Compact"/>
        <w:numPr>
          <w:ilvl w:val="0"/>
          <w:numId w:val="1057"/>
        </w:numPr>
      </w:pPr>
      <w:r>
        <w:t xml:space="preserve">rotation des secrets ;</w:t>
      </w:r>
    </w:p>
    <w:p>
      <w:pPr>
        <w:pStyle w:val="Compact"/>
        <w:numPr>
          <w:ilvl w:val="0"/>
          <w:numId w:val="1057"/>
        </w:numPr>
      </w:pPr>
      <w:r>
        <w:t xml:space="preserve">contrôle territorial ;</w:t>
      </w:r>
    </w:p>
    <w:p>
      <w:pPr>
        <w:pStyle w:val="Compact"/>
        <w:numPr>
          <w:ilvl w:val="0"/>
          <w:numId w:val="1057"/>
        </w:numPr>
      </w:pPr>
      <w:r>
        <w:t xml:space="preserve">contrôle programmatique ;</w:t>
      </w:r>
    </w:p>
    <w:p>
      <w:pPr>
        <w:pStyle w:val="Compact"/>
        <w:numPr>
          <w:ilvl w:val="0"/>
          <w:numId w:val="1057"/>
        </w:numPr>
      </w:pPr>
      <w:r>
        <w:t xml:space="preserve">journalisation ;</w:t>
      </w:r>
    </w:p>
    <w:p>
      <w:pPr>
        <w:pStyle w:val="Compact"/>
        <w:numPr>
          <w:ilvl w:val="0"/>
          <w:numId w:val="1057"/>
        </w:numPr>
      </w:pPr>
      <w:r>
        <w:t xml:space="preserve">durée limitée des jetons ;</w:t>
      </w:r>
    </w:p>
    <w:p>
      <w:pPr>
        <w:pStyle w:val="Compact"/>
        <w:numPr>
          <w:ilvl w:val="0"/>
          <w:numId w:val="1057"/>
        </w:numPr>
      </w:pPr>
      <w:r>
        <w:t xml:space="preserve">vérification du contexte professionnel ;</w:t>
      </w:r>
    </w:p>
    <w:p>
      <w:pPr>
        <w:pStyle w:val="Compact"/>
        <w:numPr>
          <w:ilvl w:val="0"/>
          <w:numId w:val="1057"/>
        </w:numPr>
      </w:pPr>
      <w:r>
        <w:t xml:space="preserve">décision explicite.</w:t>
      </w:r>
    </w:p>
    <w:p>
      <w:r>
        <w:pict>
          <v:rect style="width:0;height:1.5pt" o:hralign="center" o:hrstd="t" o:hr="t"/>
        </w:pict>
      </w:r>
    </w:p>
    <w:bookmarkEnd w:id="125"/>
    <w:bookmarkEnd w:id="126"/>
    <w:bookmarkStart w:id="133" w:name="X41e957d03cb26a781126bba94451d499084b916"/>
    <w:p>
      <w:pPr>
        <w:pStyle w:val="Heading1"/>
      </w:pPr>
      <w:r>
        <w:t xml:space="preserve">PT-11 — Consentement et bases d’autorisation</w:t>
      </w:r>
    </w:p>
    <w:bookmarkStart w:id="127" w:name="capacité-cnisn-9"/>
    <w:p>
      <w:pPr>
        <w:pStyle w:val="Heading2"/>
      </w:pPr>
      <w:r>
        <w:t xml:space="preserve">1. Capacité CNISN</w:t>
      </w:r>
    </w:p>
    <w:p>
      <w:pPr>
        <w:pStyle w:val="FirstParagraph"/>
      </w:pPr>
      <w:r>
        <w:rPr>
          <w:b/>
          <w:bCs/>
        </w:rPr>
        <w:t xml:space="preserve">CAP-INT-06 — Confiance, sécurité et gestion du consentement</w:t>
      </w:r>
    </w:p>
    <w:bookmarkEnd w:id="127"/>
    <w:bookmarkStart w:id="128" w:name="chapitres-art-applicables-10"/>
    <w:p>
      <w:pPr>
        <w:pStyle w:val="Heading2"/>
      </w:pPr>
      <w:r>
        <w:t xml:space="preserve">2. Chapitres ART applicables</w:t>
      </w:r>
    </w:p>
    <w:p>
      <w:pPr>
        <w:pStyle w:val="Compact"/>
        <w:numPr>
          <w:ilvl w:val="0"/>
          <w:numId w:val="1058"/>
        </w:numPr>
      </w:pPr>
      <w:r>
        <w:t xml:space="preserve">ART-0 ;</w:t>
      </w:r>
    </w:p>
    <w:p>
      <w:pPr>
        <w:pStyle w:val="Compact"/>
        <w:numPr>
          <w:ilvl w:val="0"/>
          <w:numId w:val="1058"/>
        </w:numPr>
      </w:pPr>
      <w:r>
        <w:t xml:space="preserve">ART-4c ;</w:t>
      </w:r>
    </w:p>
    <w:p>
      <w:pPr>
        <w:pStyle w:val="Compact"/>
        <w:numPr>
          <w:ilvl w:val="0"/>
          <w:numId w:val="1058"/>
        </w:numPr>
      </w:pPr>
      <w:r>
        <w:t xml:space="preserve">ART-7 ;</w:t>
      </w:r>
    </w:p>
    <w:p>
      <w:pPr>
        <w:pStyle w:val="Compact"/>
        <w:numPr>
          <w:ilvl w:val="0"/>
          <w:numId w:val="1058"/>
        </w:numPr>
      </w:pPr>
      <w:r>
        <w:t xml:space="preserve">ART-11.</w:t>
      </w:r>
    </w:p>
    <w:bookmarkEnd w:id="128"/>
    <w:bookmarkStart w:id="129" w:name="position-nationale"/>
    <w:p>
      <w:pPr>
        <w:pStyle w:val="Heading2"/>
      </w:pPr>
      <w:r>
        <w:t xml:space="preserve">3. Position nationale</w:t>
      </w:r>
    </w:p>
    <w:p>
      <w:pPr>
        <w:pStyle w:val="FirstParagraph"/>
      </w:pPr>
      <w:r>
        <w:t xml:space="preserve">Aucun profil national unique de consentement n’est encore retenu.</w:t>
      </w:r>
    </w:p>
    <w:p>
      <w:pPr>
        <w:pStyle w:val="BodyText"/>
      </w:pPr>
      <w:r>
        <w:rPr>
          <w:b/>
          <w:bCs/>
        </w:rPr>
        <w:t xml:space="preserve">Statut : à instruire.</w:t>
      </w:r>
    </w:p>
    <w:bookmarkEnd w:id="129"/>
    <w:bookmarkStart w:id="130" w:name="principe"/>
    <w:p>
      <w:pPr>
        <w:pStyle w:val="Heading2"/>
      </w:pPr>
      <w:r>
        <w:t xml:space="preserve">4. Principe</w:t>
      </w:r>
    </w:p>
    <w:p>
      <w:pPr>
        <w:pStyle w:val="FirstParagraph"/>
      </w:pPr>
      <w:r>
        <w:t xml:space="preserve">Le consentement ne constitue qu’une base d’autorisation possible.</w:t>
      </w:r>
    </w:p>
    <w:p>
      <w:pPr>
        <w:pStyle w:val="BodyText"/>
      </w:pPr>
      <w:r>
        <w:t xml:space="preserve">Selon le contexte, un traitement peut reposer sur :</w:t>
      </w:r>
    </w:p>
    <w:p>
      <w:pPr>
        <w:pStyle w:val="Compact"/>
        <w:numPr>
          <w:ilvl w:val="0"/>
          <w:numId w:val="1059"/>
        </w:numPr>
      </w:pPr>
      <w:r>
        <w:t xml:space="preserve">le consentement ;</w:t>
      </w:r>
    </w:p>
    <w:p>
      <w:pPr>
        <w:pStyle w:val="Compact"/>
        <w:numPr>
          <w:ilvl w:val="0"/>
          <w:numId w:val="1059"/>
        </w:numPr>
      </w:pPr>
      <w:r>
        <w:t xml:space="preserve">le mandat de soins ;</w:t>
      </w:r>
    </w:p>
    <w:p>
      <w:pPr>
        <w:pStyle w:val="Compact"/>
        <w:numPr>
          <w:ilvl w:val="0"/>
          <w:numId w:val="1059"/>
        </w:numPr>
      </w:pPr>
      <w:r>
        <w:t xml:space="preserve">le mandat de santé publique ;</w:t>
      </w:r>
    </w:p>
    <w:p>
      <w:pPr>
        <w:pStyle w:val="Compact"/>
        <w:numPr>
          <w:ilvl w:val="0"/>
          <w:numId w:val="1059"/>
        </w:numPr>
      </w:pPr>
      <w:r>
        <w:t xml:space="preserve">une obligation légale ;</w:t>
      </w:r>
    </w:p>
    <w:p>
      <w:pPr>
        <w:pStyle w:val="Compact"/>
        <w:numPr>
          <w:ilvl w:val="0"/>
          <w:numId w:val="1059"/>
        </w:numPr>
      </w:pPr>
      <w:r>
        <w:t xml:space="preserve">un intérêt vital ;</w:t>
      </w:r>
    </w:p>
    <w:p>
      <w:pPr>
        <w:pStyle w:val="Compact"/>
        <w:numPr>
          <w:ilvl w:val="0"/>
          <w:numId w:val="1059"/>
        </w:numPr>
      </w:pPr>
      <w:r>
        <w:t xml:space="preserve">un accord interinstitutionnel ;</w:t>
      </w:r>
    </w:p>
    <w:p>
      <w:pPr>
        <w:pStyle w:val="Compact"/>
        <w:numPr>
          <w:ilvl w:val="0"/>
          <w:numId w:val="1059"/>
        </w:numPr>
      </w:pPr>
      <w:r>
        <w:t xml:space="preserve">une autre base légale documentée.</w:t>
      </w:r>
    </w:p>
    <w:bookmarkEnd w:id="130"/>
    <w:bookmarkStart w:id="131" w:name="services-futurs"/>
    <w:p>
      <w:pPr>
        <w:pStyle w:val="Heading2"/>
      </w:pPr>
      <w:r>
        <w:t xml:space="preserve">5. Services futurs</w:t>
      </w:r>
    </w:p>
    <w:p>
      <w:pPr>
        <w:pStyle w:val="Compact"/>
        <w:numPr>
          <w:ilvl w:val="0"/>
          <w:numId w:val="1060"/>
        </w:numPr>
      </w:pPr>
      <w:r>
        <w:t xml:space="preserve">enregistrement du consentement ;</w:t>
      </w:r>
    </w:p>
    <w:p>
      <w:pPr>
        <w:pStyle w:val="Compact"/>
        <w:numPr>
          <w:ilvl w:val="0"/>
          <w:numId w:val="1060"/>
        </w:numPr>
      </w:pPr>
      <w:r>
        <w:t xml:space="preserve">consultation ;</w:t>
      </w:r>
    </w:p>
    <w:p>
      <w:pPr>
        <w:pStyle w:val="Compact"/>
        <w:numPr>
          <w:ilvl w:val="0"/>
          <w:numId w:val="1060"/>
        </w:numPr>
      </w:pPr>
      <w:r>
        <w:t xml:space="preserve">retrait ;</w:t>
      </w:r>
    </w:p>
    <w:p>
      <w:pPr>
        <w:pStyle w:val="Compact"/>
        <w:numPr>
          <w:ilvl w:val="0"/>
          <w:numId w:val="1060"/>
        </w:numPr>
      </w:pPr>
      <w:r>
        <w:t xml:space="preserve">preuve ;</w:t>
      </w:r>
    </w:p>
    <w:p>
      <w:pPr>
        <w:pStyle w:val="Compact"/>
        <w:numPr>
          <w:ilvl w:val="0"/>
          <w:numId w:val="1060"/>
        </w:numPr>
      </w:pPr>
      <w:r>
        <w:t xml:space="preserve">gestion des finalités ;</w:t>
      </w:r>
    </w:p>
    <w:p>
      <w:pPr>
        <w:pStyle w:val="Compact"/>
        <w:numPr>
          <w:ilvl w:val="0"/>
          <w:numId w:val="1060"/>
        </w:numPr>
      </w:pPr>
      <w:r>
        <w:t xml:space="preserve">gestion des politiques ;</w:t>
      </w:r>
    </w:p>
    <w:p>
      <w:pPr>
        <w:pStyle w:val="Compact"/>
        <w:numPr>
          <w:ilvl w:val="0"/>
          <w:numId w:val="1060"/>
        </w:numPr>
      </w:pPr>
      <w:r>
        <w:t xml:space="preserve">vérification au moment de l’accès ;</w:t>
      </w:r>
    </w:p>
    <w:p>
      <w:pPr>
        <w:pStyle w:val="Compact"/>
        <w:numPr>
          <w:ilvl w:val="0"/>
          <w:numId w:val="1060"/>
        </w:numPr>
      </w:pPr>
      <w:r>
        <w:t xml:space="preserve">traçabilité des décisions.</w:t>
      </w:r>
    </w:p>
    <w:bookmarkEnd w:id="131"/>
    <w:bookmarkStart w:id="132" w:name="travaux-à-mener"/>
    <w:p>
      <w:pPr>
        <w:pStyle w:val="Heading2"/>
      </w:pPr>
      <w:r>
        <w:t xml:space="preserve">6. Travaux à mener</w:t>
      </w:r>
    </w:p>
    <w:p>
      <w:pPr>
        <w:pStyle w:val="Compact"/>
        <w:numPr>
          <w:ilvl w:val="0"/>
          <w:numId w:val="1061"/>
        </w:numPr>
      </w:pPr>
      <w:r>
        <w:t xml:space="preserve">analyse du cadre juridique national ;</w:t>
      </w:r>
    </w:p>
    <w:p>
      <w:pPr>
        <w:pStyle w:val="Compact"/>
        <w:numPr>
          <w:ilvl w:val="0"/>
          <w:numId w:val="1061"/>
        </w:numPr>
      </w:pPr>
      <w:r>
        <w:t xml:space="preserve">classification des cas d’usage ;</w:t>
      </w:r>
    </w:p>
    <w:p>
      <w:pPr>
        <w:pStyle w:val="Compact"/>
        <w:numPr>
          <w:ilvl w:val="0"/>
          <w:numId w:val="1061"/>
        </w:numPr>
      </w:pPr>
      <w:r>
        <w:t xml:space="preserve">définition des politiques ;</w:t>
      </w:r>
    </w:p>
    <w:p>
      <w:pPr>
        <w:pStyle w:val="Compact"/>
        <w:numPr>
          <w:ilvl w:val="0"/>
          <w:numId w:val="1061"/>
        </w:numPr>
      </w:pPr>
      <w:r>
        <w:t xml:space="preserve">évaluation des standards disponibles ;</w:t>
      </w:r>
    </w:p>
    <w:p>
      <w:pPr>
        <w:pStyle w:val="Compact"/>
        <w:numPr>
          <w:ilvl w:val="0"/>
          <w:numId w:val="1061"/>
        </w:numPr>
      </w:pPr>
      <w:r>
        <w:t xml:space="preserve">articulation avec le registre patient ;</w:t>
      </w:r>
    </w:p>
    <w:p>
      <w:pPr>
        <w:pStyle w:val="Compact"/>
        <w:numPr>
          <w:ilvl w:val="0"/>
          <w:numId w:val="1061"/>
        </w:numPr>
      </w:pPr>
      <w:r>
        <w:t xml:space="preserve">articulation avec le fournisseur d’identité ;</w:t>
      </w:r>
    </w:p>
    <w:p>
      <w:pPr>
        <w:pStyle w:val="Compact"/>
        <w:numPr>
          <w:ilvl w:val="0"/>
          <w:numId w:val="1061"/>
        </w:numPr>
      </w:pPr>
      <w:r>
        <w:t xml:space="preserve">articulation avec les mandats de santé publique.</w:t>
      </w:r>
    </w:p>
    <w:p>
      <w:r>
        <w:pict>
          <v:rect style="width:0;height:1.5pt" o:hralign="center" o:hrstd="t" o:hr="t"/>
        </w:pict>
      </w:r>
    </w:p>
    <w:bookmarkEnd w:id="132"/>
    <w:bookmarkEnd w:id="133"/>
    <w:bookmarkStart w:id="143" w:name="pt-12-audit-provenance-et-traçabilité"/>
    <w:p>
      <w:pPr>
        <w:pStyle w:val="Heading1"/>
      </w:pPr>
      <w:r>
        <w:t xml:space="preserve">PT-12 — Audit, provenance et traçabilité</w:t>
      </w:r>
    </w:p>
    <w:bookmarkStart w:id="134" w:name="capacité-cnisn-10"/>
    <w:p>
      <w:pPr>
        <w:pStyle w:val="Heading2"/>
      </w:pPr>
      <w:r>
        <w:t xml:space="preserve">1. Capacité CNISN</w:t>
      </w:r>
    </w:p>
    <w:p>
      <w:pPr>
        <w:pStyle w:val="FirstParagraph"/>
      </w:pPr>
      <w:r>
        <w:rPr>
          <w:b/>
          <w:bCs/>
        </w:rPr>
        <w:t xml:space="preserve">CAP-INT-06 — Confiance et sécurité</w:t>
      </w:r>
    </w:p>
    <w:bookmarkEnd w:id="134"/>
    <w:bookmarkStart w:id="135" w:name="chapitres-art-applicables-11"/>
    <w:p>
      <w:pPr>
        <w:pStyle w:val="Heading2"/>
      </w:pPr>
      <w:r>
        <w:t xml:space="preserve">2. Chapitres ART applicables</w:t>
      </w:r>
    </w:p>
    <w:p>
      <w:pPr>
        <w:pStyle w:val="Compact"/>
        <w:numPr>
          <w:ilvl w:val="0"/>
          <w:numId w:val="1062"/>
        </w:numPr>
      </w:pPr>
      <w:r>
        <w:t xml:space="preserve">F.1 ;</w:t>
      </w:r>
    </w:p>
    <w:p>
      <w:pPr>
        <w:pStyle w:val="Compact"/>
        <w:numPr>
          <w:ilvl w:val="0"/>
          <w:numId w:val="1062"/>
        </w:numPr>
      </w:pPr>
      <w:r>
        <w:t xml:space="preserve">F.5 ;</w:t>
      </w:r>
    </w:p>
    <w:p>
      <w:pPr>
        <w:pStyle w:val="Compact"/>
        <w:numPr>
          <w:ilvl w:val="0"/>
          <w:numId w:val="1062"/>
        </w:numPr>
      </w:pPr>
      <w:r>
        <w:t xml:space="preserve">F.6 ;</w:t>
      </w:r>
    </w:p>
    <w:p>
      <w:pPr>
        <w:pStyle w:val="Compact"/>
        <w:numPr>
          <w:ilvl w:val="0"/>
          <w:numId w:val="1062"/>
        </w:numPr>
      </w:pPr>
      <w:r>
        <w:t xml:space="preserve">ART-3 ;</w:t>
      </w:r>
    </w:p>
    <w:p>
      <w:pPr>
        <w:pStyle w:val="Compact"/>
        <w:numPr>
          <w:ilvl w:val="0"/>
          <w:numId w:val="1062"/>
        </w:numPr>
      </w:pPr>
      <w:r>
        <w:t xml:space="preserve">ART-7.</w:t>
      </w:r>
    </w:p>
    <w:bookmarkEnd w:id="135"/>
    <w:bookmarkStart w:id="140" w:name="services-distincts"/>
    <w:p>
      <w:pPr>
        <w:pStyle w:val="Heading2"/>
      </w:pPr>
      <w:r>
        <w:t xml:space="preserve">3. Services distincts</w:t>
      </w:r>
    </w:p>
    <w:p>
      <w:pPr>
        <w:pStyle w:val="FirstParagraph"/>
      </w:pPr>
      <w:r>
        <w:t xml:space="preserve">Le PTISN distingue quatre services.</w:t>
      </w:r>
    </w:p>
    <w:bookmarkStart w:id="136" w:name="journal-des-événements-métier"/>
    <w:p>
      <w:pPr>
        <w:pStyle w:val="Heading3"/>
      </w:pPr>
      <w:r>
        <w:t xml:space="preserve">Journal des événements métier</w:t>
      </w:r>
    </w:p>
    <w:p>
      <w:pPr>
        <w:pStyle w:val="FirstParagraph"/>
      </w:pPr>
      <w:r>
        <w:t xml:space="preserve">Conserve les changements fonctionnels.</w:t>
      </w:r>
    </w:p>
    <w:bookmarkEnd w:id="136"/>
    <w:bookmarkStart w:id="137" w:name="service-de-provenance"/>
    <w:p>
      <w:pPr>
        <w:pStyle w:val="Heading3"/>
      </w:pPr>
      <w:r>
        <w:t xml:space="preserve">Service de provenance</w:t>
      </w:r>
    </w:p>
    <w:p>
      <w:pPr>
        <w:pStyle w:val="FirstParagraph"/>
      </w:pPr>
      <w:r>
        <w:t xml:space="preserve">Explique :</w:t>
      </w:r>
    </w:p>
    <w:p>
      <w:pPr>
        <w:pStyle w:val="Compact"/>
        <w:numPr>
          <w:ilvl w:val="0"/>
          <w:numId w:val="1063"/>
        </w:numPr>
      </w:pPr>
      <w:r>
        <w:t xml:space="preserve">l’origine ;</w:t>
      </w:r>
    </w:p>
    <w:p>
      <w:pPr>
        <w:pStyle w:val="Compact"/>
        <w:numPr>
          <w:ilvl w:val="0"/>
          <w:numId w:val="1063"/>
        </w:numPr>
      </w:pPr>
      <w:r>
        <w:t xml:space="preserve">l’acteur ;</w:t>
      </w:r>
    </w:p>
    <w:p>
      <w:pPr>
        <w:pStyle w:val="Compact"/>
        <w:numPr>
          <w:ilvl w:val="0"/>
          <w:numId w:val="1063"/>
        </w:numPr>
      </w:pPr>
      <w:r>
        <w:t xml:space="preserve">la transformation ;</w:t>
      </w:r>
    </w:p>
    <w:p>
      <w:pPr>
        <w:pStyle w:val="Compact"/>
        <w:numPr>
          <w:ilvl w:val="0"/>
          <w:numId w:val="1063"/>
        </w:numPr>
      </w:pPr>
      <w:r>
        <w:t xml:space="preserve">les ressources sources ;</w:t>
      </w:r>
    </w:p>
    <w:p>
      <w:pPr>
        <w:pStyle w:val="Compact"/>
        <w:numPr>
          <w:ilvl w:val="0"/>
          <w:numId w:val="1063"/>
        </w:numPr>
      </w:pPr>
      <w:r>
        <w:t xml:space="preserve">les ressources produites.</w:t>
      </w:r>
    </w:p>
    <w:bookmarkEnd w:id="137"/>
    <w:bookmarkStart w:id="138" w:name="service-daudit-de-sécurité"/>
    <w:p>
      <w:pPr>
        <w:pStyle w:val="Heading3"/>
      </w:pPr>
      <w:r>
        <w:t xml:space="preserve">Service d’audit de sécurité</w:t>
      </w:r>
    </w:p>
    <w:p>
      <w:pPr>
        <w:pStyle w:val="FirstParagraph"/>
      </w:pPr>
      <w:r>
        <w:t xml:space="preserve">Conserve :</w:t>
      </w:r>
    </w:p>
    <w:p>
      <w:pPr>
        <w:pStyle w:val="Compact"/>
        <w:numPr>
          <w:ilvl w:val="0"/>
          <w:numId w:val="1064"/>
        </w:numPr>
      </w:pPr>
      <w:r>
        <w:t xml:space="preserve">consultations ;</w:t>
      </w:r>
    </w:p>
    <w:p>
      <w:pPr>
        <w:pStyle w:val="Compact"/>
        <w:numPr>
          <w:ilvl w:val="0"/>
          <w:numId w:val="1064"/>
        </w:numPr>
      </w:pPr>
      <w:r>
        <w:t xml:space="preserve">exports ;</w:t>
      </w:r>
    </w:p>
    <w:p>
      <w:pPr>
        <w:pStyle w:val="Compact"/>
        <w:numPr>
          <w:ilvl w:val="0"/>
          <w:numId w:val="1064"/>
        </w:numPr>
      </w:pPr>
      <w:r>
        <w:t xml:space="preserve">authentifications ;</w:t>
      </w:r>
    </w:p>
    <w:p>
      <w:pPr>
        <w:pStyle w:val="Compact"/>
        <w:numPr>
          <w:ilvl w:val="0"/>
          <w:numId w:val="1064"/>
        </w:numPr>
      </w:pPr>
      <w:r>
        <w:t xml:space="preserve">décisions d’autorisation ;</w:t>
      </w:r>
    </w:p>
    <w:p>
      <w:pPr>
        <w:pStyle w:val="Compact"/>
        <w:numPr>
          <w:ilvl w:val="0"/>
          <w:numId w:val="1064"/>
        </w:numPr>
      </w:pPr>
      <w:r>
        <w:t xml:space="preserve">opérations administratives ;</w:t>
      </w:r>
    </w:p>
    <w:p>
      <w:pPr>
        <w:pStyle w:val="Compact"/>
        <w:numPr>
          <w:ilvl w:val="0"/>
          <w:numId w:val="1064"/>
        </w:numPr>
      </w:pPr>
      <w:r>
        <w:t xml:space="preserve">modifications sensibles.</w:t>
      </w:r>
    </w:p>
    <w:bookmarkEnd w:id="138"/>
    <w:bookmarkStart w:id="139" w:name="observabilité-technique"/>
    <w:p>
      <w:pPr>
        <w:pStyle w:val="Heading3"/>
      </w:pPr>
      <w:r>
        <w:t xml:space="preserve">Observabilité technique</w:t>
      </w:r>
    </w:p>
    <w:p>
      <w:pPr>
        <w:pStyle w:val="FirstParagraph"/>
      </w:pPr>
      <w:r>
        <w:t xml:space="preserve">Conserve :</w:t>
      </w:r>
    </w:p>
    <w:p>
      <w:pPr>
        <w:pStyle w:val="Compact"/>
        <w:numPr>
          <w:ilvl w:val="0"/>
          <w:numId w:val="1065"/>
        </w:numPr>
      </w:pPr>
      <w:r>
        <w:t xml:space="preserve">logs ;</w:t>
      </w:r>
    </w:p>
    <w:p>
      <w:pPr>
        <w:pStyle w:val="Compact"/>
        <w:numPr>
          <w:ilvl w:val="0"/>
          <w:numId w:val="1065"/>
        </w:numPr>
      </w:pPr>
      <w:r>
        <w:t xml:space="preserve">métriques ;</w:t>
      </w:r>
    </w:p>
    <w:p>
      <w:pPr>
        <w:pStyle w:val="Compact"/>
        <w:numPr>
          <w:ilvl w:val="0"/>
          <w:numId w:val="1065"/>
        </w:numPr>
      </w:pPr>
      <w:r>
        <w:t xml:space="preserve">traces ;</w:t>
      </w:r>
    </w:p>
    <w:p>
      <w:pPr>
        <w:pStyle w:val="Compact"/>
        <w:numPr>
          <w:ilvl w:val="0"/>
          <w:numId w:val="1065"/>
        </w:numPr>
      </w:pPr>
      <w:r>
        <w:t xml:space="preserve">erreurs ;</w:t>
      </w:r>
    </w:p>
    <w:p>
      <w:pPr>
        <w:pStyle w:val="Compact"/>
        <w:numPr>
          <w:ilvl w:val="0"/>
          <w:numId w:val="1065"/>
        </w:numPr>
      </w:pPr>
      <w:r>
        <w:t xml:space="preserve">performances.</w:t>
      </w:r>
    </w:p>
    <w:bookmarkEnd w:id="139"/>
    <w:bookmarkEnd w:id="140"/>
    <w:bookmarkStart w:id="141" w:name="standards-recommandés"/>
    <w:p>
      <w:pPr>
        <w:pStyle w:val="Heading2"/>
      </w:pPr>
      <w:r>
        <w:t xml:space="preserve">4. Standards recommandés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Besoin</w:t>
            </w:r>
          </w:p>
        </w:tc>
        <w:tc>
          <w:tcPr/>
          <w:p>
            <w:pPr>
              <w:pStyle w:val="Compact"/>
            </w:pPr>
            <w:r>
              <w:t xml:space="preserve">Standard</w:t>
            </w:r>
          </w:p>
        </w:tc>
      </w:tr>
      <w:tr>
        <w:tc>
          <w:tcPr/>
          <w:p>
            <w:pPr>
              <w:pStyle w:val="Compact"/>
            </w:pPr>
            <w:r>
              <w:t xml:space="preserve">Audit de sécurité santé</w:t>
            </w:r>
          </w:p>
        </w:tc>
        <w:tc>
          <w:tcPr/>
          <w:p>
            <w:pPr>
              <w:pStyle w:val="Compact"/>
            </w:pPr>
            <w:r>
              <w:t xml:space="preserve">HL7 FHIR AuditEvent lorsque FHIR est applicable</w:t>
            </w:r>
          </w:p>
        </w:tc>
      </w:tr>
      <w:tr>
        <w:tc>
          <w:tcPr/>
          <w:p>
            <w:pPr>
              <w:pStyle w:val="Compact"/>
            </w:pPr>
            <w:r>
              <w:t xml:space="preserve">Provenance des ressources</w:t>
            </w:r>
          </w:p>
        </w:tc>
        <w:tc>
          <w:tcPr/>
          <w:p>
            <w:pPr>
              <w:pStyle w:val="Compact"/>
            </w:pPr>
            <w:r>
              <w:t xml:space="preserve">HL7 FHIR Provenance</w:t>
            </w:r>
          </w:p>
        </w:tc>
      </w:tr>
      <w:tr>
        <w:tc>
          <w:tcPr/>
          <w:p>
            <w:pPr>
              <w:pStyle w:val="Compact"/>
            </w:pPr>
            <w:r>
              <w:t xml:space="preserve">Audit IHE</w:t>
            </w:r>
          </w:p>
        </w:tc>
        <w:tc>
          <w:tcPr/>
          <w:p>
            <w:pPr>
              <w:pStyle w:val="Compact"/>
            </w:pPr>
            <w:r>
              <w:t xml:space="preserve">ATNA et profils d’audit associés</w:t>
            </w:r>
          </w:p>
        </w:tc>
      </w:tr>
      <w:tr>
        <w:tc>
          <w:tcPr/>
          <w:p>
            <w:pPr>
              <w:pStyle w:val="Compact"/>
            </w:pPr>
            <w:r>
              <w:t xml:space="preserve">Corrélation technique</w:t>
            </w:r>
          </w:p>
        </w:tc>
        <w:tc>
          <w:tcPr/>
          <w:p>
            <w:pPr>
              <w:pStyle w:val="Compact"/>
            </w:pPr>
            <w:r>
              <w:t xml:space="preserve">Identifiant de corrélation propagé</w:t>
            </w:r>
          </w:p>
        </w:tc>
      </w:tr>
      <w:tr>
        <w:tc>
          <w:tcPr/>
          <w:p>
            <w:pPr>
              <w:pStyle w:val="Compact"/>
            </w:pPr>
            <w:r>
              <w:t xml:space="preserve">Logs et métriques</w:t>
            </w:r>
          </w:p>
        </w:tc>
        <w:tc>
          <w:tcPr/>
          <w:p>
            <w:pPr>
              <w:pStyle w:val="Compact"/>
            </w:pPr>
            <w:r>
              <w:t xml:space="preserve">Standards ouverts d’observabilité à définir</w:t>
            </w:r>
          </w:p>
        </w:tc>
      </w:tr>
    </w:tbl>
    <w:p>
      <w:pPr>
        <w:pStyle w:val="BodyText"/>
      </w:pPr>
      <w:r>
        <w:t xml:space="preserve">FHIR</w:t>
      </w:r>
      <w:r>
        <w:t xml:space="preserve"> </w:t>
      </w:r>
      <w:r>
        <w:rPr>
          <w:rStyle w:val="VerbatimChar"/>
        </w:rPr>
        <w:t xml:space="preserve">AuditEvent</w:t>
      </w:r>
      <w:r>
        <w:t xml:space="preserve"> </w:t>
      </w:r>
      <w:r>
        <w:t xml:space="preserve">permet de représenter des activités ayant une portée d’audit, tandis que</w:t>
      </w:r>
      <w:r>
        <w:t xml:space="preserve"> </w:t>
      </w:r>
      <w:r>
        <w:rPr>
          <w:rStyle w:val="VerbatimChar"/>
        </w:rPr>
        <w:t xml:space="preserve">Provenance</w:t>
      </w:r>
      <w:r>
        <w:t xml:space="preserve"> </w:t>
      </w:r>
      <w:r>
        <w:t xml:space="preserve">décrit le « qui, quoi et quand » associé à la création ou à la transformation de ressources. Ces usages ne doivent pas être confondus avec les événements métier.</w:t>
      </w:r>
    </w:p>
    <w:bookmarkEnd w:id="141"/>
    <w:bookmarkStart w:id="142" w:name="règles"/>
    <w:p>
      <w:pPr>
        <w:pStyle w:val="Heading2"/>
      </w:pPr>
      <w:r>
        <w:t xml:space="preserve">5. Règles</w:t>
      </w:r>
    </w:p>
    <w:p>
      <w:pPr>
        <w:pStyle w:val="FirstParagraph"/>
      </w:pPr>
      <w:r>
        <w:t xml:space="preserve">Les quatre catégories peuvent être corrélées mais peuvent utiliser :</w:t>
      </w:r>
    </w:p>
    <w:p>
      <w:pPr>
        <w:pStyle w:val="Compact"/>
        <w:numPr>
          <w:ilvl w:val="0"/>
          <w:numId w:val="1066"/>
        </w:numPr>
      </w:pPr>
      <w:r>
        <w:t xml:space="preserve">des formats différents ;</w:t>
      </w:r>
    </w:p>
    <w:p>
      <w:pPr>
        <w:pStyle w:val="Compact"/>
        <w:numPr>
          <w:ilvl w:val="0"/>
          <w:numId w:val="1066"/>
        </w:numPr>
      </w:pPr>
      <w:r>
        <w:t xml:space="preserve">des stockages différents ;</w:t>
      </w:r>
    </w:p>
    <w:p>
      <w:pPr>
        <w:pStyle w:val="Compact"/>
        <w:numPr>
          <w:ilvl w:val="0"/>
          <w:numId w:val="1066"/>
        </w:numPr>
      </w:pPr>
      <w:r>
        <w:t xml:space="preserve">des durées différentes ;</w:t>
      </w:r>
    </w:p>
    <w:p>
      <w:pPr>
        <w:pStyle w:val="Compact"/>
        <w:numPr>
          <w:ilvl w:val="0"/>
          <w:numId w:val="1066"/>
        </w:numPr>
      </w:pPr>
      <w:r>
        <w:t xml:space="preserve">des droits différents ;</w:t>
      </w:r>
    </w:p>
    <w:p>
      <w:pPr>
        <w:pStyle w:val="Compact"/>
        <w:numPr>
          <w:ilvl w:val="0"/>
          <w:numId w:val="1066"/>
        </w:numPr>
      </w:pPr>
      <w:r>
        <w:t xml:space="preserve">des politiques différentes.</w:t>
      </w:r>
    </w:p>
    <w:p>
      <w:pPr>
        <w:pStyle w:val="FirstParagraph"/>
      </w:pPr>
      <w:r>
        <w:t xml:space="preserve">Un journal technique ne doit pas être utilisé comme seul mécanisme de preuve métier.</w:t>
      </w:r>
    </w:p>
    <w:p>
      <w:r>
        <w:pict>
          <v:rect style="width:0;height:1.5pt" o:hralign="center" o:hrstd="t" o:hr="t"/>
        </w:pict>
      </w:r>
    </w:p>
    <w:bookmarkEnd w:id="142"/>
    <w:bookmarkEnd w:id="143"/>
    <w:bookmarkStart w:id="150" w:name="pt-13-qualité-et-réconciliation"/>
    <w:p>
      <w:pPr>
        <w:pStyle w:val="Heading1"/>
      </w:pPr>
      <w:r>
        <w:t xml:space="preserve">PT-13 — Qualité et réconciliation</w:t>
      </w:r>
    </w:p>
    <w:bookmarkStart w:id="144" w:name="capacités-cnisn-1"/>
    <w:p>
      <w:pPr>
        <w:pStyle w:val="Heading2"/>
      </w:pPr>
      <w:r>
        <w:t xml:space="preserve">1. Capacités CNISN</w:t>
      </w:r>
    </w:p>
    <w:p>
      <w:pPr>
        <w:pStyle w:val="Compact"/>
        <w:numPr>
          <w:ilvl w:val="0"/>
          <w:numId w:val="1067"/>
        </w:numPr>
      </w:pPr>
      <w:r>
        <w:t xml:space="preserve">CAP-INT-02 ;</w:t>
      </w:r>
    </w:p>
    <w:p>
      <w:pPr>
        <w:pStyle w:val="Compact"/>
        <w:numPr>
          <w:ilvl w:val="0"/>
          <w:numId w:val="1067"/>
        </w:numPr>
      </w:pPr>
      <w:r>
        <w:t xml:space="preserve">CAP-INT-03 ;</w:t>
      </w:r>
    </w:p>
    <w:p>
      <w:pPr>
        <w:pStyle w:val="Compact"/>
        <w:numPr>
          <w:ilvl w:val="0"/>
          <w:numId w:val="1067"/>
        </w:numPr>
      </w:pPr>
      <w:r>
        <w:t xml:space="preserve">CAP-INT-04 ;</w:t>
      </w:r>
    </w:p>
    <w:p>
      <w:pPr>
        <w:pStyle w:val="Compact"/>
        <w:numPr>
          <w:ilvl w:val="0"/>
          <w:numId w:val="1067"/>
        </w:numPr>
      </w:pPr>
      <w:r>
        <w:t xml:space="preserve">CAP-INT-05.</w:t>
      </w:r>
    </w:p>
    <w:bookmarkEnd w:id="144"/>
    <w:bookmarkStart w:id="145" w:name="chapitres-art-applicables-12"/>
    <w:p>
      <w:pPr>
        <w:pStyle w:val="Heading2"/>
      </w:pPr>
      <w:r>
        <w:t xml:space="preserve">2. Chapitres ART applicables</w:t>
      </w:r>
    </w:p>
    <w:p>
      <w:pPr>
        <w:pStyle w:val="Compact"/>
        <w:numPr>
          <w:ilvl w:val="0"/>
          <w:numId w:val="1068"/>
        </w:numPr>
      </w:pPr>
      <w:r>
        <w:t xml:space="preserve">ART-4 ;</w:t>
      </w:r>
    </w:p>
    <w:p>
      <w:pPr>
        <w:pStyle w:val="Compact"/>
        <w:numPr>
          <w:ilvl w:val="0"/>
          <w:numId w:val="1068"/>
        </w:numPr>
      </w:pPr>
      <w:r>
        <w:t xml:space="preserve">ART-5 ;</w:t>
      </w:r>
    </w:p>
    <w:p>
      <w:pPr>
        <w:pStyle w:val="Compact"/>
        <w:numPr>
          <w:ilvl w:val="0"/>
          <w:numId w:val="1068"/>
        </w:numPr>
      </w:pPr>
      <w:r>
        <w:t xml:space="preserve">ART-6.</w:t>
      </w:r>
    </w:p>
    <w:bookmarkEnd w:id="145"/>
    <w:bookmarkStart w:id="146" w:name="services-nationaux-3"/>
    <w:p>
      <w:pPr>
        <w:pStyle w:val="Heading2"/>
      </w:pPr>
      <w:r>
        <w:t xml:space="preserve">3. Services nationaux</w:t>
      </w:r>
    </w:p>
    <w:p>
      <w:pPr>
        <w:pStyle w:val="Compact"/>
        <w:numPr>
          <w:ilvl w:val="0"/>
          <w:numId w:val="1069"/>
        </w:numPr>
      </w:pPr>
      <w:r>
        <w:t xml:space="preserve">service de validation des contrats ;</w:t>
      </w:r>
    </w:p>
    <w:p>
      <w:pPr>
        <w:pStyle w:val="Compact"/>
        <w:numPr>
          <w:ilvl w:val="0"/>
          <w:numId w:val="1069"/>
        </w:numPr>
      </w:pPr>
      <w:r>
        <w:t xml:space="preserve">service de qualité ;</w:t>
      </w:r>
    </w:p>
    <w:p>
      <w:pPr>
        <w:pStyle w:val="Compact"/>
        <w:numPr>
          <w:ilvl w:val="0"/>
          <w:numId w:val="1069"/>
        </w:numPr>
      </w:pPr>
      <w:r>
        <w:t xml:space="preserve">service de réconciliation ;</w:t>
      </w:r>
    </w:p>
    <w:p>
      <w:pPr>
        <w:pStyle w:val="Compact"/>
        <w:numPr>
          <w:ilvl w:val="0"/>
          <w:numId w:val="1069"/>
        </w:numPr>
      </w:pPr>
      <w:r>
        <w:t xml:space="preserve">service de gestion des anomalies ;</w:t>
      </w:r>
    </w:p>
    <w:p>
      <w:pPr>
        <w:pStyle w:val="Compact"/>
        <w:numPr>
          <w:ilvl w:val="0"/>
          <w:numId w:val="1069"/>
        </w:numPr>
      </w:pPr>
      <w:r>
        <w:t xml:space="preserve">service de publication des indicateurs de qualité.</w:t>
      </w:r>
    </w:p>
    <w:bookmarkEnd w:id="146"/>
    <w:bookmarkStart w:id="147" w:name="profils-de-contrôle"/>
    <w:p>
      <w:pPr>
        <w:pStyle w:val="Heading2"/>
      </w:pPr>
      <w:r>
        <w:t xml:space="preserve">4. Profils de contrôle</w:t>
      </w:r>
    </w:p>
    <w:p>
      <w:pPr>
        <w:pStyle w:val="FirstParagraph"/>
      </w:pPr>
      <w:r>
        <w:t xml:space="preserve">Chaque interface doit disposer de tests portant sur :</w:t>
      </w:r>
    </w:p>
    <w:p>
      <w:pPr>
        <w:pStyle w:val="Compact"/>
        <w:numPr>
          <w:ilvl w:val="0"/>
          <w:numId w:val="1070"/>
        </w:numPr>
      </w:pPr>
      <w:r>
        <w:t xml:space="preserve">structure ;</w:t>
      </w:r>
    </w:p>
    <w:p>
      <w:pPr>
        <w:pStyle w:val="Compact"/>
        <w:numPr>
          <w:ilvl w:val="0"/>
          <w:numId w:val="1070"/>
        </w:numPr>
      </w:pPr>
      <w:r>
        <w:t xml:space="preserve">terminologie ;</w:t>
      </w:r>
    </w:p>
    <w:p>
      <w:pPr>
        <w:pStyle w:val="Compact"/>
        <w:numPr>
          <w:ilvl w:val="0"/>
          <w:numId w:val="1070"/>
        </w:numPr>
      </w:pPr>
      <w:r>
        <w:t xml:space="preserve">identifiants ;</w:t>
      </w:r>
    </w:p>
    <w:p>
      <w:pPr>
        <w:pStyle w:val="Compact"/>
        <w:numPr>
          <w:ilvl w:val="0"/>
          <w:numId w:val="1070"/>
        </w:numPr>
      </w:pPr>
      <w:r>
        <w:t xml:space="preserve">métadonnées ;</w:t>
      </w:r>
    </w:p>
    <w:p>
      <w:pPr>
        <w:pStyle w:val="Compact"/>
        <w:numPr>
          <w:ilvl w:val="0"/>
          <w:numId w:val="1070"/>
        </w:numPr>
      </w:pPr>
      <w:r>
        <w:t xml:space="preserve">cardinalités ;</w:t>
      </w:r>
    </w:p>
    <w:p>
      <w:pPr>
        <w:pStyle w:val="Compact"/>
        <w:numPr>
          <w:ilvl w:val="0"/>
          <w:numId w:val="1070"/>
        </w:numPr>
      </w:pPr>
      <w:r>
        <w:t xml:space="preserve">valeurs obligatoires ;</w:t>
      </w:r>
    </w:p>
    <w:p>
      <w:pPr>
        <w:pStyle w:val="Compact"/>
        <w:numPr>
          <w:ilvl w:val="0"/>
          <w:numId w:val="1070"/>
        </w:numPr>
      </w:pPr>
      <w:r>
        <w:t xml:space="preserve">compatibilité de version ;</w:t>
      </w:r>
    </w:p>
    <w:p>
      <w:pPr>
        <w:pStyle w:val="Compact"/>
        <w:numPr>
          <w:ilvl w:val="0"/>
          <w:numId w:val="1070"/>
        </w:numPr>
      </w:pPr>
      <w:r>
        <w:t xml:space="preserve">droits d’émission ;</w:t>
      </w:r>
    </w:p>
    <w:p>
      <w:pPr>
        <w:pStyle w:val="Compact"/>
        <w:numPr>
          <w:ilvl w:val="0"/>
          <w:numId w:val="1070"/>
        </w:numPr>
      </w:pPr>
      <w:r>
        <w:t xml:space="preserve">cohérence métier.</w:t>
      </w:r>
    </w:p>
    <w:bookmarkEnd w:id="147"/>
    <w:bookmarkStart w:id="148" w:name="réconciliation"/>
    <w:p>
      <w:pPr>
        <w:pStyle w:val="Heading2"/>
      </w:pPr>
      <w:r>
        <w:t xml:space="preserve">5. Réconciliation</w:t>
      </w:r>
    </w:p>
    <w:p>
      <w:pPr>
        <w:pStyle w:val="FirstParagraph"/>
      </w:pPr>
      <w:r>
        <w:t xml:space="preserve">La réconciliation doit pouvoir comparer :</w:t>
      </w:r>
    </w:p>
    <w:p>
      <w:pPr>
        <w:pStyle w:val="Compact"/>
        <w:numPr>
          <w:ilvl w:val="0"/>
          <w:numId w:val="1071"/>
        </w:numPr>
      </w:pPr>
      <w:r>
        <w:t xml:space="preserve">système source et plateforme ;</w:t>
      </w:r>
    </w:p>
    <w:p>
      <w:pPr>
        <w:pStyle w:val="Compact"/>
        <w:numPr>
          <w:ilvl w:val="0"/>
          <w:numId w:val="1071"/>
        </w:numPr>
      </w:pPr>
      <w:r>
        <w:t xml:space="preserve">deux référentiels ;</w:t>
      </w:r>
    </w:p>
    <w:p>
      <w:pPr>
        <w:pStyle w:val="Compact"/>
        <w:numPr>
          <w:ilvl w:val="0"/>
          <w:numId w:val="1071"/>
        </w:numPr>
      </w:pPr>
      <w:r>
        <w:t xml:space="preserve">deux versions ;</w:t>
      </w:r>
    </w:p>
    <w:p>
      <w:pPr>
        <w:pStyle w:val="Compact"/>
        <w:numPr>
          <w:ilvl w:val="0"/>
          <w:numId w:val="1071"/>
        </w:numPr>
      </w:pPr>
      <w:r>
        <w:t xml:space="preserve">journal et projection ;</w:t>
      </w:r>
    </w:p>
    <w:p>
      <w:pPr>
        <w:pStyle w:val="Compact"/>
        <w:numPr>
          <w:ilvl w:val="0"/>
          <w:numId w:val="1071"/>
        </w:numPr>
      </w:pPr>
      <w:r>
        <w:t xml:space="preserve">données opérationnelles et analytiques ;</w:t>
      </w:r>
    </w:p>
    <w:p>
      <w:pPr>
        <w:pStyle w:val="Compact"/>
        <w:numPr>
          <w:ilvl w:val="0"/>
          <w:numId w:val="1071"/>
        </w:numPr>
      </w:pPr>
      <w:r>
        <w:t xml:space="preserve">valeurs agrégées issues de sources différentes.</w:t>
      </w:r>
    </w:p>
    <w:bookmarkEnd w:id="148"/>
    <w:bookmarkStart w:id="149" w:name="produit-1"/>
    <w:p>
      <w:pPr>
        <w:pStyle w:val="Heading2"/>
      </w:pPr>
      <w:r>
        <w:t xml:space="preserve">6. Produit</w:t>
      </w:r>
    </w:p>
    <w:p>
      <w:pPr>
        <w:pStyle w:val="FirstParagraph"/>
      </w:pPr>
      <w:r>
        <w:t xml:space="preserve">Aucun produit unique n’est retenu.</w:t>
      </w:r>
    </w:p>
    <w:p>
      <w:pPr>
        <w:pStyle w:val="BodyText"/>
      </w:pPr>
      <w:r>
        <w:t xml:space="preserve">Les règles de qualité doivent rester :</w:t>
      </w:r>
    </w:p>
    <w:p>
      <w:pPr>
        <w:pStyle w:val="Compact"/>
        <w:numPr>
          <w:ilvl w:val="0"/>
          <w:numId w:val="1072"/>
        </w:numPr>
      </w:pPr>
      <w:r>
        <w:t xml:space="preserve">explicites ;</w:t>
      </w:r>
    </w:p>
    <w:p>
      <w:pPr>
        <w:pStyle w:val="Compact"/>
        <w:numPr>
          <w:ilvl w:val="0"/>
          <w:numId w:val="1072"/>
        </w:numPr>
      </w:pPr>
      <w:r>
        <w:t xml:space="preserve">portables ;</w:t>
      </w:r>
    </w:p>
    <w:p>
      <w:pPr>
        <w:pStyle w:val="Compact"/>
        <w:numPr>
          <w:ilvl w:val="0"/>
          <w:numId w:val="1072"/>
        </w:numPr>
      </w:pPr>
      <w:r>
        <w:t xml:space="preserve">versionnées ;</w:t>
      </w:r>
    </w:p>
    <w:p>
      <w:pPr>
        <w:pStyle w:val="Compact"/>
        <w:numPr>
          <w:ilvl w:val="0"/>
          <w:numId w:val="1072"/>
        </w:numPr>
      </w:pPr>
      <w:r>
        <w:t xml:space="preserve">testables ;</w:t>
      </w:r>
    </w:p>
    <w:p>
      <w:pPr>
        <w:pStyle w:val="Compact"/>
        <w:numPr>
          <w:ilvl w:val="0"/>
          <w:numId w:val="1072"/>
        </w:numPr>
      </w:pPr>
      <w:r>
        <w:t xml:space="preserve">indépendantes d’un outil de visualisation.</w:t>
      </w:r>
    </w:p>
    <w:p>
      <w:r>
        <w:pict>
          <v:rect style="width:0;height:1.5pt" o:hralign="center" o:hrstd="t" o:hr="t"/>
        </w:pict>
      </w:r>
    </w:p>
    <w:bookmarkEnd w:id="149"/>
    <w:bookmarkEnd w:id="150"/>
    <w:bookmarkStart w:id="151" w:name="partie-iv-matrice-dalignement"/>
    <w:p>
      <w:pPr>
        <w:pStyle w:val="Heading1"/>
      </w:pPr>
      <w:r>
        <w:t xml:space="preserve">PARTIE IV — MATRICE D’ALIGNEMENT</w:t>
      </w:r>
    </w:p>
    <w:bookmarkEnd w:id="151"/>
    <w:bookmarkStart w:id="152" w:name="alignement-avec-les-capacités-cnisn"/>
    <w:p>
      <w:pPr>
        <w:pStyle w:val="Heading1"/>
      </w:pPr>
      <w:r>
        <w:t xml:space="preserve">1. Alignement avec les capacités CNISN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Capacité CNISN</w:t>
            </w:r>
          </w:p>
        </w:tc>
        <w:tc>
          <w:tcPr/>
          <w:p>
            <w:pPr>
              <w:pStyle w:val="Compact"/>
            </w:pPr>
            <w:r>
              <w:t xml:space="preserve">Profils PTISN</w:t>
            </w:r>
          </w:p>
        </w:tc>
      </w:tr>
      <w:tr>
        <w:tc>
          <w:tcPr/>
          <w:p>
            <w:pPr>
              <w:pStyle w:val="Compact"/>
            </w:pPr>
            <w:r>
              <w:t xml:space="preserve">CAP-INT-01 — Résolution d’identité</w:t>
            </w:r>
          </w:p>
        </w:tc>
        <w:tc>
          <w:tcPr/>
          <w:p>
            <w:pPr>
              <w:pStyle w:val="Compact"/>
            </w:pPr>
            <w:r>
              <w:t xml:space="preserve">PT-04, PT-05</w:t>
            </w:r>
          </w:p>
        </w:tc>
      </w:tr>
      <w:tr>
        <w:tc>
          <w:tcPr/>
          <w:p>
            <w:pPr>
              <w:pStyle w:val="Compact"/>
            </w:pPr>
            <w:r>
              <w:t xml:space="preserve">CAP-INT-02 — Échange et médiation</w:t>
            </w:r>
          </w:p>
        </w:tc>
        <w:tc>
          <w:tcPr/>
          <w:p>
            <w:pPr>
              <w:pStyle w:val="Compact"/>
            </w:pPr>
            <w:r>
              <w:t xml:space="preserve">PT-01, PT-02, PT-03, PT-08</w:t>
            </w:r>
          </w:p>
        </w:tc>
      </w:tr>
      <w:tr>
        <w:tc>
          <w:tcPr/>
          <w:p>
            <w:pPr>
              <w:pStyle w:val="Compact"/>
            </w:pPr>
            <w:r>
              <w:t xml:space="preserve">CAP-INT-03 — Structures et services</w:t>
            </w:r>
          </w:p>
        </w:tc>
        <w:tc>
          <w:tcPr/>
          <w:p>
            <w:pPr>
              <w:pStyle w:val="Compact"/>
            </w:pPr>
            <w:r>
              <w:t xml:space="preserve">PT-06</w:t>
            </w:r>
          </w:p>
        </w:tc>
      </w:tr>
      <w:tr>
        <w:tc>
          <w:tcPr/>
          <w:p>
            <w:pPr>
              <w:pStyle w:val="Compact"/>
            </w:pPr>
            <w:r>
              <w:t xml:space="preserve">CAP-INT-04 — Terminologie</w:t>
            </w:r>
          </w:p>
        </w:tc>
        <w:tc>
          <w:tcPr/>
          <w:p>
            <w:pPr>
              <w:pStyle w:val="Compact"/>
            </w:pPr>
            <w:r>
              <w:t xml:space="preserve">PT-07</w:t>
            </w:r>
          </w:p>
        </w:tc>
      </w:tr>
      <w:tr>
        <w:tc>
          <w:tcPr/>
          <w:p>
            <w:pPr>
              <w:pStyle w:val="Compact"/>
            </w:pPr>
            <w:r>
              <w:t xml:space="preserve">CAP-INT-05 — Analytique nationale</w:t>
            </w:r>
          </w:p>
        </w:tc>
        <w:tc>
          <w:tcPr/>
          <w:p>
            <w:pPr>
              <w:pStyle w:val="Compact"/>
            </w:pPr>
            <w:r>
              <w:t xml:space="preserve">PT-08, PT-09, PT-13</w:t>
            </w:r>
          </w:p>
        </w:tc>
      </w:tr>
      <w:tr>
        <w:tc>
          <w:tcPr/>
          <w:p>
            <w:pPr>
              <w:pStyle w:val="Compact"/>
            </w:pPr>
            <w:r>
              <w:t xml:space="preserve">CAP-INT-06 — Confiance et sécurité</w:t>
            </w:r>
          </w:p>
        </w:tc>
        <w:tc>
          <w:tcPr/>
          <w:p>
            <w:pPr>
              <w:pStyle w:val="Compact"/>
            </w:pPr>
            <w:r>
              <w:t xml:space="preserve">PT-10, PT-11, PT-12</w:t>
            </w:r>
          </w:p>
        </w:tc>
      </w:tr>
    </w:tbl>
    <w:p>
      <w:r>
        <w:pict>
          <v:rect style="width:0;height:1.5pt" o:hralign="center" o:hrstd="t" o:hr="t"/>
        </w:pict>
      </w:r>
    </w:p>
    <w:bookmarkEnd w:id="152"/>
    <w:bookmarkStart w:id="153" w:name="alignement-avec-lart"/>
    <w:p>
      <w:pPr>
        <w:pStyle w:val="Heading1"/>
      </w:pPr>
      <w:r>
        <w:t xml:space="preserve">2. Alignement avec l’ART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Chapitre ART</w:t>
            </w:r>
          </w:p>
        </w:tc>
        <w:tc>
          <w:tcPr/>
          <w:p>
            <w:pPr>
              <w:pStyle w:val="Compact"/>
            </w:pPr>
            <w:r>
              <w:t xml:space="preserve">Profils PTISN principaux</w:t>
            </w:r>
          </w:p>
        </w:tc>
      </w:tr>
      <w:tr>
        <w:tc>
          <w:tcPr/>
          <w:p>
            <w:pPr>
              <w:pStyle w:val="Compact"/>
            </w:pPr>
            <w:r>
              <w:t xml:space="preserve">ART-0 — Accords</w:t>
            </w:r>
          </w:p>
        </w:tc>
        <w:tc>
          <w:tcPr/>
          <w:p>
            <w:pPr>
              <w:pStyle w:val="Compact"/>
            </w:pPr>
            <w:r>
              <w:t xml:space="preserve">PT-01, PT-10, PT-11</w:t>
            </w:r>
          </w:p>
        </w:tc>
      </w:tr>
      <w:tr>
        <w:tc>
          <w:tcPr/>
          <w:p>
            <w:pPr>
              <w:pStyle w:val="Compact"/>
            </w:pPr>
            <w:r>
              <w:t xml:space="preserve">ART-1 — Intégration</w:t>
            </w:r>
          </w:p>
        </w:tc>
        <w:tc>
          <w:tcPr/>
          <w:p>
            <w:pPr>
              <w:pStyle w:val="Compact"/>
            </w:pPr>
            <w:r>
              <w:t xml:space="preserve">PT-01, PT-02, PT-08</w:t>
            </w:r>
          </w:p>
        </w:tc>
      </w:tr>
      <w:tr>
        <w:tc>
          <w:tcPr/>
          <w:p>
            <w:pPr>
              <w:pStyle w:val="Compact"/>
            </w:pPr>
            <w:r>
              <w:t xml:space="preserve">ART-2 — Médiation</w:t>
            </w:r>
          </w:p>
        </w:tc>
        <w:tc>
          <w:tcPr/>
          <w:p>
            <w:pPr>
              <w:pStyle w:val="Compact"/>
            </w:pPr>
            <w:r>
              <w:t xml:space="preserve">PT-02, PT-07, PT-08</w:t>
            </w:r>
          </w:p>
        </w:tc>
      </w:tr>
      <w:tr>
        <w:tc>
          <w:tcPr/>
          <w:p>
            <w:pPr>
              <w:pStyle w:val="Compact"/>
            </w:pPr>
            <w:r>
              <w:t xml:space="preserve">ART-3 — Historisation</w:t>
            </w:r>
          </w:p>
        </w:tc>
        <w:tc>
          <w:tcPr/>
          <w:p>
            <w:pPr>
              <w:pStyle w:val="Compact"/>
            </w:pPr>
            <w:r>
              <w:t xml:space="preserve">PT-09, PT-12</w:t>
            </w:r>
          </w:p>
        </w:tc>
      </w:tr>
      <w:tr>
        <w:tc>
          <w:tcPr/>
          <w:p>
            <w:pPr>
              <w:pStyle w:val="Compact"/>
            </w:pPr>
            <w:r>
              <w:t xml:space="preserve">ART-4 — Référentiels</w:t>
            </w:r>
          </w:p>
        </w:tc>
        <w:tc>
          <w:tcPr/>
          <w:p>
            <w:pPr>
              <w:pStyle w:val="Compact"/>
            </w:pPr>
            <w:r>
              <w:t xml:space="preserve">PT-04, PT-05, PT-06, PT-07</w:t>
            </w:r>
          </w:p>
        </w:tc>
      </w:tr>
      <w:tr>
        <w:tc>
          <w:tcPr/>
          <w:p>
            <w:pPr>
              <w:pStyle w:val="Compact"/>
            </w:pPr>
            <w:r>
              <w:t xml:space="preserve">ART-4a — Identité individuelle</w:t>
            </w:r>
          </w:p>
        </w:tc>
        <w:tc>
          <w:tcPr/>
          <w:p>
            <w:pPr>
              <w:pStyle w:val="Compact"/>
            </w:pPr>
            <w:r>
              <w:t xml:space="preserve">PT-04</w:t>
            </w:r>
          </w:p>
        </w:tc>
      </w:tr>
      <w:tr>
        <w:tc>
          <w:tcPr/>
          <w:p>
            <w:pPr>
              <w:pStyle w:val="Compact"/>
            </w:pPr>
            <w:r>
              <w:t xml:space="preserve">ART-4b — Identité professionnelle</w:t>
            </w:r>
          </w:p>
        </w:tc>
        <w:tc>
          <w:tcPr/>
          <w:p>
            <w:pPr>
              <w:pStyle w:val="Compact"/>
            </w:pPr>
            <w:r>
              <w:t xml:space="preserve">PT-05</w:t>
            </w:r>
          </w:p>
        </w:tc>
      </w:tr>
      <w:tr>
        <w:tc>
          <w:tcPr/>
          <w:p>
            <w:pPr>
              <w:pStyle w:val="Compact"/>
            </w:pPr>
            <w:r>
              <w:t xml:space="preserve">ART-4c — Autorisation</w:t>
            </w:r>
          </w:p>
        </w:tc>
        <w:tc>
          <w:tcPr/>
          <w:p>
            <w:pPr>
              <w:pStyle w:val="Compact"/>
            </w:pPr>
            <w:r>
              <w:t xml:space="preserve">PT-10, PT-11</w:t>
            </w:r>
          </w:p>
        </w:tc>
      </w:tr>
      <w:tr>
        <w:tc>
          <w:tcPr/>
          <w:p>
            <w:pPr>
              <w:pStyle w:val="Compact"/>
            </w:pPr>
            <w:r>
              <w:t xml:space="preserve">ART-5 — Qualité</w:t>
            </w:r>
          </w:p>
        </w:tc>
        <w:tc>
          <w:tcPr/>
          <w:p>
            <w:pPr>
              <w:pStyle w:val="Compact"/>
            </w:pPr>
            <w:r>
              <w:t xml:space="preserve">PT-06, PT-07, PT-08, PT-13</w:t>
            </w:r>
          </w:p>
        </w:tc>
      </w:tr>
      <w:tr>
        <w:tc>
          <w:tcPr/>
          <w:p>
            <w:pPr>
              <w:pStyle w:val="Compact"/>
            </w:pPr>
            <w:r>
              <w:t xml:space="preserve">ART-6 — Analytique</w:t>
            </w:r>
          </w:p>
        </w:tc>
        <w:tc>
          <w:tcPr/>
          <w:p>
            <w:pPr>
              <w:pStyle w:val="Compact"/>
            </w:pPr>
            <w:r>
              <w:t xml:space="preserve">PT-08, PT-09</w:t>
            </w:r>
          </w:p>
        </w:tc>
      </w:tr>
      <w:tr>
        <w:tc>
          <w:tcPr/>
          <w:p>
            <w:pPr>
              <w:pStyle w:val="Compact"/>
            </w:pPr>
            <w:r>
              <w:t xml:space="preserve">ART-7 — Sécurité</w:t>
            </w:r>
          </w:p>
        </w:tc>
        <w:tc>
          <w:tcPr/>
          <w:p>
            <w:pPr>
              <w:pStyle w:val="Compact"/>
            </w:pPr>
            <w:r>
              <w:t xml:space="preserve">PT-01, PT-04, PT-10, PT-12</w:t>
            </w:r>
          </w:p>
        </w:tc>
      </w:tr>
      <w:tr>
        <w:tc>
          <w:tcPr/>
          <w:p>
            <w:pPr>
              <w:pStyle w:val="Compact"/>
            </w:pPr>
            <w:r>
              <w:t xml:space="preserve">ART-8 — Coordination</w:t>
            </w:r>
          </w:p>
        </w:tc>
        <w:tc>
          <w:tcPr/>
          <w:p>
            <w:pPr>
              <w:pStyle w:val="Compact"/>
            </w:pPr>
            <w:r>
              <w:t xml:space="preserve">PT-02 selon l’initiative</w:t>
            </w:r>
          </w:p>
        </w:tc>
      </w:tr>
      <w:tr>
        <w:tc>
          <w:tcPr/>
          <w:p>
            <w:pPr>
              <w:pStyle w:val="Compact"/>
            </w:pPr>
            <w:r>
              <w:t xml:space="preserve">ART-9 — Transactions fortes</w:t>
            </w:r>
          </w:p>
        </w:tc>
        <w:tc>
          <w:tcPr/>
          <w:p>
            <w:pPr>
              <w:pStyle w:val="Compact"/>
            </w:pPr>
            <w:r>
              <w:t xml:space="preserve">Profil futur</w:t>
            </w:r>
          </w:p>
        </w:tc>
      </w:tr>
      <w:tr>
        <w:tc>
          <w:tcPr/>
          <w:p>
            <w:pPr>
              <w:pStyle w:val="Compact"/>
            </w:pPr>
            <w:r>
              <w:t xml:space="preserve">ART-10 — Logistique</w:t>
            </w:r>
          </w:p>
        </w:tc>
        <w:tc>
          <w:tcPr/>
          <w:p>
            <w:pPr>
              <w:pStyle w:val="Compact"/>
            </w:pPr>
            <w:r>
              <w:t xml:space="preserve">Profil futur</w:t>
            </w:r>
          </w:p>
        </w:tc>
      </w:tr>
      <w:tr>
        <w:tc>
          <w:tcPr/>
          <w:p>
            <w:pPr>
              <w:pStyle w:val="Compact"/>
            </w:pPr>
            <w:r>
              <w:t xml:space="preserve">ART-11 — Intersectoriel</w:t>
            </w:r>
          </w:p>
        </w:tc>
        <w:tc>
          <w:tcPr/>
          <w:p>
            <w:pPr>
              <w:pStyle w:val="Compact"/>
            </w:pPr>
            <w:r>
              <w:t xml:space="preserve">PT-01, PT-11</w:t>
            </w:r>
          </w:p>
        </w:tc>
      </w:tr>
    </w:tbl>
    <w:p>
      <w:r>
        <w:pict>
          <v:rect style="width:0;height:1.5pt" o:hralign="center" o:hrstd="t" o:hr="t"/>
        </w:pict>
      </w:r>
    </w:p>
    <w:bookmarkEnd w:id="153"/>
    <w:bookmarkStart w:id="154" w:name="alignement-avec-les-composants-openhie"/>
    <w:p>
      <w:pPr>
        <w:pStyle w:val="Heading1"/>
      </w:pPr>
      <w:r>
        <w:t xml:space="preserve">3. Alignement avec les composants OpenHIE</w:t>
      </w:r>
    </w:p>
    <w:p>
      <w:pPr>
        <w:pStyle w:val="FirstParagraph"/>
      </w:pPr>
      <w:r>
        <w:t xml:space="preserve">Le PTISN utilise OpenHIE comme architecture de référence et non comme obligation de produit. OpenHIE documente des composants de partage d’information de santé, notamment les registres, la couche d’interopérabilité et les services terminologiques.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 national</w:t>
            </w:r>
          </w:p>
        </w:tc>
        <w:tc>
          <w:tcPr/>
          <w:p>
            <w:pPr>
              <w:pStyle w:val="Compact"/>
            </w:pPr>
            <w:r>
              <w:t xml:space="preserve">Composant OpenHIE correspondant</w:t>
            </w:r>
          </w:p>
        </w:tc>
      </w:tr>
      <w:tr>
        <w:tc>
          <w:tcPr/>
          <w:p>
            <w:pPr>
              <w:pStyle w:val="Compact"/>
            </w:pPr>
            <w:r>
              <w:t xml:space="preserve">Résolution d’identité bénéficiaire</w:t>
            </w:r>
          </w:p>
        </w:tc>
        <w:tc>
          <w:tcPr/>
          <w:p>
            <w:pPr>
              <w:pStyle w:val="Compact"/>
            </w:pPr>
            <w:r>
              <w:t xml:space="preserve">Client Registry</w:t>
            </w:r>
          </w:p>
        </w:tc>
      </w:tr>
      <w:tr>
        <w:tc>
          <w:tcPr/>
          <w:p>
            <w:pPr>
              <w:pStyle w:val="Compact"/>
            </w:pPr>
            <w:r>
              <w:t xml:space="preserve">Registre des professionnels</w:t>
            </w:r>
          </w:p>
        </w:tc>
        <w:tc>
          <w:tcPr/>
          <w:p>
            <w:pPr>
              <w:pStyle w:val="Compact"/>
            </w:pPr>
            <w:r>
              <w:t xml:space="preserve">Health Worker Registry</w:t>
            </w:r>
          </w:p>
        </w:tc>
      </w:tr>
      <w:tr>
        <w:tc>
          <w:tcPr/>
          <w:p>
            <w:pPr>
              <w:pStyle w:val="Compact"/>
            </w:pPr>
            <w:r>
              <w:t xml:space="preserve">Référentiel des établissements</w:t>
            </w:r>
          </w:p>
        </w:tc>
        <w:tc>
          <w:tcPr/>
          <w:p>
            <w:pPr>
              <w:pStyle w:val="Compact"/>
            </w:pPr>
            <w:r>
              <w:t xml:space="preserve">Facility Registry</w:t>
            </w:r>
          </w:p>
        </w:tc>
      </w:tr>
      <w:tr>
        <w:tc>
          <w:tcPr/>
          <w:p>
            <w:pPr>
              <w:pStyle w:val="Compact"/>
            </w:pPr>
            <w:r>
              <w:t xml:space="preserve">Terminologie</w:t>
            </w:r>
          </w:p>
        </w:tc>
        <w:tc>
          <w:tcPr/>
          <w:p>
            <w:pPr>
              <w:pStyle w:val="Compact"/>
            </w:pPr>
            <w:r>
              <w:t xml:space="preserve">Terminology Service</w:t>
            </w:r>
          </w:p>
        </w:tc>
      </w:tr>
      <w:tr>
        <w:tc>
          <w:tcPr/>
          <w:p>
            <w:pPr>
              <w:pStyle w:val="Compact"/>
            </w:pPr>
            <w:r>
              <w:t xml:space="preserve">Médiation sectorielle</w:t>
            </w:r>
          </w:p>
        </w:tc>
        <w:tc>
          <w:tcPr/>
          <w:p>
            <w:pPr>
              <w:pStyle w:val="Compact"/>
            </w:pPr>
            <w:r>
              <w:t xml:space="preserve">Interoperability Layer</w:t>
            </w:r>
          </w:p>
        </w:tc>
      </w:tr>
      <w:tr>
        <w:tc>
          <w:tcPr/>
          <w:p>
            <w:pPr>
              <w:pStyle w:val="Compact"/>
            </w:pPr>
            <w:r>
              <w:t xml:space="preserve">Données agrégées</w:t>
            </w:r>
          </w:p>
        </w:tc>
        <w:tc>
          <w:tcPr/>
          <w:p>
            <w:pPr>
              <w:pStyle w:val="Compact"/>
            </w:pPr>
            <w:r>
              <w:t xml:space="preserve">Health Metrics and Indicator Reporting</w:t>
            </w:r>
          </w:p>
        </w:tc>
      </w:tr>
      <w:tr>
        <w:tc>
          <w:tcPr/>
          <w:p>
            <w:pPr>
              <w:pStyle w:val="Compact"/>
            </w:pPr>
            <w:r>
              <w:t xml:space="preserve">Données longitudinales futures</w:t>
            </w:r>
          </w:p>
        </w:tc>
        <w:tc>
          <w:tcPr/>
          <w:p>
            <w:pPr>
              <w:pStyle w:val="Compact"/>
            </w:pPr>
            <w:r>
              <w:t xml:space="preserve">Shared Health Record, si applicable</w:t>
            </w:r>
          </w:p>
        </w:tc>
      </w:tr>
      <w:tr>
        <w:tc>
          <w:tcPr/>
          <w:p>
            <w:pPr>
              <w:pStyle w:val="Compact"/>
            </w:pPr>
            <w:r>
              <w:t xml:space="preserve">Logistique future</w:t>
            </w:r>
          </w:p>
        </w:tc>
        <w:tc>
          <w:tcPr/>
          <w:p>
            <w:pPr>
              <w:pStyle w:val="Compact"/>
            </w:pPr>
            <w:r>
              <w:t xml:space="preserve">Product Management and Supply Chain</w:t>
            </w:r>
          </w:p>
        </w:tc>
      </w:tr>
    </w:tbl>
    <w:p>
      <w:pPr>
        <w:pStyle w:val="BodyText"/>
      </w:pPr>
      <w:r>
        <w:t xml:space="preserve">Cette correspondance ne signifie pas que tous les composants doivent être déployés simultanément.</w:t>
      </w:r>
    </w:p>
    <w:p>
      <w:r>
        <w:pict>
          <v:rect style="width:0;height:1.5pt" o:hralign="center" o:hrstd="t" o:hr="t"/>
        </w:pict>
      </w:r>
    </w:p>
    <w:bookmarkEnd w:id="154"/>
    <w:bookmarkStart w:id="155" w:name="X56b7cbf5621cf82e1e2f236ddd0f1daf26a6d76"/>
    <w:p>
      <w:pPr>
        <w:pStyle w:val="Heading1"/>
      </w:pPr>
      <w:r>
        <w:t xml:space="preserve">PARTIE V — PROFIL TECHNIQUE D’UNE INITIATIVE</w:t>
      </w:r>
    </w:p>
    <w:p>
      <w:pPr>
        <w:pStyle w:val="FirstParagraph"/>
      </w:pPr>
      <w:r>
        <w:t xml:space="preserve">Toute initiative doit produire une fiche par service exposé ou consommé.</w:t>
      </w:r>
    </w:p>
    <w:bookmarkEnd w:id="155"/>
    <w:bookmarkStart w:id="156" w:name="identification"/>
    <w:p>
      <w:pPr>
        <w:pStyle w:val="Heading1"/>
      </w:pPr>
      <w:r>
        <w:t xml:space="preserve">1. Identification</w:t>
      </w:r>
    </w:p>
    <w:p>
      <w:pPr>
        <w:pStyle w:val="Compact"/>
        <w:numPr>
          <w:ilvl w:val="0"/>
          <w:numId w:val="1073"/>
        </w:numPr>
      </w:pPr>
      <w:r>
        <w:t xml:space="preserve">initiative ;</w:t>
      </w:r>
    </w:p>
    <w:p>
      <w:pPr>
        <w:pStyle w:val="Compact"/>
        <w:numPr>
          <w:ilvl w:val="0"/>
          <w:numId w:val="1073"/>
        </w:numPr>
      </w:pPr>
      <w:r>
        <w:t xml:space="preserve">service ;</w:t>
      </w:r>
    </w:p>
    <w:p>
      <w:pPr>
        <w:pStyle w:val="Compact"/>
        <w:numPr>
          <w:ilvl w:val="0"/>
          <w:numId w:val="1073"/>
        </w:numPr>
      </w:pPr>
      <w:r>
        <w:t xml:space="preserve">responsable métier ;</w:t>
      </w:r>
    </w:p>
    <w:p>
      <w:pPr>
        <w:pStyle w:val="Compact"/>
        <w:numPr>
          <w:ilvl w:val="0"/>
          <w:numId w:val="1073"/>
        </w:numPr>
      </w:pPr>
      <w:r>
        <w:t xml:space="preserve">responsable technique ;</w:t>
      </w:r>
    </w:p>
    <w:p>
      <w:pPr>
        <w:pStyle w:val="Compact"/>
        <w:numPr>
          <w:ilvl w:val="0"/>
          <w:numId w:val="1073"/>
        </w:numPr>
      </w:pPr>
      <w:r>
        <w:t xml:space="preserve">version du CNISN ;</w:t>
      </w:r>
    </w:p>
    <w:p>
      <w:pPr>
        <w:pStyle w:val="Compact"/>
        <w:numPr>
          <w:ilvl w:val="0"/>
          <w:numId w:val="1073"/>
        </w:numPr>
      </w:pPr>
      <w:r>
        <w:t xml:space="preserve">version de l’ART ;</w:t>
      </w:r>
    </w:p>
    <w:p>
      <w:pPr>
        <w:pStyle w:val="Compact"/>
        <w:numPr>
          <w:ilvl w:val="0"/>
          <w:numId w:val="1073"/>
        </w:numPr>
      </w:pPr>
      <w:r>
        <w:t xml:space="preserve">version du PTISN.</w:t>
      </w:r>
    </w:p>
    <w:bookmarkEnd w:id="156"/>
    <w:bookmarkStart w:id="157" w:name="rattachement"/>
    <w:p>
      <w:pPr>
        <w:pStyle w:val="Heading1"/>
      </w:pPr>
      <w:r>
        <w:t xml:space="preserve">2. Rattachement</w:t>
      </w:r>
    </w:p>
    <w:p>
      <w:pPr>
        <w:pStyle w:val="Compact"/>
        <w:numPr>
          <w:ilvl w:val="0"/>
          <w:numId w:val="1074"/>
        </w:numPr>
      </w:pPr>
      <w:r>
        <w:t xml:space="preserve">value stream ;</w:t>
      </w:r>
    </w:p>
    <w:p>
      <w:pPr>
        <w:pStyle w:val="Compact"/>
        <w:numPr>
          <w:ilvl w:val="0"/>
          <w:numId w:val="1074"/>
        </w:numPr>
      </w:pPr>
      <w:r>
        <w:t xml:space="preserve">capacité CAE-SN ;</w:t>
      </w:r>
    </w:p>
    <w:p>
      <w:pPr>
        <w:pStyle w:val="Compact"/>
        <w:numPr>
          <w:ilvl w:val="0"/>
          <w:numId w:val="1074"/>
        </w:numPr>
      </w:pPr>
      <w:r>
        <w:t xml:space="preserve">capacité CNISN ;</w:t>
      </w:r>
    </w:p>
    <w:p>
      <w:pPr>
        <w:pStyle w:val="Compact"/>
        <w:numPr>
          <w:ilvl w:val="0"/>
          <w:numId w:val="1074"/>
        </w:numPr>
      </w:pPr>
      <w:r>
        <w:t xml:space="preserve">chapitres ART ;</w:t>
      </w:r>
    </w:p>
    <w:p>
      <w:pPr>
        <w:pStyle w:val="Compact"/>
        <w:numPr>
          <w:ilvl w:val="0"/>
          <w:numId w:val="1074"/>
        </w:numPr>
      </w:pPr>
      <w:r>
        <w:t xml:space="preserve">profils PTISN.</w:t>
      </w:r>
    </w:p>
    <w:bookmarkEnd w:id="157"/>
    <w:bookmarkStart w:id="158" w:name="interface"/>
    <w:p>
      <w:pPr>
        <w:pStyle w:val="Heading1"/>
      </w:pPr>
      <w:r>
        <w:t xml:space="preserve">3. Interface</w:t>
      </w:r>
    </w:p>
    <w:p>
      <w:pPr>
        <w:pStyle w:val="Compact"/>
        <w:numPr>
          <w:ilvl w:val="0"/>
          <w:numId w:val="1075"/>
        </w:numPr>
      </w:pPr>
      <w:r>
        <w:t xml:space="preserve">producteur ;</w:t>
      </w:r>
    </w:p>
    <w:p>
      <w:pPr>
        <w:pStyle w:val="Compact"/>
        <w:numPr>
          <w:ilvl w:val="0"/>
          <w:numId w:val="1075"/>
        </w:numPr>
      </w:pPr>
      <w:r>
        <w:t xml:space="preserve">consommateur ;</w:t>
      </w:r>
    </w:p>
    <w:p>
      <w:pPr>
        <w:pStyle w:val="Compact"/>
        <w:numPr>
          <w:ilvl w:val="0"/>
          <w:numId w:val="1075"/>
        </w:numPr>
      </w:pPr>
      <w:r>
        <w:t xml:space="preserve">opération ;</w:t>
      </w:r>
    </w:p>
    <w:p>
      <w:pPr>
        <w:pStyle w:val="Compact"/>
        <w:numPr>
          <w:ilvl w:val="0"/>
          <w:numId w:val="1075"/>
        </w:numPr>
      </w:pPr>
      <w:r>
        <w:t xml:space="preserve">protocole ;</w:t>
      </w:r>
    </w:p>
    <w:p>
      <w:pPr>
        <w:pStyle w:val="Compact"/>
        <w:numPr>
          <w:ilvl w:val="0"/>
          <w:numId w:val="1075"/>
        </w:numPr>
      </w:pPr>
      <w:r>
        <w:t xml:space="preserve">format ;</w:t>
      </w:r>
    </w:p>
    <w:p>
      <w:pPr>
        <w:pStyle w:val="Compact"/>
        <w:numPr>
          <w:ilvl w:val="0"/>
          <w:numId w:val="1075"/>
        </w:numPr>
      </w:pPr>
      <w:r>
        <w:t xml:space="preserve">version ;</w:t>
      </w:r>
    </w:p>
    <w:p>
      <w:pPr>
        <w:pStyle w:val="Compact"/>
        <w:numPr>
          <w:ilvl w:val="0"/>
          <w:numId w:val="1075"/>
        </w:numPr>
      </w:pPr>
      <w:r>
        <w:t xml:space="preserve">authentification ;</w:t>
      </w:r>
    </w:p>
    <w:p>
      <w:pPr>
        <w:pStyle w:val="Compact"/>
        <w:numPr>
          <w:ilvl w:val="0"/>
          <w:numId w:val="1075"/>
        </w:numPr>
      </w:pPr>
      <w:r>
        <w:t xml:space="preserve">autorisation ;</w:t>
      </w:r>
    </w:p>
    <w:p>
      <w:pPr>
        <w:pStyle w:val="Compact"/>
        <w:numPr>
          <w:ilvl w:val="0"/>
          <w:numId w:val="1075"/>
        </w:numPr>
      </w:pPr>
      <w:r>
        <w:t xml:space="preserve">niveau de service.</w:t>
      </w:r>
    </w:p>
    <w:bookmarkEnd w:id="158"/>
    <w:bookmarkStart w:id="159" w:name="standard"/>
    <w:p>
      <w:pPr>
        <w:pStyle w:val="Heading1"/>
      </w:pPr>
      <w:r>
        <w:t xml:space="preserve">4. Standard</w:t>
      </w:r>
    </w:p>
    <w:p>
      <w:pPr>
        <w:pStyle w:val="Compact"/>
        <w:numPr>
          <w:ilvl w:val="0"/>
          <w:numId w:val="1076"/>
        </w:numPr>
      </w:pPr>
      <w:r>
        <w:t xml:space="preserve">standard ;</w:t>
      </w:r>
    </w:p>
    <w:p>
      <w:pPr>
        <w:pStyle w:val="Compact"/>
        <w:numPr>
          <w:ilvl w:val="0"/>
          <w:numId w:val="1076"/>
        </w:numPr>
      </w:pPr>
      <w:r>
        <w:t xml:space="preserve">profil ;</w:t>
      </w:r>
    </w:p>
    <w:p>
      <w:pPr>
        <w:pStyle w:val="Compact"/>
        <w:numPr>
          <w:ilvl w:val="0"/>
          <w:numId w:val="1076"/>
        </w:numPr>
      </w:pPr>
      <w:r>
        <w:t xml:space="preserve">version ;</w:t>
      </w:r>
    </w:p>
    <w:p>
      <w:pPr>
        <w:pStyle w:val="Compact"/>
        <w:numPr>
          <w:ilvl w:val="0"/>
          <w:numId w:val="1076"/>
        </w:numPr>
      </w:pPr>
      <w:r>
        <w:t xml:space="preserve">options ;</w:t>
      </w:r>
    </w:p>
    <w:p>
      <w:pPr>
        <w:pStyle w:val="Compact"/>
        <w:numPr>
          <w:ilvl w:val="0"/>
          <w:numId w:val="1076"/>
        </w:numPr>
      </w:pPr>
      <w:r>
        <w:t xml:space="preserve">extensions nationales ;</w:t>
      </w:r>
    </w:p>
    <w:p>
      <w:pPr>
        <w:pStyle w:val="Compact"/>
        <w:numPr>
          <w:ilvl w:val="0"/>
          <w:numId w:val="1076"/>
        </w:numPr>
      </w:pPr>
      <w:r>
        <w:t xml:space="preserve">mécanisme de validation.</w:t>
      </w:r>
    </w:p>
    <w:bookmarkEnd w:id="159"/>
    <w:bookmarkStart w:id="160" w:name="implémentation"/>
    <w:p>
      <w:pPr>
        <w:pStyle w:val="Heading1"/>
      </w:pPr>
      <w:r>
        <w:t xml:space="preserve">5. Implémentation</w:t>
      </w:r>
    </w:p>
    <w:p>
      <w:pPr>
        <w:pStyle w:val="Compact"/>
        <w:numPr>
          <w:ilvl w:val="0"/>
          <w:numId w:val="1077"/>
        </w:numPr>
      </w:pPr>
      <w:r>
        <w:t xml:space="preserve">produit ;</w:t>
      </w:r>
    </w:p>
    <w:p>
      <w:pPr>
        <w:pStyle w:val="Compact"/>
        <w:numPr>
          <w:ilvl w:val="0"/>
          <w:numId w:val="1077"/>
        </w:numPr>
      </w:pPr>
      <w:r>
        <w:t xml:space="preserve">version ;</w:t>
      </w:r>
    </w:p>
    <w:p>
      <w:pPr>
        <w:pStyle w:val="Compact"/>
        <w:numPr>
          <w:ilvl w:val="0"/>
          <w:numId w:val="1077"/>
        </w:numPr>
      </w:pPr>
      <w:r>
        <w:t xml:space="preserve">mode de déploiement ;</w:t>
      </w:r>
    </w:p>
    <w:p>
      <w:pPr>
        <w:pStyle w:val="Compact"/>
        <w:numPr>
          <w:ilvl w:val="0"/>
          <w:numId w:val="1077"/>
        </w:numPr>
      </w:pPr>
      <w:r>
        <w:t xml:space="preserve">dépendances ;</w:t>
      </w:r>
    </w:p>
    <w:p>
      <w:pPr>
        <w:pStyle w:val="Compact"/>
        <w:numPr>
          <w:ilvl w:val="0"/>
          <w:numId w:val="1077"/>
        </w:numPr>
      </w:pPr>
      <w:r>
        <w:t xml:space="preserve">support ;</w:t>
      </w:r>
    </w:p>
    <w:p>
      <w:pPr>
        <w:pStyle w:val="Compact"/>
        <w:numPr>
          <w:ilvl w:val="0"/>
          <w:numId w:val="1077"/>
        </w:numPr>
      </w:pPr>
      <w:r>
        <w:t xml:space="preserve">licence ;</w:t>
      </w:r>
    </w:p>
    <w:p>
      <w:pPr>
        <w:pStyle w:val="Compact"/>
        <w:numPr>
          <w:ilvl w:val="0"/>
          <w:numId w:val="1077"/>
        </w:numPr>
      </w:pPr>
      <w:r>
        <w:t xml:space="preserve">coût total de possession ;</w:t>
      </w:r>
    </w:p>
    <w:p>
      <w:pPr>
        <w:pStyle w:val="Compact"/>
        <w:numPr>
          <w:ilvl w:val="0"/>
          <w:numId w:val="1077"/>
        </w:numPr>
      </w:pPr>
      <w:r>
        <w:t xml:space="preserve">stratégie de sortie.</w:t>
      </w:r>
    </w:p>
    <w:bookmarkEnd w:id="160"/>
    <w:bookmarkStart w:id="161" w:name="sécurité"/>
    <w:p>
      <w:pPr>
        <w:pStyle w:val="Heading1"/>
      </w:pPr>
      <w:r>
        <w:t xml:space="preserve">6. Sécurité</w:t>
      </w:r>
    </w:p>
    <w:p>
      <w:pPr>
        <w:pStyle w:val="Compact"/>
        <w:numPr>
          <w:ilvl w:val="0"/>
          <w:numId w:val="1078"/>
        </w:numPr>
      </w:pPr>
      <w:r>
        <w:t xml:space="preserve">classification ;</w:t>
      </w:r>
    </w:p>
    <w:p>
      <w:pPr>
        <w:pStyle w:val="Compact"/>
        <w:numPr>
          <w:ilvl w:val="0"/>
          <w:numId w:val="1078"/>
        </w:numPr>
      </w:pPr>
      <w:r>
        <w:t xml:space="preserve">base d’autorisation ;</w:t>
      </w:r>
    </w:p>
    <w:p>
      <w:pPr>
        <w:pStyle w:val="Compact"/>
        <w:numPr>
          <w:ilvl w:val="0"/>
          <w:numId w:val="1078"/>
        </w:numPr>
      </w:pPr>
      <w:r>
        <w:t xml:space="preserve">résidence ;</w:t>
      </w:r>
    </w:p>
    <w:p>
      <w:pPr>
        <w:pStyle w:val="Compact"/>
        <w:numPr>
          <w:ilvl w:val="0"/>
          <w:numId w:val="1078"/>
        </w:numPr>
      </w:pPr>
      <w:r>
        <w:t xml:space="preserve">chiffrement ;</w:t>
      </w:r>
    </w:p>
    <w:p>
      <w:pPr>
        <w:pStyle w:val="Compact"/>
        <w:numPr>
          <w:ilvl w:val="0"/>
          <w:numId w:val="1078"/>
        </w:numPr>
      </w:pPr>
      <w:r>
        <w:t xml:space="preserve">journalisation ;</w:t>
      </w:r>
    </w:p>
    <w:p>
      <w:pPr>
        <w:pStyle w:val="Compact"/>
        <w:numPr>
          <w:ilvl w:val="0"/>
          <w:numId w:val="1078"/>
        </w:numPr>
      </w:pPr>
      <w:r>
        <w:t xml:space="preserve">conservation ;</w:t>
      </w:r>
    </w:p>
    <w:p>
      <w:pPr>
        <w:pStyle w:val="Compact"/>
        <w:numPr>
          <w:ilvl w:val="0"/>
          <w:numId w:val="1078"/>
        </w:numPr>
      </w:pPr>
      <w:r>
        <w:t xml:space="preserve">gestion des incidents.</w:t>
      </w:r>
    </w:p>
    <w:bookmarkEnd w:id="161"/>
    <w:bookmarkStart w:id="162" w:name="conformité"/>
    <w:p>
      <w:pPr>
        <w:pStyle w:val="Heading1"/>
      </w:pPr>
      <w:r>
        <w:t xml:space="preserve">7. Conformité</w:t>
      </w:r>
    </w:p>
    <w:p>
      <w:pPr>
        <w:pStyle w:val="Compact"/>
        <w:numPr>
          <w:ilvl w:val="0"/>
          <w:numId w:val="1079"/>
        </w:numPr>
      </w:pPr>
      <w:r>
        <w:t xml:space="preserve">tests ;</w:t>
      </w:r>
    </w:p>
    <w:p>
      <w:pPr>
        <w:pStyle w:val="Compact"/>
        <w:numPr>
          <w:ilvl w:val="0"/>
          <w:numId w:val="1079"/>
        </w:numPr>
      </w:pPr>
      <w:r>
        <w:t xml:space="preserve">résultats ;</w:t>
      </w:r>
    </w:p>
    <w:p>
      <w:pPr>
        <w:pStyle w:val="Compact"/>
        <w:numPr>
          <w:ilvl w:val="0"/>
          <w:numId w:val="1079"/>
        </w:numPr>
      </w:pPr>
      <w:r>
        <w:t xml:space="preserve">preuves ;</w:t>
      </w:r>
    </w:p>
    <w:p>
      <w:pPr>
        <w:pStyle w:val="Compact"/>
        <w:numPr>
          <w:ilvl w:val="0"/>
          <w:numId w:val="1079"/>
        </w:numPr>
      </w:pPr>
      <w:r>
        <w:t xml:space="preserve">écarts ;</w:t>
      </w:r>
    </w:p>
    <w:p>
      <w:pPr>
        <w:pStyle w:val="Compact"/>
        <w:numPr>
          <w:ilvl w:val="0"/>
          <w:numId w:val="1079"/>
        </w:numPr>
      </w:pPr>
      <w:r>
        <w:t xml:space="preserve">dérogations ;</w:t>
      </w:r>
    </w:p>
    <w:p>
      <w:pPr>
        <w:pStyle w:val="Compact"/>
        <w:numPr>
          <w:ilvl w:val="0"/>
          <w:numId w:val="1079"/>
        </w:numPr>
      </w:pPr>
      <w:r>
        <w:t xml:space="preserve">plan de correction.</w:t>
      </w:r>
    </w:p>
    <w:p>
      <w:r>
        <w:pict>
          <v:rect style="width:0;height:1.5pt" o:hralign="center" o:hrstd="t" o:hr="t"/>
        </w:pict>
      </w:r>
    </w:p>
    <w:bookmarkEnd w:id="162"/>
    <w:bookmarkStart w:id="163" w:name="partie-vi-gouvernance-du-ptisn"/>
    <w:p>
      <w:pPr>
        <w:pStyle w:val="Heading1"/>
      </w:pPr>
      <w:r>
        <w:t xml:space="preserve">PARTIE VI — GOUVERNANCE DU PTISN</w:t>
      </w:r>
    </w:p>
    <w:bookmarkEnd w:id="163"/>
    <w:bookmarkStart w:id="164" w:name="instance-porteuse"/>
    <w:p>
      <w:pPr>
        <w:pStyle w:val="Heading1"/>
      </w:pPr>
      <w:r>
        <w:t xml:space="preserve">1. Instance porteuse</w:t>
      </w:r>
    </w:p>
    <w:p>
      <w:pPr>
        <w:pStyle w:val="FirstParagraph"/>
      </w:pPr>
      <w:r>
        <w:t xml:space="preserve">Le PTISN est gouverné par l’instance d’architecture sectorielle de santé, en coordination avec :</w:t>
      </w:r>
    </w:p>
    <w:p>
      <w:pPr>
        <w:pStyle w:val="Compact"/>
        <w:numPr>
          <w:ilvl w:val="0"/>
          <w:numId w:val="1080"/>
        </w:numPr>
      </w:pPr>
      <w:r>
        <w:t xml:space="preserve">l’Unité de Gouvernance Digitale ;</w:t>
      </w:r>
    </w:p>
    <w:p>
      <w:pPr>
        <w:pStyle w:val="Compact"/>
        <w:numPr>
          <w:ilvl w:val="0"/>
          <w:numId w:val="1080"/>
        </w:numPr>
      </w:pPr>
      <w:r>
        <w:t xml:space="preserve">la direction des systèmes d’information du secteur ;</w:t>
      </w:r>
    </w:p>
    <w:p>
      <w:pPr>
        <w:pStyle w:val="Compact"/>
        <w:numPr>
          <w:ilvl w:val="0"/>
          <w:numId w:val="1080"/>
        </w:numPr>
      </w:pPr>
      <w:r>
        <w:t xml:space="preserve">les directions métier ;</w:t>
      </w:r>
    </w:p>
    <w:p>
      <w:pPr>
        <w:pStyle w:val="Compact"/>
        <w:numPr>
          <w:ilvl w:val="0"/>
          <w:numId w:val="1080"/>
        </w:numPr>
      </w:pPr>
      <w:r>
        <w:t xml:space="preserve">les responsables des registres ;</w:t>
      </w:r>
    </w:p>
    <w:p>
      <w:pPr>
        <w:pStyle w:val="Compact"/>
        <w:numPr>
          <w:ilvl w:val="0"/>
          <w:numId w:val="1080"/>
        </w:numPr>
      </w:pPr>
      <w:r>
        <w:t xml:space="preserve">les autorités de cybersécurité ;</w:t>
      </w:r>
    </w:p>
    <w:p>
      <w:pPr>
        <w:pStyle w:val="Compact"/>
        <w:numPr>
          <w:ilvl w:val="0"/>
          <w:numId w:val="1080"/>
        </w:numPr>
      </w:pPr>
      <w:r>
        <w:t xml:space="preserve">l’autorité de protection des données ;</w:t>
      </w:r>
    </w:p>
    <w:p>
      <w:pPr>
        <w:pStyle w:val="Compact"/>
        <w:numPr>
          <w:ilvl w:val="0"/>
          <w:numId w:val="1080"/>
        </w:numPr>
      </w:pPr>
      <w:r>
        <w:t xml:space="preserve">les équipes d’exploitation.</w:t>
      </w:r>
    </w:p>
    <w:p>
      <w:r>
        <w:pict>
          <v:rect style="width:0;height:1.5pt" o:hralign="center" o:hrstd="t" o:hr="t"/>
        </w:pict>
      </w:r>
    </w:p>
    <w:bookmarkEnd w:id="164"/>
    <w:bookmarkStart w:id="165" w:name="processus-dadoption-dun-profil"/>
    <w:p>
      <w:pPr>
        <w:pStyle w:val="Heading1"/>
      </w:pPr>
      <w:r>
        <w:t xml:space="preserve">2. Processus d’adoption d’un profil</w:t>
      </w:r>
    </w:p>
    <w:p>
      <w:pPr>
        <w:pStyle w:val="SourceCode"/>
      </w:pPr>
      <w:r>
        <w:rPr>
          <w:rStyle w:val="VerbatimChar"/>
        </w:rPr>
        <w:t xml:space="preserve">Besoin d’interopérabilité</w:t>
      </w:r>
      <w:r>
        <w:br/>
      </w:r>
      <w:r>
        <w:rPr>
          <w:rStyle w:val="VerbatimChar"/>
        </w:rPr>
        <w:t xml:space="preserve">          │</w:t>
      </w:r>
      <w:r>
        <w:br/>
      </w:r>
      <w:r>
        <w:rPr>
          <w:rStyle w:val="VerbatimChar"/>
        </w:rPr>
        <w:t xml:space="preserve">          ▼</w:t>
      </w:r>
      <w:r>
        <w:br/>
      </w:r>
      <w:r>
        <w:rPr>
          <w:rStyle w:val="VerbatimChar"/>
        </w:rPr>
        <w:t xml:space="preserve">Analyse du cas d’usage</w:t>
      </w:r>
      <w:r>
        <w:br/>
      </w:r>
      <w:r>
        <w:rPr>
          <w:rStyle w:val="VerbatimChar"/>
        </w:rPr>
        <w:t xml:space="preserve">          │</w:t>
      </w:r>
      <w:r>
        <w:br/>
      </w:r>
      <w:r>
        <w:rPr>
          <w:rStyle w:val="VerbatimChar"/>
        </w:rPr>
        <w:t xml:space="preserve">          ▼</w:t>
      </w:r>
      <w:r>
        <w:br/>
      </w:r>
      <w:r>
        <w:rPr>
          <w:rStyle w:val="VerbatimChar"/>
        </w:rPr>
        <w:t xml:space="preserve">Évaluation des standards existants</w:t>
      </w:r>
      <w:r>
        <w:br/>
      </w:r>
      <w:r>
        <w:rPr>
          <w:rStyle w:val="VerbatimChar"/>
        </w:rPr>
        <w:t xml:space="preserve">          │</w:t>
      </w:r>
      <w:r>
        <w:br/>
      </w:r>
      <w:r>
        <w:rPr>
          <w:rStyle w:val="VerbatimChar"/>
        </w:rPr>
        <w:t xml:space="preserve">          ▼</w:t>
      </w:r>
      <w:r>
        <w:br/>
      </w:r>
      <w:r>
        <w:rPr>
          <w:rStyle w:val="VerbatimChar"/>
        </w:rPr>
        <w:t xml:space="preserve">Sélection d’un profil candidat</w:t>
      </w:r>
      <w:r>
        <w:br/>
      </w:r>
      <w:r>
        <w:rPr>
          <w:rStyle w:val="VerbatimChar"/>
        </w:rPr>
        <w:t xml:space="preserve">          │</w:t>
      </w:r>
      <w:r>
        <w:br/>
      </w:r>
      <w:r>
        <w:rPr>
          <w:rStyle w:val="VerbatimChar"/>
        </w:rPr>
        <w:t xml:space="preserve">          ▼</w:t>
      </w:r>
      <w:r>
        <w:br/>
      </w:r>
      <w:r>
        <w:rPr>
          <w:rStyle w:val="VerbatimChar"/>
        </w:rPr>
        <w:t xml:space="preserve">Pilote et tests de conformité</w:t>
      </w:r>
      <w:r>
        <w:br/>
      </w:r>
      <w:r>
        <w:rPr>
          <w:rStyle w:val="VerbatimChar"/>
        </w:rPr>
        <w:t xml:space="preserve">          │</w:t>
      </w:r>
      <w:r>
        <w:br/>
      </w:r>
      <w:r>
        <w:rPr>
          <w:rStyle w:val="VerbatimChar"/>
        </w:rPr>
        <w:t xml:space="preserve">          ▼</w:t>
      </w:r>
      <w:r>
        <w:br/>
      </w:r>
      <w:r>
        <w:rPr>
          <w:rStyle w:val="VerbatimChar"/>
        </w:rPr>
        <w:t xml:space="preserve">Évaluation opérationnelle</w:t>
      </w:r>
      <w:r>
        <w:br/>
      </w:r>
      <w:r>
        <w:rPr>
          <w:rStyle w:val="VerbatimChar"/>
        </w:rPr>
        <w:t xml:space="preserve">          │</w:t>
      </w:r>
      <w:r>
        <w:br/>
      </w:r>
      <w:r>
        <w:rPr>
          <w:rStyle w:val="VerbatimChar"/>
        </w:rPr>
        <w:t xml:space="preserve">          ▼</w:t>
      </w:r>
      <w:r>
        <w:br/>
      </w:r>
      <w:r>
        <w:rPr>
          <w:rStyle w:val="VerbatimChar"/>
        </w:rPr>
        <w:t xml:space="preserve">Décision nationale</w:t>
      </w:r>
      <w:r>
        <w:br/>
      </w:r>
      <w:r>
        <w:rPr>
          <w:rStyle w:val="VerbatimChar"/>
        </w:rPr>
        <w:t xml:space="preserve">          │</w:t>
      </w:r>
      <w:r>
        <w:br/>
      </w:r>
      <w:r>
        <w:rPr>
          <w:rStyle w:val="VerbatimChar"/>
        </w:rPr>
        <w:t xml:space="preserve">          ▼</w:t>
      </w:r>
      <w:r>
        <w:br/>
      </w:r>
      <w:r>
        <w:rPr>
          <w:rStyle w:val="VerbatimChar"/>
        </w:rPr>
        <w:t xml:space="preserve">Publication dans le PTISN</w:t>
      </w:r>
    </w:p>
    <w:p>
      <w:r>
        <w:pict>
          <v:rect style="width:0;height:1.5pt" o:hralign="center" o:hrstd="t" o:hr="t"/>
        </w:pict>
      </w:r>
    </w:p>
    <w:bookmarkEnd w:id="165"/>
    <w:bookmarkStart w:id="166" w:name="critères-dévaluation"/>
    <w:p>
      <w:pPr>
        <w:pStyle w:val="Heading1"/>
      </w:pPr>
      <w:r>
        <w:t xml:space="preserve">3. Critères d’évaluation</w:t>
      </w:r>
    </w:p>
    <w:p>
      <w:pPr>
        <w:pStyle w:val="FirstParagraph"/>
      </w:pPr>
      <w:r>
        <w:t xml:space="preserve">Un standard, profil ou produit est évalué selon :</w:t>
      </w:r>
    </w:p>
    <w:p>
      <w:pPr>
        <w:pStyle w:val="Compact"/>
        <w:numPr>
          <w:ilvl w:val="0"/>
          <w:numId w:val="1081"/>
        </w:numPr>
      </w:pPr>
      <w:r>
        <w:t xml:space="preserve">adéquation fonctionnelle ;</w:t>
      </w:r>
    </w:p>
    <w:p>
      <w:pPr>
        <w:pStyle w:val="Compact"/>
        <w:numPr>
          <w:ilvl w:val="0"/>
          <w:numId w:val="1081"/>
        </w:numPr>
      </w:pPr>
      <w:r>
        <w:t xml:space="preserve">maturité ;</w:t>
      </w:r>
    </w:p>
    <w:p>
      <w:pPr>
        <w:pStyle w:val="Compact"/>
        <w:numPr>
          <w:ilvl w:val="0"/>
          <w:numId w:val="1081"/>
        </w:numPr>
      </w:pPr>
      <w:r>
        <w:t xml:space="preserve">adoption ;</w:t>
      </w:r>
    </w:p>
    <w:p>
      <w:pPr>
        <w:pStyle w:val="Compact"/>
        <w:numPr>
          <w:ilvl w:val="0"/>
          <w:numId w:val="1081"/>
        </w:numPr>
      </w:pPr>
      <w:r>
        <w:t xml:space="preserve">ouverture ;</w:t>
      </w:r>
    </w:p>
    <w:p>
      <w:pPr>
        <w:pStyle w:val="Compact"/>
        <w:numPr>
          <w:ilvl w:val="0"/>
          <w:numId w:val="1081"/>
        </w:numPr>
      </w:pPr>
      <w:r>
        <w:t xml:space="preserve">interopérabilité ;</w:t>
      </w:r>
    </w:p>
    <w:p>
      <w:pPr>
        <w:pStyle w:val="Compact"/>
        <w:numPr>
          <w:ilvl w:val="0"/>
          <w:numId w:val="1081"/>
        </w:numPr>
      </w:pPr>
      <w:r>
        <w:t xml:space="preserve">sécurité ;</w:t>
      </w:r>
    </w:p>
    <w:p>
      <w:pPr>
        <w:pStyle w:val="Compact"/>
        <w:numPr>
          <w:ilvl w:val="0"/>
          <w:numId w:val="1081"/>
        </w:numPr>
      </w:pPr>
      <w:r>
        <w:t xml:space="preserve">souveraineté ;</w:t>
      </w:r>
    </w:p>
    <w:p>
      <w:pPr>
        <w:pStyle w:val="Compact"/>
        <w:numPr>
          <w:ilvl w:val="0"/>
          <w:numId w:val="1081"/>
        </w:numPr>
      </w:pPr>
      <w:r>
        <w:t xml:space="preserve">capacité hors ligne ;</w:t>
      </w:r>
    </w:p>
    <w:p>
      <w:pPr>
        <w:pStyle w:val="Compact"/>
        <w:numPr>
          <w:ilvl w:val="0"/>
          <w:numId w:val="1081"/>
        </w:numPr>
      </w:pPr>
      <w:r>
        <w:t xml:space="preserve">performance ;</w:t>
      </w:r>
    </w:p>
    <w:p>
      <w:pPr>
        <w:pStyle w:val="Compact"/>
        <w:numPr>
          <w:ilvl w:val="0"/>
          <w:numId w:val="1081"/>
        </w:numPr>
      </w:pPr>
      <w:r>
        <w:t xml:space="preserve">exploitabilité ;</w:t>
      </w:r>
    </w:p>
    <w:p>
      <w:pPr>
        <w:pStyle w:val="Compact"/>
        <w:numPr>
          <w:ilvl w:val="0"/>
          <w:numId w:val="1081"/>
        </w:numPr>
      </w:pPr>
      <w:r>
        <w:t xml:space="preserve">compétences disponibles ;</w:t>
      </w:r>
    </w:p>
    <w:p>
      <w:pPr>
        <w:pStyle w:val="Compact"/>
        <w:numPr>
          <w:ilvl w:val="0"/>
          <w:numId w:val="1081"/>
        </w:numPr>
      </w:pPr>
      <w:r>
        <w:t xml:space="preserve">coût total de possession ;</w:t>
      </w:r>
    </w:p>
    <w:p>
      <w:pPr>
        <w:pStyle w:val="Compact"/>
        <w:numPr>
          <w:ilvl w:val="0"/>
          <w:numId w:val="1081"/>
        </w:numPr>
      </w:pPr>
      <w:r>
        <w:t xml:space="preserve">réversibilité ;</w:t>
      </w:r>
    </w:p>
    <w:p>
      <w:pPr>
        <w:pStyle w:val="Compact"/>
        <w:numPr>
          <w:ilvl w:val="0"/>
          <w:numId w:val="1081"/>
        </w:numPr>
      </w:pPr>
      <w:r>
        <w:t xml:space="preserve">conformité au cadre national.</w:t>
      </w:r>
    </w:p>
    <w:p>
      <w:r>
        <w:pict>
          <v:rect style="width:0;height:1.5pt" o:hralign="center" o:hrstd="t" o:hr="t"/>
        </w:pict>
      </w:r>
    </w:p>
    <w:bookmarkEnd w:id="166"/>
    <w:bookmarkStart w:id="167" w:name="homologation-dun-produit"/>
    <w:p>
      <w:pPr>
        <w:pStyle w:val="Heading1"/>
      </w:pPr>
      <w:r>
        <w:t xml:space="preserve">4. Homologation d’un produit</w:t>
      </w:r>
    </w:p>
    <w:p>
      <w:pPr>
        <w:pStyle w:val="FirstParagraph"/>
      </w:pPr>
      <w:r>
        <w:t xml:space="preserve">Un produit n’est pas homologué uniquement parce qu’il implémente un standard reconnu.</w:t>
      </w:r>
    </w:p>
    <w:p>
      <w:pPr>
        <w:pStyle w:val="BodyText"/>
      </w:pPr>
      <w:r>
        <w:t xml:space="preserve">L’homologation doit vérifier :</w:t>
      </w:r>
    </w:p>
    <w:p>
      <w:pPr>
        <w:pStyle w:val="Compact"/>
        <w:numPr>
          <w:ilvl w:val="0"/>
          <w:numId w:val="1082"/>
        </w:numPr>
      </w:pPr>
      <w:r>
        <w:t xml:space="preserve">la version réellement supportée ;</w:t>
      </w:r>
    </w:p>
    <w:p>
      <w:pPr>
        <w:pStyle w:val="Compact"/>
        <w:numPr>
          <w:ilvl w:val="0"/>
          <w:numId w:val="1082"/>
        </w:numPr>
      </w:pPr>
      <w:r>
        <w:t xml:space="preserve">les options ;</w:t>
      </w:r>
    </w:p>
    <w:p>
      <w:pPr>
        <w:pStyle w:val="Compact"/>
        <w:numPr>
          <w:ilvl w:val="0"/>
          <w:numId w:val="1082"/>
        </w:numPr>
      </w:pPr>
      <w:r>
        <w:t xml:space="preserve">les extensions ;</w:t>
      </w:r>
    </w:p>
    <w:p>
      <w:pPr>
        <w:pStyle w:val="Compact"/>
        <w:numPr>
          <w:ilvl w:val="0"/>
          <w:numId w:val="1082"/>
        </w:numPr>
      </w:pPr>
      <w:r>
        <w:t xml:space="preserve">les tests ;</w:t>
      </w:r>
    </w:p>
    <w:p>
      <w:pPr>
        <w:pStyle w:val="Compact"/>
        <w:numPr>
          <w:ilvl w:val="0"/>
          <w:numId w:val="1082"/>
        </w:numPr>
      </w:pPr>
      <w:r>
        <w:t xml:space="preserve">la sécurité ;</w:t>
      </w:r>
    </w:p>
    <w:p>
      <w:pPr>
        <w:pStyle w:val="Compact"/>
        <w:numPr>
          <w:ilvl w:val="0"/>
          <w:numId w:val="1082"/>
        </w:numPr>
      </w:pPr>
      <w:r>
        <w:t xml:space="preserve">l’exploitation ;</w:t>
      </w:r>
    </w:p>
    <w:p>
      <w:pPr>
        <w:pStyle w:val="Compact"/>
        <w:numPr>
          <w:ilvl w:val="0"/>
          <w:numId w:val="1082"/>
        </w:numPr>
      </w:pPr>
      <w:r>
        <w:t xml:space="preserve">la continuité ;</w:t>
      </w:r>
    </w:p>
    <w:p>
      <w:pPr>
        <w:pStyle w:val="Compact"/>
        <w:numPr>
          <w:ilvl w:val="0"/>
          <w:numId w:val="1082"/>
        </w:numPr>
      </w:pPr>
      <w:r>
        <w:t xml:space="preserve">la portabilité ;</w:t>
      </w:r>
    </w:p>
    <w:p>
      <w:pPr>
        <w:pStyle w:val="Compact"/>
        <w:numPr>
          <w:ilvl w:val="0"/>
          <w:numId w:val="1082"/>
        </w:numPr>
      </w:pPr>
      <w:r>
        <w:t xml:space="preserve">l’export des données ;</w:t>
      </w:r>
    </w:p>
    <w:p>
      <w:pPr>
        <w:pStyle w:val="Compact"/>
        <w:numPr>
          <w:ilvl w:val="0"/>
          <w:numId w:val="1082"/>
        </w:numPr>
      </w:pPr>
      <w:r>
        <w:t xml:space="preserve">la documentation ;</w:t>
      </w:r>
    </w:p>
    <w:p>
      <w:pPr>
        <w:pStyle w:val="Compact"/>
        <w:numPr>
          <w:ilvl w:val="0"/>
          <w:numId w:val="1082"/>
        </w:numPr>
      </w:pPr>
      <w:r>
        <w:t xml:space="preserve">les coûts ;</w:t>
      </w:r>
    </w:p>
    <w:p>
      <w:pPr>
        <w:pStyle w:val="Compact"/>
        <w:numPr>
          <w:ilvl w:val="0"/>
          <w:numId w:val="1082"/>
        </w:numPr>
      </w:pPr>
      <w:r>
        <w:t xml:space="preserve">la stratégie de sortie.</w:t>
      </w:r>
    </w:p>
    <w:p>
      <w:r>
        <w:pict>
          <v:rect style="width:0;height:1.5pt" o:hralign="center" o:hrstd="t" o:hr="t"/>
        </w:pict>
      </w:r>
    </w:p>
    <w:bookmarkEnd w:id="167"/>
    <w:bookmarkStart w:id="168" w:name="gestion-des-versions"/>
    <w:p>
      <w:pPr>
        <w:pStyle w:val="Heading1"/>
      </w:pPr>
      <w:r>
        <w:t xml:space="preserve">5. Gestion des versions</w:t>
      </w:r>
    </w:p>
    <w:p>
      <w:pPr>
        <w:pStyle w:val="FirstParagraph"/>
      </w:pPr>
      <w:r>
        <w:t xml:space="preserve">Une nouvelle version du PTISN doit préciser :</w:t>
      </w:r>
    </w:p>
    <w:p>
      <w:pPr>
        <w:pStyle w:val="Compact"/>
        <w:numPr>
          <w:ilvl w:val="0"/>
          <w:numId w:val="1083"/>
        </w:numPr>
      </w:pPr>
      <w:r>
        <w:t xml:space="preserve">les profils ajoutés ;</w:t>
      </w:r>
    </w:p>
    <w:p>
      <w:pPr>
        <w:pStyle w:val="Compact"/>
        <w:numPr>
          <w:ilvl w:val="0"/>
          <w:numId w:val="1083"/>
        </w:numPr>
      </w:pPr>
      <w:r>
        <w:t xml:space="preserve">les profils modifiés ;</w:t>
      </w:r>
    </w:p>
    <w:p>
      <w:pPr>
        <w:pStyle w:val="Compact"/>
        <w:numPr>
          <w:ilvl w:val="0"/>
          <w:numId w:val="1083"/>
        </w:numPr>
      </w:pPr>
      <w:r>
        <w:t xml:space="preserve">les profils dépréciés ;</w:t>
      </w:r>
    </w:p>
    <w:p>
      <w:pPr>
        <w:pStyle w:val="Compact"/>
        <w:numPr>
          <w:ilvl w:val="0"/>
          <w:numId w:val="1083"/>
        </w:numPr>
      </w:pPr>
      <w:r>
        <w:t xml:space="preserve">les produits concernés ;</w:t>
      </w:r>
    </w:p>
    <w:p>
      <w:pPr>
        <w:pStyle w:val="Compact"/>
        <w:numPr>
          <w:ilvl w:val="0"/>
          <w:numId w:val="1083"/>
        </w:numPr>
      </w:pPr>
      <w:r>
        <w:t xml:space="preserve">les impacts sur les initiatives ;</w:t>
      </w:r>
    </w:p>
    <w:p>
      <w:pPr>
        <w:pStyle w:val="Compact"/>
        <w:numPr>
          <w:ilvl w:val="0"/>
          <w:numId w:val="1083"/>
        </w:numPr>
      </w:pPr>
      <w:r>
        <w:t xml:space="preserve">les périodes de transition ;</w:t>
      </w:r>
    </w:p>
    <w:p>
      <w:pPr>
        <w:pStyle w:val="Compact"/>
        <w:numPr>
          <w:ilvl w:val="0"/>
          <w:numId w:val="1083"/>
        </w:numPr>
      </w:pPr>
      <w:r>
        <w:t xml:space="preserve">la date d’entrée en vigueur.</w:t>
      </w:r>
    </w:p>
    <w:p>
      <w:r>
        <w:pict>
          <v:rect style="width:0;height:1.5pt" o:hralign="center" o:hrstd="t" o:hr="t"/>
        </w:pict>
      </w:r>
    </w:p>
    <w:bookmarkEnd w:id="168"/>
    <w:bookmarkStart w:id="169" w:name="annexe-a-synthèse-des-choix"/>
    <w:p>
      <w:pPr>
        <w:pStyle w:val="Heading1"/>
      </w:pPr>
      <w:r>
        <w:t xml:space="preserve">ANNEXE A — SYNTHÈSE DES CHOIX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Domaine</w:t>
            </w:r>
          </w:p>
        </w:tc>
        <w:tc>
          <w:tcPr/>
          <w:p>
            <w:pPr>
              <w:pStyle w:val="Compact"/>
            </w:pPr>
            <w:r>
              <w:t xml:space="preserve">Standard ou profil cible</w:t>
            </w:r>
          </w:p>
        </w:tc>
        <w:tc>
          <w:tcPr/>
          <w:p>
            <w:pPr>
              <w:pStyle w:val="Compact"/>
            </w:pPr>
            <w:r>
              <w:t xml:space="preserve">Produit ou implémentation</w:t>
            </w:r>
          </w:p>
        </w:tc>
        <w:tc>
          <w:tcPr/>
          <w:p>
            <w:pPr>
              <w:pStyle w:val="Compact"/>
            </w:pPr>
            <w:r>
              <w:t xml:space="preserve">Statut</w:t>
            </w:r>
          </w:p>
        </w:tc>
      </w:tr>
      <w:tr>
        <w:tc>
          <w:tcPr/>
          <w:p>
            <w:pPr>
              <w:pStyle w:val="Compact"/>
            </w:pPr>
            <w:r>
              <w:t xml:space="preserve">Échange interinstitutionnel</w:t>
            </w:r>
          </w:p>
        </w:tc>
        <w:tc>
          <w:tcPr/>
          <w:p>
            <w:pPr>
              <w:pStyle w:val="Compact"/>
            </w:pPr>
            <w:r>
              <w:t xml:space="preserve">Protocoles du CNI</w:t>
            </w:r>
          </w:p>
        </w:tc>
        <w:tc>
          <w:tcPr/>
          <w:p>
            <w:pPr>
              <w:pStyle w:val="Compact"/>
            </w:pPr>
            <w:r>
              <w:t xml:space="preserve">X-Road</w:t>
            </w:r>
          </w:p>
        </w:tc>
        <w:tc>
          <w:tcPr/>
          <w:p>
            <w:pPr>
              <w:pStyle w:val="Compact"/>
            </w:pPr>
            <w:r>
              <w:t xml:space="preserve">Retenu nationalement</w:t>
            </w:r>
          </w:p>
        </w:tc>
      </w:tr>
      <w:tr>
        <w:tc>
          <w:tcPr/>
          <w:p>
            <w:pPr>
              <w:pStyle w:val="Compact"/>
            </w:pPr>
            <w:r>
              <w:t xml:space="preserve">Médiation santé</w:t>
            </w:r>
          </w:p>
        </w:tc>
        <w:tc>
          <w:tcPr/>
          <w:p>
            <w:pPr>
              <w:pStyle w:val="Compact"/>
            </w:pPr>
            <w:r>
              <w:t xml:space="preserve">Contrats ART-1/ART-2</w:t>
            </w:r>
          </w:p>
        </w:tc>
        <w:tc>
          <w:tcPr/>
          <w:p>
            <w:pPr>
              <w:pStyle w:val="Compact"/>
            </w:pPr>
            <w:r>
              <w:t xml:space="preserve">OpenHIM</w:t>
            </w:r>
          </w:p>
        </w:tc>
        <w:tc>
          <w:tcPr/>
          <w:p>
            <w:pPr>
              <w:pStyle w:val="Compact"/>
            </w:pPr>
            <w:r>
              <w:t xml:space="preserve">Candidat recommandé</w:t>
            </w:r>
          </w:p>
        </w:tc>
      </w:tr>
      <w:tr>
        <w:tc>
          <w:tcPr/>
          <w:p>
            <w:pPr>
              <w:pStyle w:val="Compact"/>
            </w:pPr>
            <w:r>
              <w:t xml:space="preserve">Catalogue de services</w:t>
            </w:r>
          </w:p>
        </w:tc>
        <w:tc>
          <w:tcPr/>
          <w:p>
            <w:pPr>
              <w:pStyle w:val="Compact"/>
            </w:pPr>
            <w:r>
              <w:t xml:space="preserve">OpenAPI et métadonnées nationales</w:t>
            </w:r>
          </w:p>
        </w:tc>
        <w:tc>
          <w:tcPr/>
          <w:p>
            <w:pPr>
              <w:pStyle w:val="Compact"/>
            </w:pPr>
            <w:r>
              <w:t xml:space="preserve">À sélectionner</w:t>
            </w:r>
          </w:p>
        </w:tc>
        <w:tc>
          <w:tcPr/>
          <w:p>
            <w:pPr>
              <w:pStyle w:val="Compact"/>
            </w:pPr>
            <w:r>
              <w:t xml:space="preserve">À instruire</w:t>
            </w:r>
          </w:p>
        </w:tc>
      </w:tr>
      <w:tr>
        <w:tc>
          <w:tcPr/>
          <w:p>
            <w:pPr>
              <w:pStyle w:val="Compact"/>
            </w:pPr>
            <w:r>
              <w:t xml:space="preserve">Registre de contrats</w:t>
            </w:r>
          </w:p>
        </w:tc>
        <w:tc>
          <w:tcPr/>
          <w:p>
            <w:pPr>
              <w:pStyle w:val="Compact"/>
            </w:pPr>
            <w:r>
              <w:t xml:space="preserve">FHIR IG, JSON Schema, OpenAPI, AsyncAPI</w:t>
            </w:r>
          </w:p>
        </w:tc>
        <w:tc>
          <w:tcPr/>
          <w:p>
            <w:pPr>
              <w:pStyle w:val="Compact"/>
            </w:pPr>
            <w:r>
              <w:t xml:space="preserve">À sélectionner</w:t>
            </w:r>
          </w:p>
        </w:tc>
        <w:tc>
          <w:tcPr/>
          <w:p>
            <w:pPr>
              <w:pStyle w:val="Compact"/>
            </w:pPr>
            <w:r>
              <w:t xml:space="preserve">À instruire</w:t>
            </w:r>
          </w:p>
        </w:tc>
      </w:tr>
      <w:tr>
        <w:tc>
          <w:tcPr/>
          <w:p>
            <w:pPr>
              <w:pStyle w:val="Compact"/>
            </w:pPr>
            <w:r>
              <w:t xml:space="preserve">Identité bénéficiaire</w:t>
            </w:r>
          </w:p>
        </w:tc>
        <w:tc>
          <w:tcPr/>
          <w:p>
            <w:pPr>
              <w:pStyle w:val="Compact"/>
            </w:pPr>
            <w:r>
              <w:t xml:space="preserve">PIXm, PDQm, FHIR Patient</w:t>
            </w:r>
          </w:p>
        </w:tc>
        <w:tc>
          <w:tcPr/>
          <w:p>
            <w:pPr>
              <w:pStyle w:val="Compact"/>
            </w:pPr>
            <w:r>
              <w:t xml:space="preserve">À sélectionner</w:t>
            </w:r>
          </w:p>
        </w:tc>
        <w:tc>
          <w:tcPr/>
          <w:p>
            <w:pPr>
              <w:pStyle w:val="Compact"/>
            </w:pPr>
            <w:r>
              <w:t xml:space="preserve">Profils recommandés</w:t>
            </w:r>
          </w:p>
        </w:tc>
      </w:tr>
      <w:tr>
        <w:tc>
          <w:tcPr/>
          <w:p>
            <w:pPr>
              <w:pStyle w:val="Compact"/>
            </w:pPr>
            <w:r>
              <w:t xml:space="preserve">Registre professionnel</w:t>
            </w:r>
          </w:p>
        </w:tc>
        <w:tc>
          <w:tcPr/>
          <w:p>
            <w:pPr>
              <w:pStyle w:val="Compact"/>
            </w:pPr>
            <w:r>
              <w:t xml:space="preserve">mCSD et modèle national</w:t>
            </w:r>
          </w:p>
        </w:tc>
        <w:tc>
          <w:tcPr/>
          <w:p>
            <w:pPr>
              <w:pStyle w:val="Compact"/>
            </w:pPr>
            <w:r>
              <w:t xml:space="preserve">À sélectionner</w:t>
            </w:r>
          </w:p>
        </w:tc>
        <w:tc>
          <w:tcPr/>
          <w:p>
            <w:pPr>
              <w:pStyle w:val="Compact"/>
            </w:pPr>
            <w:r>
              <w:t xml:space="preserve">Recommandé</w:t>
            </w:r>
          </w:p>
        </w:tc>
      </w:tr>
      <w:tr>
        <w:tc>
          <w:tcPr/>
          <w:p>
            <w:pPr>
              <w:pStyle w:val="Compact"/>
            </w:pPr>
            <w:r>
              <w:t xml:space="preserve">Registre des structures</w:t>
            </w:r>
          </w:p>
        </w:tc>
        <w:tc>
          <w:tcPr/>
          <w:p>
            <w:pPr>
              <w:pStyle w:val="Compact"/>
            </w:pPr>
            <w:r>
              <w:t xml:space="preserve">mCSD</w:t>
            </w:r>
          </w:p>
        </w:tc>
        <w:tc>
          <w:tcPr/>
          <w:p>
            <w:pPr>
              <w:pStyle w:val="Compact"/>
            </w:pPr>
            <w:r>
              <w:t xml:space="preserve">À sélectionner</w:t>
            </w:r>
          </w:p>
        </w:tc>
        <w:tc>
          <w:tcPr/>
          <w:p>
            <w:pPr>
              <w:pStyle w:val="Compact"/>
            </w:pPr>
            <w:r>
              <w:t xml:space="preserve">Recommandé</w:t>
            </w:r>
          </w:p>
        </w:tc>
      </w:tr>
      <w:tr>
        <w:tc>
          <w:tcPr/>
          <w:p>
            <w:pPr>
              <w:pStyle w:val="Compact"/>
            </w:pPr>
            <w:r>
              <w:t xml:space="preserve">Terminologie</w:t>
            </w:r>
          </w:p>
        </w:tc>
        <w:tc>
          <w:tcPr/>
          <w:p>
            <w:pPr>
              <w:pStyle w:val="Compact"/>
            </w:pPr>
            <w:r>
              <w:t xml:space="preserve">SVCM</w:t>
            </w:r>
          </w:p>
        </w:tc>
        <w:tc>
          <w:tcPr/>
          <w:p>
            <w:pPr>
              <w:pStyle w:val="Compact"/>
            </w:pPr>
            <w:r>
              <w:t xml:space="preserve">À sélectionner</w:t>
            </w:r>
          </w:p>
        </w:tc>
        <w:tc>
          <w:tcPr/>
          <w:p>
            <w:pPr>
              <w:pStyle w:val="Compact"/>
            </w:pPr>
            <w:r>
              <w:t xml:space="preserve">Recommandé</w:t>
            </w:r>
          </w:p>
        </w:tc>
      </w:tr>
      <w:tr>
        <w:tc>
          <w:tcPr/>
          <w:p>
            <w:pPr>
              <w:pStyle w:val="Compact"/>
            </w:pPr>
            <w:r>
              <w:t xml:space="preserve">Données agrégées</w:t>
            </w:r>
          </w:p>
        </w:tc>
        <w:tc>
          <w:tcPr/>
          <w:p>
            <w:pPr>
              <w:pStyle w:val="Compact"/>
            </w:pPr>
            <w:r>
              <w:t xml:space="preserve">mADX</w:t>
            </w:r>
          </w:p>
        </w:tc>
        <w:tc>
          <w:tcPr/>
          <w:p>
            <w:pPr>
              <w:pStyle w:val="Compact"/>
            </w:pPr>
            <w:r>
              <w:t xml:space="preserve">À sélectionner</w:t>
            </w:r>
          </w:p>
        </w:tc>
        <w:tc>
          <w:tcPr/>
          <w:p>
            <w:pPr>
              <w:pStyle w:val="Compact"/>
            </w:pPr>
            <w:r>
              <w:t xml:space="preserve">Recommandé</w:t>
            </w:r>
          </w:p>
        </w:tc>
      </w:tr>
      <w:tr>
        <w:tc>
          <w:tcPr/>
          <w:p>
            <w:pPr>
              <w:pStyle w:val="Compact"/>
            </w:pPr>
            <w:r>
              <w:t xml:space="preserve">Analytique</w:t>
            </w:r>
          </w:p>
        </w:tc>
        <w:tc>
          <w:tcPr/>
          <w:p>
            <w:pPr>
              <w:pStyle w:val="Compact"/>
            </w:pPr>
            <w:r>
              <w:t xml:space="preserve">API ouvertes, mADX lorsque applicable</w:t>
            </w:r>
          </w:p>
        </w:tc>
        <w:tc>
          <w:tcPr/>
          <w:p>
            <w:pPr>
              <w:pStyle w:val="Compact"/>
            </w:pPr>
            <w:r>
              <w:t xml:space="preserve">À sélectionner par initiative</w:t>
            </w:r>
          </w:p>
        </w:tc>
        <w:tc>
          <w:tcPr/>
          <w:p>
            <w:pPr>
              <w:pStyle w:val="Compact"/>
            </w:pPr>
            <w:r>
              <w:t xml:space="preserve">À instruire</w:t>
            </w:r>
          </w:p>
        </w:tc>
      </w:tr>
      <w:tr>
        <w:tc>
          <w:tcPr/>
          <w:p>
            <w:pPr>
              <w:pStyle w:val="Compact"/>
            </w:pPr>
            <w:r>
              <w:t xml:space="preserve">Autorisation REST/FHIR</w:t>
            </w:r>
          </w:p>
        </w:tc>
        <w:tc>
          <w:tcPr/>
          <w:p>
            <w:pPr>
              <w:pStyle w:val="Compact"/>
            </w:pPr>
            <w:r>
              <w:t xml:space="preserve">IUA, OAuth 2.0/OIDC</w:t>
            </w:r>
          </w:p>
        </w:tc>
        <w:tc>
          <w:tcPr/>
          <w:p>
            <w:pPr>
              <w:pStyle w:val="Compact"/>
            </w:pPr>
            <w:r>
              <w:t xml:space="preserve">À sélectionner</w:t>
            </w:r>
          </w:p>
        </w:tc>
        <w:tc>
          <w:tcPr/>
          <w:p>
            <w:pPr>
              <w:pStyle w:val="Compact"/>
            </w:pPr>
            <w:r>
              <w:t xml:space="preserve">Recommandé</w:t>
            </w:r>
          </w:p>
        </w:tc>
      </w:tr>
      <w:tr>
        <w:tc>
          <w:tcPr/>
          <w:p>
            <w:pPr>
              <w:pStyle w:val="Compact"/>
            </w:pPr>
            <w:r>
              <w:t xml:space="preserve">Audit</w:t>
            </w:r>
          </w:p>
        </w:tc>
        <w:tc>
          <w:tcPr/>
          <w:p>
            <w:pPr>
              <w:pStyle w:val="Compact"/>
            </w:pPr>
            <w:r>
              <w:t xml:space="preserve">AuditEvent, ATNA</w:t>
            </w:r>
          </w:p>
        </w:tc>
        <w:tc>
          <w:tcPr/>
          <w:p>
            <w:pPr>
              <w:pStyle w:val="Compact"/>
            </w:pPr>
            <w:r>
              <w:t xml:space="preserve">À sélectionner</w:t>
            </w:r>
          </w:p>
        </w:tc>
        <w:tc>
          <w:tcPr/>
          <w:p>
            <w:pPr>
              <w:pStyle w:val="Compact"/>
            </w:pPr>
            <w:r>
              <w:t xml:space="preserve">Recommandé</w:t>
            </w:r>
          </w:p>
        </w:tc>
      </w:tr>
      <w:tr>
        <w:tc>
          <w:tcPr/>
          <w:p>
            <w:pPr>
              <w:pStyle w:val="Compact"/>
            </w:pPr>
            <w:r>
              <w:t xml:space="preserve">Provenance</w:t>
            </w:r>
          </w:p>
        </w:tc>
        <w:tc>
          <w:tcPr/>
          <w:p>
            <w:pPr>
              <w:pStyle w:val="Compact"/>
            </w:pPr>
            <w:r>
              <w:t xml:space="preserve">FHIR Provenance</w:t>
            </w:r>
          </w:p>
        </w:tc>
        <w:tc>
          <w:tcPr/>
          <w:p>
            <w:pPr>
              <w:pStyle w:val="Compact"/>
            </w:pPr>
            <w:r>
              <w:t xml:space="preserve">À sélectionner</w:t>
            </w:r>
          </w:p>
        </w:tc>
        <w:tc>
          <w:tcPr/>
          <w:p>
            <w:pPr>
              <w:pStyle w:val="Compact"/>
            </w:pPr>
            <w:r>
              <w:t xml:space="preserve">Recommandé</w:t>
            </w:r>
          </w:p>
        </w:tc>
      </w:tr>
      <w:tr>
        <w:tc>
          <w:tcPr/>
          <w:p>
            <w:pPr>
              <w:pStyle w:val="Compact"/>
            </w:pPr>
            <w:r>
              <w:t xml:space="preserve">Consentement</w:t>
            </w:r>
          </w:p>
        </w:tc>
        <w:tc>
          <w:tcPr/>
          <w:p>
            <w:pPr>
              <w:pStyle w:val="Compact"/>
            </w:pPr>
            <w:r>
              <w:t xml:space="preserve">Profil national à définir</w:t>
            </w:r>
          </w:p>
        </w:tc>
        <w:tc>
          <w:tcPr/>
          <w:p>
            <w:pPr>
              <w:pStyle w:val="Compact"/>
            </w:pPr>
            <w:r>
              <w:t xml:space="preserve">À sélectionner</w:t>
            </w:r>
          </w:p>
        </w:tc>
        <w:tc>
          <w:tcPr/>
          <w:p>
            <w:pPr>
              <w:pStyle w:val="Compact"/>
            </w:pPr>
            <w:r>
              <w:t xml:space="preserve">À instruire</w:t>
            </w:r>
          </w:p>
        </w:tc>
      </w:tr>
      <w:tr>
        <w:tc>
          <w:tcPr/>
          <w:p>
            <w:pPr>
              <w:pStyle w:val="Compact"/>
            </w:pPr>
            <w:r>
              <w:t xml:space="preserve">Qualité et réconciliation</w:t>
            </w:r>
          </w:p>
        </w:tc>
        <w:tc>
          <w:tcPr/>
          <w:p>
            <w:pPr>
              <w:pStyle w:val="Compact"/>
            </w:pPr>
            <w:r>
              <w:t xml:space="preserve">Contrats ART-5</w:t>
            </w:r>
          </w:p>
        </w:tc>
        <w:tc>
          <w:tcPr/>
          <w:p>
            <w:pPr>
              <w:pStyle w:val="Compact"/>
            </w:pPr>
            <w:r>
              <w:t xml:space="preserve">À sélectionner</w:t>
            </w:r>
          </w:p>
        </w:tc>
        <w:tc>
          <w:tcPr/>
          <w:p>
            <w:pPr>
              <w:pStyle w:val="Compact"/>
            </w:pPr>
            <w:r>
              <w:t xml:space="preserve">Requis</w:t>
            </w:r>
          </w:p>
        </w:tc>
      </w:tr>
    </w:tbl>
    <w:p>
      <w:r>
        <w:pict>
          <v:rect style="width:0;height:1.5pt" o:hralign="center" o:hrstd="t" o:hr="t"/>
        </w:pict>
      </w:r>
    </w:p>
    <w:bookmarkEnd w:id="169"/>
    <w:bookmarkStart w:id="170" w:name="annexe-b-décisions-à-instruire"/>
    <w:p>
      <w:pPr>
        <w:pStyle w:val="Heading1"/>
      </w:pPr>
      <w:r>
        <w:t xml:space="preserve">ANNEXE B — DÉCISIONS À INSTRUIRE</w:t>
      </w:r>
    </w:p>
    <w:p>
      <w:pPr>
        <w:pStyle w:val="Compact"/>
        <w:numPr>
          <w:ilvl w:val="0"/>
          <w:numId w:val="1084"/>
        </w:numPr>
      </w:pPr>
      <w:r>
        <w:t xml:space="preserve">Modèle national d’identité santé du bénéficiaire.</w:t>
      </w:r>
    </w:p>
    <w:p>
      <w:pPr>
        <w:pStyle w:val="Compact"/>
        <w:numPr>
          <w:ilvl w:val="0"/>
          <w:numId w:val="1084"/>
        </w:numPr>
      </w:pPr>
      <w:r>
        <w:t xml:space="preserve">Règles nationales de rapprochement probabiliste.</w:t>
      </w:r>
    </w:p>
    <w:p>
      <w:pPr>
        <w:pStyle w:val="Compact"/>
        <w:numPr>
          <w:ilvl w:val="0"/>
          <w:numId w:val="1084"/>
        </w:numPr>
      </w:pPr>
      <w:r>
        <w:t xml:space="preserve">Produit national de registre client.</w:t>
      </w:r>
    </w:p>
    <w:p>
      <w:pPr>
        <w:pStyle w:val="Compact"/>
        <w:numPr>
          <w:ilvl w:val="0"/>
          <w:numId w:val="1084"/>
        </w:numPr>
      </w:pPr>
      <w:r>
        <w:t xml:space="preserve">Modèle et produit du registre des professionnels.</w:t>
      </w:r>
    </w:p>
    <w:p>
      <w:pPr>
        <w:pStyle w:val="Compact"/>
        <w:numPr>
          <w:ilvl w:val="0"/>
          <w:numId w:val="1084"/>
        </w:numPr>
      </w:pPr>
      <w:r>
        <w:t xml:space="preserve">Modèle de gouvernance du référentiel FOSA.</w:t>
      </w:r>
    </w:p>
    <w:p>
      <w:pPr>
        <w:pStyle w:val="Compact"/>
        <w:numPr>
          <w:ilvl w:val="0"/>
          <w:numId w:val="1084"/>
        </w:numPr>
      </w:pPr>
      <w:r>
        <w:t xml:space="preserve">Produit du service terminologique.</w:t>
      </w:r>
    </w:p>
    <w:p>
      <w:pPr>
        <w:pStyle w:val="Compact"/>
        <w:numPr>
          <w:ilvl w:val="0"/>
          <w:numId w:val="1084"/>
        </w:numPr>
      </w:pPr>
      <w:r>
        <w:t xml:space="preserve">Catalogue national initial des terminologies.</w:t>
      </w:r>
    </w:p>
    <w:p>
      <w:pPr>
        <w:pStyle w:val="Compact"/>
        <w:numPr>
          <w:ilvl w:val="0"/>
          <w:numId w:val="1084"/>
        </w:numPr>
      </w:pPr>
      <w:r>
        <w:t xml:space="preserve">Produit du catalogue des services.</w:t>
      </w:r>
    </w:p>
    <w:p>
      <w:pPr>
        <w:pStyle w:val="Compact"/>
        <w:numPr>
          <w:ilvl w:val="0"/>
          <w:numId w:val="1084"/>
        </w:numPr>
      </w:pPr>
      <w:r>
        <w:t xml:space="preserve">Produit du registre des contrats et schémas.</w:t>
      </w:r>
    </w:p>
    <w:p>
      <w:pPr>
        <w:pStyle w:val="Compact"/>
        <w:numPr>
          <w:ilvl w:val="0"/>
          <w:numId w:val="1084"/>
        </w:numPr>
      </w:pPr>
      <w:r>
        <w:t xml:space="preserve">Profil national de consentement.</w:t>
      </w:r>
    </w:p>
    <w:p>
      <w:pPr>
        <w:pStyle w:val="Compact"/>
        <w:numPr>
          <w:ilvl w:val="0"/>
          <w:numId w:val="1084"/>
        </w:numPr>
      </w:pPr>
      <w:r>
        <w:t xml:space="preserve">Politique nationale d’autorisation par attributs.</w:t>
      </w:r>
    </w:p>
    <w:p>
      <w:pPr>
        <w:pStyle w:val="Compact"/>
        <w:numPr>
          <w:ilvl w:val="0"/>
          <w:numId w:val="1084"/>
        </w:numPr>
      </w:pPr>
      <w:r>
        <w:t xml:space="preserve">Politique de publication des guides FHIR nationaux.</w:t>
      </w:r>
    </w:p>
    <w:p>
      <w:pPr>
        <w:pStyle w:val="Compact"/>
        <w:numPr>
          <w:ilvl w:val="0"/>
          <w:numId w:val="1084"/>
        </w:numPr>
      </w:pPr>
      <w:r>
        <w:t xml:space="preserve">Version FHIR nationale de référence.</w:t>
      </w:r>
    </w:p>
    <w:p>
      <w:pPr>
        <w:pStyle w:val="Compact"/>
        <w:numPr>
          <w:ilvl w:val="0"/>
          <w:numId w:val="1084"/>
        </w:numPr>
      </w:pPr>
      <w:r>
        <w:t xml:space="preserve">Jeu national de tests de conformité.</w:t>
      </w:r>
    </w:p>
    <w:p>
      <w:pPr>
        <w:pStyle w:val="Compact"/>
        <w:numPr>
          <w:ilvl w:val="0"/>
          <w:numId w:val="1084"/>
        </w:numPr>
      </w:pPr>
      <w:r>
        <w:t xml:space="preserve">Cadre d’homologation des produits.</w:t>
      </w:r>
    </w:p>
    <w:p>
      <w:pPr>
        <w:pStyle w:val="Compact"/>
        <w:numPr>
          <w:ilvl w:val="0"/>
          <w:numId w:val="1084"/>
        </w:numPr>
      </w:pPr>
      <w:r>
        <w:t xml:space="preserve">Modalités opérationnelles de raccordement au serveur de sécurité sectoriel.</w:t>
      </w:r>
    </w:p>
    <w:p>
      <w:pPr>
        <w:pStyle w:val="Compact"/>
        <w:numPr>
          <w:ilvl w:val="0"/>
          <w:numId w:val="1084"/>
        </w:numPr>
      </w:pPr>
      <w:r>
        <w:t xml:space="preserve">Modèle d’exploitation de la couche de médiation santé.</w:t>
      </w:r>
    </w:p>
    <w:p>
      <w:pPr>
        <w:pStyle w:val="Compact"/>
        <w:numPr>
          <w:ilvl w:val="0"/>
          <w:numId w:val="1084"/>
        </w:numPr>
      </w:pPr>
      <w:r>
        <w:t xml:space="preserve">Politique de dépréciation des interfaces propriétaires.</w:t>
      </w:r>
    </w:p>
    <w:p>
      <w:r>
        <w:pict>
          <v:rect style="width:0;height:1.5pt" o:hralign="center" o:hrstd="t" o:hr="t"/>
        </w:pict>
      </w:r>
    </w:p>
    <w:bookmarkEnd w:id="170"/>
    <w:bookmarkStart w:id="171" w:name="annexe-c-principes-de-mise-en-œuvre"/>
    <w:p>
      <w:pPr>
        <w:pStyle w:val="Heading1"/>
      </w:pPr>
      <w:r>
        <w:t xml:space="preserve">ANNEXE C — PRINCIPES DE MISE EN ŒUVRE</w:t>
      </w:r>
    </w:p>
    <w:p>
      <w:pPr>
        <w:pStyle w:val="Compact"/>
        <w:numPr>
          <w:ilvl w:val="0"/>
          <w:numId w:val="1085"/>
        </w:numPr>
      </w:pPr>
      <w:r>
        <w:t xml:space="preserve">Un service national ne doit pas être confondu avec le produit qui l’implémente.</w:t>
      </w:r>
    </w:p>
    <w:p>
      <w:pPr>
        <w:pStyle w:val="Compact"/>
        <w:numPr>
          <w:ilvl w:val="0"/>
          <w:numId w:val="1085"/>
        </w:numPr>
      </w:pPr>
      <w:r>
        <w:t xml:space="preserve">Un standard ne constitue pas une architecture complète.</w:t>
      </w:r>
    </w:p>
    <w:p>
      <w:pPr>
        <w:pStyle w:val="Compact"/>
        <w:numPr>
          <w:ilvl w:val="0"/>
          <w:numId w:val="1085"/>
        </w:numPr>
      </w:pPr>
      <w:r>
        <w:t xml:space="preserve">Un profil d’échange doit être versionné.</w:t>
      </w:r>
    </w:p>
    <w:p>
      <w:pPr>
        <w:pStyle w:val="Compact"/>
        <w:numPr>
          <w:ilvl w:val="0"/>
          <w:numId w:val="1085"/>
        </w:numPr>
      </w:pPr>
      <w:r>
        <w:t xml:space="preserve">Une technologie ne prouve pas à elle seule la conformité.</w:t>
      </w:r>
    </w:p>
    <w:p>
      <w:pPr>
        <w:pStyle w:val="Compact"/>
        <w:numPr>
          <w:ilvl w:val="0"/>
          <w:numId w:val="1085"/>
        </w:numPr>
      </w:pPr>
      <w:r>
        <w:t xml:space="preserve">X-Road ne remplace pas la médiation sectorielle.</w:t>
      </w:r>
    </w:p>
    <w:p>
      <w:pPr>
        <w:pStyle w:val="Compact"/>
        <w:numPr>
          <w:ilvl w:val="0"/>
          <w:numId w:val="1085"/>
        </w:numPr>
      </w:pPr>
      <w:r>
        <w:t xml:space="preserve">La médiation sectorielle ne remplace pas les services métier.</w:t>
      </w:r>
    </w:p>
    <w:p>
      <w:pPr>
        <w:pStyle w:val="Compact"/>
        <w:numPr>
          <w:ilvl w:val="0"/>
          <w:numId w:val="1085"/>
        </w:numPr>
      </w:pPr>
      <w:r>
        <w:t xml:space="preserve">mADX concerne les données agrégées et non la terminologie.</w:t>
      </w:r>
    </w:p>
    <w:p>
      <w:pPr>
        <w:pStyle w:val="Compact"/>
        <w:numPr>
          <w:ilvl w:val="0"/>
          <w:numId w:val="1085"/>
        </w:numPr>
      </w:pPr>
      <w:r>
        <w:t xml:space="preserve">SVCM est le profil cible pour la terminologie partagée.</w:t>
      </w:r>
    </w:p>
    <w:p>
      <w:pPr>
        <w:pStyle w:val="Compact"/>
        <w:numPr>
          <w:ilvl w:val="0"/>
          <w:numId w:val="1085"/>
        </w:numPr>
      </w:pPr>
      <w:r>
        <w:t xml:space="preserve">mCSD est le profil cible pour les structures, services et annuaires associés.</w:t>
      </w:r>
    </w:p>
    <w:p>
      <w:pPr>
        <w:pStyle w:val="Compact"/>
        <w:numPr>
          <w:ilvl w:val="0"/>
          <w:numId w:val="1085"/>
        </w:numPr>
      </w:pPr>
      <w:r>
        <w:t xml:space="preserve">PIXm et PDQm sont les profils cibles des nouvelles interfaces de résolution d’identité.</w:t>
      </w:r>
    </w:p>
    <w:p>
      <w:pPr>
        <w:pStyle w:val="Compact"/>
        <w:numPr>
          <w:ilvl w:val="0"/>
          <w:numId w:val="1085"/>
        </w:numPr>
      </w:pPr>
      <w:r>
        <w:t xml:space="preserve">L’identité du patient et l’identité professionnelle sont deux domaines distincts.</w:t>
      </w:r>
    </w:p>
    <w:p>
      <w:pPr>
        <w:pStyle w:val="Compact"/>
        <w:numPr>
          <w:ilvl w:val="0"/>
          <w:numId w:val="1085"/>
        </w:numPr>
      </w:pPr>
      <w:r>
        <w:t xml:space="preserve">L’authentification, le registre professionnel et l’autorisation sont des services distincts.</w:t>
      </w:r>
    </w:p>
    <w:p>
      <w:pPr>
        <w:pStyle w:val="Compact"/>
        <w:numPr>
          <w:ilvl w:val="0"/>
          <w:numId w:val="1085"/>
        </w:numPr>
      </w:pPr>
      <w:r>
        <w:t xml:space="preserve">AuditEvent, Provenance, événements métier et logs techniques ne doivent pas être confondus.</w:t>
      </w:r>
    </w:p>
    <w:p>
      <w:pPr>
        <w:pStyle w:val="Compact"/>
        <w:numPr>
          <w:ilvl w:val="0"/>
          <w:numId w:val="1085"/>
        </w:numPr>
      </w:pPr>
      <w:r>
        <w:t xml:space="preserve">CQRS n’implique pas automatiquement l’Event Sourcing.</w:t>
      </w:r>
    </w:p>
    <w:p>
      <w:pPr>
        <w:pStyle w:val="Compact"/>
        <w:numPr>
          <w:ilvl w:val="0"/>
          <w:numId w:val="1085"/>
        </w:numPr>
      </w:pPr>
      <w:r>
        <w:t xml:space="preserve">La plateforme RMA est une première implémentation, non un modèle obligatoire pour toutes les initiatives.</w:t>
      </w:r>
    </w:p>
    <w:p>
      <w:pPr>
        <w:pStyle w:val="Compact"/>
        <w:numPr>
          <w:ilvl w:val="0"/>
          <w:numId w:val="1085"/>
        </w:numPr>
      </w:pPr>
      <w:r>
        <w:t xml:space="preserve">Les profils provisoires doivent être testés avant d’être rendus opposables.</w:t>
      </w:r>
    </w:p>
    <w:p>
      <w:pPr>
        <w:pStyle w:val="Compact"/>
        <w:numPr>
          <w:ilvl w:val="0"/>
          <w:numId w:val="1085"/>
        </w:numPr>
      </w:pPr>
      <w:r>
        <w:t xml:space="preserve">Toute extension nationale doit être documentée et publiée.</w:t>
      </w:r>
    </w:p>
    <w:p>
      <w:pPr>
        <w:pStyle w:val="Compact"/>
        <w:numPr>
          <w:ilvl w:val="0"/>
          <w:numId w:val="1085"/>
        </w:numPr>
      </w:pPr>
      <w:r>
        <w:t xml:space="preserve">Toute initiative doit disposer d’une stratégie de réversibilité.</w:t>
      </w:r>
    </w:p>
    <w:p>
      <w:r>
        <w:pict>
          <v:rect style="width:0;height:1.5pt" o:hralign="center" o:hrstd="t" o:hr="t"/>
        </w:pict>
      </w:r>
    </w:p>
    <w:bookmarkEnd w:id="171"/>
    <w:bookmarkStart w:id="172" w:name="annexe-d-glossaire"/>
    <w:p>
      <w:pPr>
        <w:pStyle w:val="Heading1"/>
      </w:pPr>
      <w:r>
        <w:t xml:space="preserve">ANNEXE D — GLOSSAIRE</w:t>
      </w:r>
    </w:p>
    <w:p>
      <w:pPr>
        <w:pStyle w:val="FirstParagraph"/>
      </w:pPr>
      <w:r>
        <w:rPr>
          <w:b/>
          <w:bCs/>
        </w:rPr>
        <w:t xml:space="preserve">Candidat d’implémentation</w:t>
      </w:r>
      <w:r>
        <w:t xml:space="preserve"> </w:t>
      </w:r>
      <w:r>
        <w:t xml:space="preserve">— produit ou solution identifiée pour évaluation, sans décision nationale définitive.</w:t>
      </w:r>
    </w:p>
    <w:p>
      <w:pPr>
        <w:pStyle w:val="BodyText"/>
      </w:pPr>
      <w:r>
        <w:rPr>
          <w:b/>
          <w:bCs/>
        </w:rPr>
        <w:t xml:space="preserve">Catalogue de services</w:t>
      </w:r>
      <w:r>
        <w:t xml:space="preserve"> </w:t>
      </w:r>
      <w:r>
        <w:t xml:space="preserve">— registre des services exposés, de leurs propriétaires et de leurs conditions d’utilisation.</w:t>
      </w:r>
    </w:p>
    <w:p>
      <w:pPr>
        <w:pStyle w:val="BodyText"/>
      </w:pPr>
      <w:r>
        <w:rPr>
          <w:b/>
          <w:bCs/>
        </w:rPr>
        <w:t xml:space="preserve">Extension nationale</w:t>
      </w:r>
      <w:r>
        <w:t xml:space="preserve"> </w:t>
      </w:r>
      <w:r>
        <w:t xml:space="preserve">— contrainte ou élément ajouté à un standard pour répondre à un besoin national non couvert.</w:t>
      </w:r>
    </w:p>
    <w:p>
      <w:pPr>
        <w:pStyle w:val="BodyText"/>
      </w:pPr>
      <w:r>
        <w:rPr>
          <w:b/>
          <w:bCs/>
        </w:rPr>
        <w:t xml:space="preserve">Implementation Guide</w:t>
      </w:r>
      <w:r>
        <w:t xml:space="preserve"> </w:t>
      </w:r>
      <w:r>
        <w:t xml:space="preserve">— publication regroupant les profils, extensions, terminologies, exemples et règles applicables à un domaine.</w:t>
      </w:r>
    </w:p>
    <w:p>
      <w:pPr>
        <w:pStyle w:val="BodyText"/>
      </w:pPr>
      <w:r>
        <w:rPr>
          <w:b/>
          <w:bCs/>
        </w:rPr>
        <w:t xml:space="preserve">mADX</w:t>
      </w:r>
      <w:r>
        <w:t xml:space="preserve"> </w:t>
      </w:r>
      <w:r>
        <w:t xml:space="preserve">— profil d’échange de données sanitaires agrégées.</w:t>
      </w:r>
    </w:p>
    <w:p>
      <w:pPr>
        <w:pStyle w:val="BodyText"/>
      </w:pPr>
      <w:r>
        <w:rPr>
          <w:b/>
          <w:bCs/>
        </w:rPr>
        <w:t xml:space="preserve">mCSD</w:t>
      </w:r>
      <w:r>
        <w:t xml:space="preserve"> </w:t>
      </w:r>
      <w:r>
        <w:t xml:space="preserve">— profil de recherche et de publication des structures, localisations, services et annuaires de santé.</w:t>
      </w:r>
    </w:p>
    <w:p>
      <w:pPr>
        <w:pStyle w:val="BodyText"/>
      </w:pPr>
      <w:r>
        <w:rPr>
          <w:b/>
          <w:bCs/>
        </w:rPr>
        <w:t xml:space="preserve">PDQm</w:t>
      </w:r>
      <w:r>
        <w:t xml:space="preserve"> </w:t>
      </w:r>
      <w:r>
        <w:t xml:space="preserve">— profil de recherche démographique d’un patient.</w:t>
      </w:r>
    </w:p>
    <w:p>
      <w:pPr>
        <w:pStyle w:val="BodyText"/>
      </w:pPr>
      <w:r>
        <w:rPr>
          <w:b/>
          <w:bCs/>
        </w:rPr>
        <w:t xml:space="preserve">PIXm</w:t>
      </w:r>
      <w:r>
        <w:t xml:space="preserve"> </w:t>
      </w:r>
      <w:r>
        <w:t xml:space="preserve">— profil de résolution des identifiants d’un patient entre plusieurs domaines.</w:t>
      </w:r>
    </w:p>
    <w:p>
      <w:pPr>
        <w:pStyle w:val="BodyText"/>
      </w:pPr>
      <w:r>
        <w:rPr>
          <w:b/>
          <w:bCs/>
        </w:rPr>
        <w:t xml:space="preserve">Profil d’interopérabilité</w:t>
      </w:r>
      <w:r>
        <w:t xml:space="preserve"> </w:t>
      </w:r>
      <w:r>
        <w:t xml:space="preserve">— ensemble de contraintes appliquées à des standards afin de répondre à un cas d’usage précis.</w:t>
      </w:r>
    </w:p>
    <w:p>
      <w:pPr>
        <w:pStyle w:val="BodyText"/>
      </w:pPr>
      <w:r>
        <w:rPr>
          <w:b/>
          <w:bCs/>
        </w:rPr>
        <w:t xml:space="preserve">Profil technique d’initiative</w:t>
      </w:r>
      <w:r>
        <w:t xml:space="preserve"> </w:t>
      </w:r>
      <w:r>
        <w:t xml:space="preserve">— déclaration des standards, profils, produits et versions utilisés par une initiative.</w:t>
      </w:r>
    </w:p>
    <w:p>
      <w:pPr>
        <w:pStyle w:val="BodyText"/>
      </w:pPr>
      <w:r>
        <w:rPr>
          <w:b/>
          <w:bCs/>
        </w:rPr>
        <w:t xml:space="preserve">Registre de contrats</w:t>
      </w:r>
      <w:r>
        <w:t xml:space="preserve"> </w:t>
      </w:r>
      <w:r>
        <w:t xml:space="preserve">— système publiant et gouvernant les versions des interfaces, événements et schémas.</w:t>
      </w:r>
    </w:p>
    <w:p>
      <w:pPr>
        <w:pStyle w:val="BodyText"/>
      </w:pPr>
      <w:r>
        <w:rPr>
          <w:b/>
          <w:bCs/>
        </w:rPr>
        <w:t xml:space="preserve">Service national</w:t>
      </w:r>
      <w:r>
        <w:t xml:space="preserve"> </w:t>
      </w:r>
      <w:r>
        <w:t xml:space="preserve">— capacité applicative partagée, gouvernée et accessible à plusieurs systèmes.</w:t>
      </w:r>
    </w:p>
    <w:p>
      <w:pPr>
        <w:pStyle w:val="BodyText"/>
      </w:pPr>
      <w:r>
        <w:rPr>
          <w:b/>
          <w:bCs/>
        </w:rPr>
        <w:t xml:space="preserve">SVCM</w:t>
      </w:r>
      <w:r>
        <w:t xml:space="preserve"> </w:t>
      </w:r>
      <w:r>
        <w:t xml:space="preserve">— profil de partage des systèmes de codes, ensembles de valeurs et mappings.</w:t>
      </w:r>
    </w:p>
    <w:p>
      <w:pPr>
        <w:pStyle w:val="BodyText"/>
      </w:pPr>
      <w:r>
        <w:rPr>
          <w:b/>
          <w:bCs/>
        </w:rPr>
        <w:t xml:space="preserve">X-Road</w:t>
      </w:r>
      <w:r>
        <w:t xml:space="preserve"> </w:t>
      </w:r>
      <w:r>
        <w:t xml:space="preserve">— infrastructure d’échange sécurisé entre organisations membres d’un écosystème de confiance.</w:t>
      </w:r>
    </w:p>
    <w:p>
      <w:r>
        <w:pict>
          <v:rect style="width:0;height:1.5pt" o:hralign="center" o:hrstd="t" o:hr="t"/>
        </w:pict>
      </w:r>
    </w:p>
    <w:bookmarkEnd w:id="172"/>
    <w:bookmarkStart w:id="173" w:name="conclusion"/>
    <w:p>
      <w:pPr>
        <w:pStyle w:val="Heading1"/>
      </w:pPr>
      <w:r>
        <w:t xml:space="preserve">Conclusion</w:t>
      </w:r>
    </w:p>
    <w:p>
      <w:pPr>
        <w:pStyle w:val="FirstParagraph"/>
      </w:pPr>
      <w:r>
        <w:t xml:space="preserve">Le PTISN définit la manière dont les capacités d’interopérabilité du secteur santé sont concrétisées sans réduire l’architecture nationale à une liste de produits.</w:t>
      </w:r>
    </w:p>
    <w:p>
      <w:pPr>
        <w:pStyle w:val="BodyText"/>
      </w:pPr>
      <w:r>
        <w:t xml:space="preserve">Il établit une distinction explicite entre :</w:t>
      </w:r>
    </w:p>
    <w:p>
      <w:pPr>
        <w:pStyle w:val="Compact"/>
        <w:numPr>
          <w:ilvl w:val="0"/>
          <w:numId w:val="1086"/>
        </w:numPr>
      </w:pPr>
      <w:r>
        <w:t xml:space="preserve">les services dont le pays a besoin ;</w:t>
      </w:r>
    </w:p>
    <w:p>
      <w:pPr>
        <w:pStyle w:val="Compact"/>
        <w:numPr>
          <w:ilvl w:val="0"/>
          <w:numId w:val="1086"/>
        </w:numPr>
      </w:pPr>
      <w:r>
        <w:t xml:space="preserve">les contrats auxquels ces services doivent se conformer ;</w:t>
      </w:r>
    </w:p>
    <w:p>
      <w:pPr>
        <w:pStyle w:val="Compact"/>
        <w:numPr>
          <w:ilvl w:val="0"/>
          <w:numId w:val="1086"/>
        </w:numPr>
      </w:pPr>
      <w:r>
        <w:t xml:space="preserve">les standards et profils utilisés pour les échanges ;</w:t>
      </w:r>
    </w:p>
    <w:p>
      <w:pPr>
        <w:pStyle w:val="Compact"/>
        <w:numPr>
          <w:ilvl w:val="0"/>
          <w:numId w:val="1086"/>
        </w:numPr>
      </w:pPr>
      <w:r>
        <w:t xml:space="preserve">les patrons décrits par l’ART ;</w:t>
      </w:r>
    </w:p>
    <w:p>
      <w:pPr>
        <w:pStyle w:val="Compact"/>
        <w:numPr>
          <w:ilvl w:val="0"/>
          <w:numId w:val="1086"/>
        </w:numPr>
      </w:pPr>
      <w:r>
        <w:t xml:space="preserve">les produits candidats ;</w:t>
      </w:r>
    </w:p>
    <w:p>
      <w:pPr>
        <w:pStyle w:val="Compact"/>
        <w:numPr>
          <w:ilvl w:val="0"/>
          <w:numId w:val="1086"/>
        </w:numPr>
      </w:pPr>
      <w:r>
        <w:t xml:space="preserve">les décisions nationales effectivement validées.</w:t>
      </w:r>
    </w:p>
    <w:p>
      <w:pPr>
        <w:pStyle w:val="FirstParagraph"/>
      </w:pPr>
      <w:r>
        <w:t xml:space="preserve">Cette séparation permet au système national de santé numérique de conserver une architecture stable tout en faisant évoluer progressivement ses technologies.</w:t>
      </w:r>
    </w:p>
    <w:p>
      <w:pPr>
        <w:pStyle w:val="BodyText"/>
      </w:pPr>
      <w:r>
        <w:t xml:space="preserve">Elle rend également possible une homologation fondée sur des preuves de conformité, plutôt que sur l’adoption déclarative d’un outil ou d’un fournisseur.</w:t>
      </w:r>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2026-07-20T11:49:43Z</dcterms:created>
  <dcterms:modified xsi:type="dcterms:W3CDTF">2026-07-20T11:49:43Z</dcterms:modified>
</cp:coreProperties>
</file>

<file path=docProps/custom.xml><?xml version="1.0" encoding="utf-8"?>
<Properties xmlns="http://schemas.openxmlformats.org/officeDocument/2006/custom-properties" xmlns:vt="http://schemas.openxmlformats.org/officeDocument/2006/docPropsVTypes"/>
</file>