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64688" w14:textId="575A2991" w:rsidR="00EC23FD" w:rsidRDefault="00EC23FD">
      <w:r>
        <w:t>Однородные уравнения</w:t>
      </w:r>
    </w:p>
    <w:p w14:paraId="38F98EB8" w14:textId="4955A973" w:rsidR="00BD2C83" w:rsidRDefault="00BD2C83">
      <w:r>
        <w:t xml:space="preserve">Ели при подстановке лямбда, </w:t>
      </w:r>
    </w:p>
    <w:p w14:paraId="7EA5063D" w14:textId="6F6435A2" w:rsidR="00AF5F8A" w:rsidRDefault="00EC23FD">
      <w:r>
        <w:t xml:space="preserve">Неоднородные уравнения </w:t>
      </w:r>
    </w:p>
    <w:p w14:paraId="5E64DCE4" w14:textId="63304A81" w:rsidR="00BD2C83" w:rsidRDefault="00BD2C83" w:rsidP="00BD2C83">
      <w:r>
        <w:t>которое содержит не равный тождественно нулю свободный член — слагаемое, не зависящее от неизвестных функций.</w:t>
      </w:r>
      <w:bookmarkStart w:id="0" w:name="_GoBack"/>
      <w:bookmarkEnd w:id="0"/>
    </w:p>
    <w:p w14:paraId="30D97A7B" w14:textId="0629C496" w:rsidR="00BD2C83" w:rsidRDefault="00BD2C83" w:rsidP="00BD2C83">
      <w:r>
        <w:t>Обычно имеет те же свойства, что и соответствующее однородное уравнение — уравнение с отброшенным свободным членом.</w:t>
      </w:r>
    </w:p>
    <w:p w14:paraId="57D49BCF" w14:textId="223C80E6" w:rsidR="00EC23FD" w:rsidRDefault="00BD2C83" w:rsidP="00BD2C83">
      <w:r>
        <w:t>В физике часто называют свободный член «неоднородностью» или «возмущением», а соответствующее решение — «возмущённым».</w:t>
      </w:r>
    </w:p>
    <w:sectPr w:rsidR="00EC2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D6"/>
    <w:rsid w:val="00AF5F8A"/>
    <w:rsid w:val="00BD2C83"/>
    <w:rsid w:val="00EC23FD"/>
    <w:rsid w:val="00ED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0C32"/>
  <w15:chartTrackingRefBased/>
  <w15:docId w15:val="{4E0C31E6-E862-41C0-AAE6-49F7E20C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2</cp:revision>
  <dcterms:created xsi:type="dcterms:W3CDTF">2025-11-24T23:21:00Z</dcterms:created>
  <dcterms:modified xsi:type="dcterms:W3CDTF">2025-11-24T23:46:00Z</dcterms:modified>
</cp:coreProperties>
</file>