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riefSectionLabel"/>
        <w:spacing w:before="80" w:after="100"/>
        <w:pBdr>
          <w:bottom w:val="single" w:sz="8" w:space="4" w:color="138782"/>
        </w:pBdr>
      </w:pPr>
      <w:r>
        <w:rPr>
          <w:rFonts w:ascii="Aptos Display" w:hAnsi="Aptos Display"/>
          <w:b/>
          <w:color w:val="138782"/>
          <w:sz w:val="20"/>
        </w:rPr>
        <w:t>CAPABILITY BRIEF | FOR PUBLIC-SYSTEM PARTNERS</w:t>
      </w:r>
    </w:p>
    <w:p>
      <w:pPr>
        <w:pStyle w:val="BriefTitle"/>
        <w:spacing w:before="60" w:after="140"/>
      </w:pPr>
      <w:r>
        <w:rPr>
          <w:rFonts w:ascii="Aptos Display" w:hAnsi="Aptos Display"/>
          <w:b/>
          <w:color w:val="112E51"/>
          <w:sz w:val="60"/>
        </w:rPr>
        <w:t>From case records to measurable public value</w:t>
      </w:r>
    </w:p>
    <w:p>
      <w:pPr>
        <w:spacing w:after="240" w:line="269" w:lineRule="auto"/>
      </w:pPr>
      <w:r>
        <w:rPr>
          <w:rFonts w:ascii="Aptos" w:hAnsi="Aptos"/>
          <w:color w:val="112E51"/>
          <w:sz w:val="25"/>
        </w:rPr>
        <w:t>We help public agencies build governed decision support over unstructured complaints and case histories, then measure whether it makes service safer or faster—without making an expensive external model the permanent production dependency.</w:t>
      </w:r>
    </w:p>
    <w:tbl>
      <w:tblPr>
        <w:tblW w:type="dxa" w:w="10035"/>
        <w:tblLayout w:type="fixed"/>
        <w:tblLook w:firstColumn="1" w:firstRow="1" w:lastColumn="0" w:lastRow="0" w:noHBand="0" w:noVBand="1" w:val="04A0"/>
        <w:tblInd w:w="160" w:type="dxa"/>
      </w:tblPr>
      <w:tblGrid>
        <w:gridCol w:w="3345"/>
        <w:gridCol w:w="3345"/>
        <w:gridCol w:w="3345"/>
      </w:tblGrid>
      <w:tr>
        <w:trPr>
          <w:cantSplit/>
        </w:trPr>
        <w:tc>
          <w:tcPr>
            <w:tcW w:type="dxa" w:w="3345"/>
            <w:shd w:fill="EAF7F6"/>
            <w:tcMar>
              <w:top w:w="180" w:type="dxa"/>
              <w:start w:w="160" w:type="dxa"/>
              <w:bottom w:w="180" w:type="dxa"/>
              <w:end w:w="160" w:type="dxa"/>
            </w:tcMar>
          </w:tcPr>
          <w:p>
            <w:pPr>
              <w:spacing w:after="100"/>
              <w:jc w:val="center"/>
            </w:pPr>
            <w:r/>
            <w:r>
              <w:rPr>
                <w:rFonts w:ascii="Aptos Display" w:hAnsi="Aptos Display"/>
                <w:b/>
                <w:color w:val="138782"/>
                <w:sz w:val="42"/>
              </w:rPr>
              <w:t>Local-first</w:t>
            </w:r>
          </w:p>
          <w:p>
            <w:pPr>
              <w:spacing w:after="0"/>
              <w:jc w:val="center"/>
            </w:pPr>
            <w:r>
              <w:rPr>
                <w:rFonts w:ascii="Aptos" w:hAnsi="Aptos"/>
                <w:color w:val="112E51"/>
                <w:sz w:val="18"/>
              </w:rPr>
              <w:t>Production models can run on controlled infrastructure, with external providers optional and auditable.</w:t>
            </w:r>
          </w:p>
        </w:tc>
        <w:tc>
          <w:tcPr>
            <w:tcW w:type="dxa" w:w="3345"/>
            <w:shd w:fill="EDF3F9"/>
            <w:tcMar>
              <w:top w:w="180" w:type="dxa"/>
              <w:start w:w="160" w:type="dxa"/>
              <w:bottom w:w="180" w:type="dxa"/>
              <w:end w:w="160" w:type="dxa"/>
            </w:tcMar>
          </w:tcPr>
          <w:p>
            <w:pPr>
              <w:spacing w:after="100"/>
              <w:jc w:val="center"/>
            </w:pPr>
            <w:r/>
            <w:r>
              <w:rPr>
                <w:rFonts w:ascii="Aptos Display" w:hAnsi="Aptos Display"/>
                <w:b/>
                <w:color w:val="112E51"/>
                <w:sz w:val="42"/>
              </w:rPr>
              <w:t>69 in 100</w:t>
            </w:r>
          </w:p>
          <w:p>
            <w:pPr>
              <w:spacing w:after="0"/>
              <w:jc w:val="center"/>
            </w:pPr>
            <w:r>
              <w:rPr>
                <w:rFonts w:ascii="Aptos" w:hAnsi="Aptos"/>
                <w:color w:val="112E51"/>
                <w:sz w:val="18"/>
              </w:rPr>
              <w:t>In Janasunani, the later historical destination appears in the top three suggestions overall.</w:t>
            </w:r>
          </w:p>
        </w:tc>
        <w:tc>
          <w:tcPr>
            <w:tcW w:type="dxa" w:w="3345"/>
            <w:shd w:fill="FFF7DF"/>
            <w:tcMar>
              <w:top w:w="180" w:type="dxa"/>
              <w:start w:w="160" w:type="dxa"/>
              <w:bottom w:w="180" w:type="dxa"/>
              <w:end w:w="160" w:type="dxa"/>
            </w:tcMar>
          </w:tcPr>
          <w:p>
            <w:pPr>
              <w:spacing w:after="100"/>
              <w:jc w:val="center"/>
            </w:pPr>
            <w:r/>
            <w:r>
              <w:rPr>
                <w:rFonts w:ascii="Aptos Display" w:hAnsi="Aptos Display"/>
                <w:b/>
                <w:color w:val="C4941A"/>
                <w:sz w:val="42"/>
              </w:rPr>
              <w:t>4 questions</w:t>
            </w:r>
          </w:p>
          <w:p>
            <w:pPr>
              <w:spacing w:after="0"/>
              <w:jc w:val="center"/>
            </w:pPr>
            <w:r>
              <w:rPr>
                <w:rFonts w:ascii="Aptos" w:hAnsi="Aptos"/>
                <w:color w:val="112E51"/>
                <w:sz w:val="18"/>
              </w:rPr>
              <w:t>Is it actionable? What is it about? Where should it go? Is it one filing or a wider problem?</w:t>
            </w:r>
          </w:p>
        </w:tc>
      </w:tr>
    </w:tbl>
    <w:p>
      <w:pPr>
        <w:spacing w:after="180" w:line="269" w:lineRule="auto"/>
      </w:pPr>
      <w:r>
        <w:rPr>
          <w:rFonts w:ascii="Aptos" w:hAnsi="Aptos"/>
          <w:color w:val="526175"/>
          <w:sz w:val="21"/>
        </w:rPr>
        <w:t>Janasunani is the proof environment, not the limit of the approach. The architecture can be adapted wherever a public team must read mixed records, decide whether a request can be acted on, route it, find repetition and show whether service improved.</w:t>
      </w:r>
    </w:p>
    <w:tbl>
      <w:tblPr>
        <w:tblW w:type="dxa" w:w="10035"/>
        <w:tblLayout w:type="fixed"/>
        <w:tblLook w:firstColumn="1" w:firstRow="1" w:lastColumn="0" w:lastRow="0" w:noHBand="0" w:noVBand="1" w:val="04A0"/>
        <w:tblInd w:w="180" w:type="dxa"/>
      </w:tblPr>
      <w:tblGrid>
        <w:gridCol w:w="10035"/>
      </w:tblGrid>
      <w:tr>
        <w:trPr>
          <w:cantSplit/>
        </w:trPr>
        <w:tc>
          <w:tcPr>
            <w:tcW w:type="dxa" w:w="10035"/>
            <w:shd w:fill="EAF7F6"/>
            <w:tcMar>
              <w:top w:w="160" w:type="dxa"/>
              <w:start w:w="180" w:type="dxa"/>
              <w:bottom w:w="160" w:type="dxa"/>
              <w:end w:w="180" w:type="dxa"/>
            </w:tcMar>
          </w:tcPr>
          <w:p>
            <w:pPr>
              <w:spacing w:after="40"/>
            </w:pPr>
            <w:r/>
            <w:r>
              <w:rPr>
                <w:rFonts w:ascii="Aptos" w:hAnsi="Aptos"/>
                <w:b/>
                <w:color w:val="138782"/>
                <w:sz w:val="22"/>
              </w:rPr>
              <w:t>Where this transfers</w:t>
            </w:r>
          </w:p>
          <w:p>
            <w:pPr>
              <w:spacing w:after="0" w:line="259" w:lineRule="auto"/>
            </w:pPr>
            <w:r>
              <w:rPr>
                <w:rFonts w:ascii="Aptos" w:hAnsi="Aptos"/>
                <w:color w:val="112E51"/>
                <w:sz w:val="21"/>
              </w:rPr>
              <w:t>Grievance portals, welfare and benefit casework, municipal and utility complaints, helplines, regulatory case queues, inspection follow-up, and any service where free text must become a governed operational decision.</w:t>
            </w:r>
          </w:p>
        </w:tc>
      </w:tr>
    </w:tbl>
    <w:p>
      <w:pPr>
        <w:pStyle w:val="BriefSectionLabel"/>
        <w:spacing w:before="80" w:after="100"/>
        <w:pBdr>
          <w:bottom w:val="single" w:sz="8" w:space="4" w:color="138782"/>
        </w:pBdr>
      </w:pPr>
      <w:r>
        <w:rPr>
          <w:rFonts w:ascii="Aptos Display" w:hAnsi="Aptos Display"/>
          <w:b/>
          <w:color w:val="138782"/>
          <w:sz w:val="20"/>
        </w:rPr>
        <w:t>THE VALUE WE ADD</w:t>
      </w:r>
    </w:p>
    <w:tbl>
      <w:tblPr>
        <w:tblW w:type="dxa" w:w="10035"/>
        <w:tblLayout w:type="fixed"/>
        <w:tblLook w:firstColumn="1" w:firstRow="1" w:lastColumn="0" w:lastRow="0" w:noHBand="0" w:noVBand="1" w:val="04A0"/>
        <w:tblInd w:w="140" w:type="dxa"/>
      </w:tblPr>
      <w:tblGrid>
        <w:gridCol w:w="2900"/>
        <w:gridCol w:w="3600"/>
        <w:gridCol w:w="3535"/>
      </w:tblGrid>
      <w:tr>
        <w:trPr>
          <w:tblHeader w:val="true"/>
          <w:cantSplit/>
        </w:trPr>
        <w:tc>
          <w:tcPr>
            <w:tcW w:type="dxa" w:w="2900"/>
            <w:shd w:fill="112E51"/>
            <w:vAlign w:val="center"/>
            <w:tcMar>
              <w:top w:w="120" w:type="dxa"/>
              <w:start w:w="140" w:type="dxa"/>
              <w:bottom w:w="120" w:type="dxa"/>
              <w:end w:w="140" w:type="dxa"/>
            </w:tcMar>
          </w:tcPr>
          <w:p>
            <w:pPr>
              <w:spacing w:after="0" w:line="252" w:lineRule="auto"/>
            </w:pPr>
            <w:r/>
            <w:r>
              <w:rPr>
                <w:rFonts w:ascii="Aptos" w:hAnsi="Aptos"/>
                <w:b/>
                <w:color w:val="FFFFFF"/>
                <w:sz w:val="19"/>
              </w:rPr>
              <w:t>Common public-system problem</w:t>
            </w:r>
          </w:p>
        </w:tc>
        <w:tc>
          <w:tcPr>
            <w:tcW w:type="dxa" w:w="3600"/>
            <w:shd w:fill="112E51"/>
            <w:vAlign w:val="center"/>
            <w:tcMar>
              <w:top w:w="120" w:type="dxa"/>
              <w:start w:w="140" w:type="dxa"/>
              <w:bottom w:w="120" w:type="dxa"/>
              <w:end w:w="140" w:type="dxa"/>
            </w:tcMar>
          </w:tcPr>
          <w:p>
            <w:pPr>
              <w:spacing w:after="0" w:line="252" w:lineRule="auto"/>
            </w:pPr>
            <w:r/>
            <w:r>
              <w:rPr>
                <w:rFonts w:ascii="Aptos" w:hAnsi="Aptos"/>
                <w:b/>
                <w:color w:val="FFFFFF"/>
                <w:sz w:val="19"/>
              </w:rPr>
              <w:t>What our approach adds</w:t>
            </w:r>
          </w:p>
        </w:tc>
        <w:tc>
          <w:tcPr>
            <w:tcW w:type="dxa" w:w="3535"/>
            <w:shd w:fill="112E51"/>
            <w:vAlign w:val="center"/>
            <w:tcMar>
              <w:top w:w="120" w:type="dxa"/>
              <w:start w:w="140" w:type="dxa"/>
              <w:bottom w:w="120" w:type="dxa"/>
              <w:end w:w="140" w:type="dxa"/>
            </w:tcMar>
          </w:tcPr>
          <w:p>
            <w:pPr>
              <w:spacing w:after="0" w:line="252" w:lineRule="auto"/>
            </w:pPr>
            <w:r/>
            <w:r>
              <w:rPr>
                <w:rFonts w:ascii="Aptos" w:hAnsi="Aptos"/>
                <w:b/>
                <w:color w:val="FFFFFF"/>
                <w:sz w:val="19"/>
              </w:rPr>
              <w:t>Value to measure</w:t>
            </w:r>
          </w:p>
        </w:tc>
      </w:tr>
      <w:tr>
        <w:trPr>
          <w:cantSplit/>
        </w:trPr>
        <w:tc>
          <w:tcPr>
            <w:tcW w:type="dxa" w:w="2900"/>
            <w:shd w:fill="EDF3F9"/>
            <w:vAlign w:val="center"/>
            <w:tcMar>
              <w:top w:w="120" w:type="dxa"/>
              <w:start w:w="140" w:type="dxa"/>
              <w:bottom w:w="120" w:type="dxa"/>
              <w:end w:w="140" w:type="dxa"/>
            </w:tcMar>
          </w:tcPr>
          <w:p>
            <w:pPr>
              <w:spacing w:after="0" w:line="252" w:lineRule="auto"/>
            </w:pPr>
            <w:r/>
            <w:r>
              <w:rPr>
                <w:rFonts w:ascii="Aptos" w:hAnsi="Aptos"/>
                <w:b w:val="0"/>
                <w:color w:val="112E51"/>
                <w:sz w:val="19"/>
              </w:rPr>
              <w:t>Case files arrive as short text, scans and mixed attachments.</w:t>
            </w:r>
          </w:p>
        </w:tc>
        <w:tc>
          <w:tcPr>
            <w:tcW w:type="dxa" w:w="3600"/>
            <w:shd w:fill="EDF3F9"/>
            <w:vAlign w:val="center"/>
            <w:tcMar>
              <w:top w:w="120" w:type="dxa"/>
              <w:start w:w="140" w:type="dxa"/>
              <w:bottom w:w="120" w:type="dxa"/>
              <w:end w:w="140" w:type="dxa"/>
            </w:tcMar>
          </w:tcPr>
          <w:p>
            <w:pPr>
              <w:spacing w:after="0" w:line="252" w:lineRule="auto"/>
            </w:pPr>
            <w:r/>
            <w:r>
              <w:rPr>
                <w:rFonts w:ascii="Aptos" w:hAnsi="Aptos"/>
                <w:b w:val="0"/>
                <w:color w:val="112E51"/>
                <w:sz w:val="19"/>
              </w:rPr>
              <w:t>Governed extraction, measured redaction, page filtering and an officer-readable packet.</w:t>
            </w:r>
          </w:p>
        </w:tc>
        <w:tc>
          <w:tcPr>
            <w:tcW w:type="dxa" w:w="3535"/>
            <w:shd w:fill="EDF3F9"/>
            <w:vAlign w:val="center"/>
            <w:tcMar>
              <w:top w:w="120" w:type="dxa"/>
              <w:start w:w="140" w:type="dxa"/>
              <w:bottom w:w="120" w:type="dxa"/>
              <w:end w:w="140" w:type="dxa"/>
            </w:tcMar>
          </w:tcPr>
          <w:p>
            <w:pPr>
              <w:spacing w:after="0" w:line="252" w:lineRule="auto"/>
            </w:pPr>
            <w:r/>
            <w:r>
              <w:rPr>
                <w:rFonts w:ascii="Aptos" w:hAnsi="Aptos"/>
                <w:b w:val="0"/>
                <w:color w:val="112E51"/>
                <w:sz w:val="19"/>
              </w:rPr>
              <w:t>Reading time, first meaningful action, model availability.</w:t>
            </w:r>
          </w:p>
        </w:tc>
      </w:tr>
      <w:tr>
        <w:trPr>
          <w:cantSplit/>
        </w:trPr>
        <w:tc>
          <w:tcPr>
            <w:tcW w:type="dxa" w:w="2900"/>
            <w:shd w:fill="F8FAFC"/>
            <w:vAlign w:val="center"/>
            <w:tcMar>
              <w:top w:w="120" w:type="dxa"/>
              <w:start w:w="140" w:type="dxa"/>
              <w:bottom w:w="120" w:type="dxa"/>
              <w:end w:w="140" w:type="dxa"/>
            </w:tcMar>
          </w:tcPr>
          <w:p>
            <w:pPr>
              <w:spacing w:after="0" w:line="252" w:lineRule="auto"/>
            </w:pPr>
            <w:r/>
            <w:r>
              <w:rPr>
                <w:rFonts w:ascii="Aptos" w:hAnsi="Aptos"/>
                <w:b w:val="0"/>
                <w:color w:val="112E51"/>
                <w:sz w:val="19"/>
              </w:rPr>
              <w:t>Incomplete, irrelevant and outside-purview requests are mixed into one queue.</w:t>
            </w:r>
          </w:p>
        </w:tc>
        <w:tc>
          <w:tcPr>
            <w:tcW w:type="dxa" w:w="3600"/>
            <w:shd w:fill="F8FAFC"/>
            <w:vAlign w:val="center"/>
            <w:tcMar>
              <w:top w:w="120" w:type="dxa"/>
              <w:start w:w="140" w:type="dxa"/>
              <w:bottom w:w="120" w:type="dxa"/>
              <w:end w:w="140" w:type="dxa"/>
            </w:tcMar>
          </w:tcPr>
          <w:p>
            <w:pPr>
              <w:spacing w:after="0" w:line="252" w:lineRule="auto"/>
            </w:pPr>
            <w:r/>
            <w:r>
              <w:rPr>
                <w:rFonts w:ascii="Aptos" w:hAnsi="Aptos"/>
                <w:b w:val="0"/>
                <w:color w:val="112E51"/>
                <w:sz w:val="19"/>
              </w:rPr>
              <w:t>Separate actionability reasons and safe abstention; never a blanket ‘spam’ rejection.</w:t>
            </w:r>
          </w:p>
        </w:tc>
        <w:tc>
          <w:tcPr>
            <w:tcW w:type="dxa" w:w="3535"/>
            <w:shd w:fill="F8FAFC"/>
            <w:vAlign w:val="center"/>
            <w:tcMar>
              <w:top w:w="120" w:type="dxa"/>
              <w:start w:w="140" w:type="dxa"/>
              <w:bottom w:w="120" w:type="dxa"/>
              <w:end w:w="140" w:type="dxa"/>
            </w:tcMar>
          </w:tcPr>
          <w:p>
            <w:pPr>
              <w:spacing w:after="0" w:line="252" w:lineRule="auto"/>
            </w:pPr>
            <w:r/>
            <w:r>
              <w:rPr>
                <w:rFonts w:ascii="Aptos" w:hAnsi="Aptos"/>
                <w:b w:val="0"/>
                <w:color w:val="112E51"/>
                <w:sz w:val="19"/>
              </w:rPr>
              <w:t>Clarification loops, review precision, actionable cases wrongly flagged.</w:t>
            </w:r>
          </w:p>
        </w:tc>
      </w:tr>
      <w:tr>
        <w:trPr>
          <w:cantSplit/>
        </w:trPr>
        <w:tc>
          <w:tcPr>
            <w:tcW w:type="dxa" w:w="2900"/>
            <w:shd w:fill="EDF3F9"/>
            <w:vAlign w:val="center"/>
            <w:tcMar>
              <w:top w:w="120" w:type="dxa"/>
              <w:start w:w="140" w:type="dxa"/>
              <w:bottom w:w="120" w:type="dxa"/>
              <w:end w:w="140" w:type="dxa"/>
            </w:tcMar>
          </w:tcPr>
          <w:p>
            <w:pPr>
              <w:spacing w:after="0" w:line="252" w:lineRule="auto"/>
            </w:pPr>
            <w:r/>
            <w:r>
              <w:rPr>
                <w:rFonts w:ascii="Aptos" w:hAnsi="Aptos"/>
                <w:b w:val="0"/>
                <w:color w:val="112E51"/>
                <w:sz w:val="19"/>
              </w:rPr>
              <w:t>Routing depends on memory and inconsistent labels.</w:t>
            </w:r>
          </w:p>
        </w:tc>
        <w:tc>
          <w:tcPr>
            <w:tcW w:type="dxa" w:w="3600"/>
            <w:shd w:fill="EDF3F9"/>
            <w:vAlign w:val="center"/>
            <w:tcMar>
              <w:top w:w="120" w:type="dxa"/>
              <w:start w:w="140" w:type="dxa"/>
              <w:bottom w:w="120" w:type="dxa"/>
              <w:end w:w="140" w:type="dxa"/>
            </w:tcMar>
          </w:tcPr>
          <w:p>
            <w:pPr>
              <w:spacing w:after="0" w:line="252" w:lineRule="auto"/>
            </w:pPr>
            <w:r/>
            <w:r>
              <w:rPr>
                <w:rFonts w:ascii="Aptos" w:hAnsi="Aptos"/>
                <w:b w:val="0"/>
                <w:color w:val="112E51"/>
                <w:sz w:val="19"/>
              </w:rPr>
              <w:t>A ranked shortlist blending local text models, history, geography and rules.</w:t>
            </w:r>
          </w:p>
        </w:tc>
        <w:tc>
          <w:tcPr>
            <w:tcW w:type="dxa" w:w="3535"/>
            <w:shd w:fill="EDF3F9"/>
            <w:vAlign w:val="center"/>
            <w:tcMar>
              <w:top w:w="120" w:type="dxa"/>
              <w:start w:w="140" w:type="dxa"/>
              <w:bottom w:w="120" w:type="dxa"/>
              <w:end w:w="140" w:type="dxa"/>
            </w:tcMar>
          </w:tcPr>
          <w:p>
            <w:pPr>
              <w:spacing w:after="0" w:line="252" w:lineRule="auto"/>
            </w:pPr>
            <w:r/>
            <w:r>
              <w:rPr>
                <w:rFonts w:ascii="Aptos" w:hAnsi="Aptos"/>
                <w:b w:val="0"/>
                <w:color w:val="112E51"/>
                <w:sz w:val="19"/>
              </w:rPr>
              <w:t>Transfer-free first assignment, handoffs, time to the responsible office.</w:t>
            </w:r>
          </w:p>
        </w:tc>
      </w:tr>
      <w:tr>
        <w:trPr>
          <w:cantSplit/>
        </w:trPr>
        <w:tc>
          <w:tcPr>
            <w:tcW w:type="dxa" w:w="2900"/>
            <w:shd w:fill="F8FAFC"/>
            <w:vAlign w:val="center"/>
            <w:tcMar>
              <w:top w:w="120" w:type="dxa"/>
              <w:start w:w="140" w:type="dxa"/>
              <w:bottom w:w="120" w:type="dxa"/>
              <w:end w:w="140" w:type="dxa"/>
            </w:tcMar>
          </w:tcPr>
          <w:p>
            <w:pPr>
              <w:spacing w:after="0" w:line="252" w:lineRule="auto"/>
            </w:pPr>
            <w:r/>
            <w:r>
              <w:rPr>
                <w:rFonts w:ascii="Aptos" w:hAnsi="Aptos"/>
                <w:b w:val="0"/>
                <w:color w:val="112E51"/>
                <w:sz w:val="19"/>
              </w:rPr>
              <w:t>Dashboards count filings but cannot distinguish repetition from broad demand.</w:t>
            </w:r>
          </w:p>
        </w:tc>
        <w:tc>
          <w:tcPr>
            <w:tcW w:type="dxa" w:w="3600"/>
            <w:shd w:fill="F8FAFC"/>
            <w:vAlign w:val="center"/>
            <w:tcMar>
              <w:top w:w="120" w:type="dxa"/>
              <w:start w:w="140" w:type="dxa"/>
              <w:bottom w:w="120" w:type="dxa"/>
              <w:end w:w="140" w:type="dxa"/>
            </w:tcMar>
          </w:tcPr>
          <w:p>
            <w:pPr>
              <w:spacing w:after="0" w:line="252" w:lineRule="auto"/>
            </w:pPr>
            <w:r/>
            <w:r>
              <w:rPr>
                <w:rFonts w:ascii="Aptos" w:hAnsi="Aptos"/>
                <w:b w:val="0"/>
                <w:color w:val="112E51"/>
                <w:sz w:val="19"/>
              </w:rPr>
              <w:t>Access-controlled grouping over redacted text, with residual privacy risk governed locally.</w:t>
            </w:r>
          </w:p>
        </w:tc>
        <w:tc>
          <w:tcPr>
            <w:tcW w:type="dxa" w:w="3535"/>
            <w:shd w:fill="F8FAFC"/>
            <w:vAlign w:val="center"/>
            <w:tcMar>
              <w:top w:w="120" w:type="dxa"/>
              <w:start w:w="140" w:type="dxa"/>
              <w:bottom w:w="120" w:type="dxa"/>
              <w:end w:w="140" w:type="dxa"/>
            </w:tcMar>
          </w:tcPr>
          <w:p>
            <w:pPr>
              <w:spacing w:after="0" w:line="252" w:lineRule="auto"/>
            </w:pPr>
            <w:r/>
            <w:r>
              <w:rPr>
                <w:rFonts w:ascii="Aptos" w:hAnsi="Aptos"/>
                <w:b w:val="0"/>
                <w:color w:val="112E51"/>
                <w:sz w:val="19"/>
              </w:rPr>
              <w:t>Reviewable extra matches, false merges, issues and citizens—not just filings.</w:t>
            </w:r>
          </w:p>
        </w:tc>
      </w:tr>
    </w:tbl>
    <w:p>
      <w:r>
        <w:br w:type="page"/>
      </w:r>
    </w:p>
    <w:p>
      <w:pPr>
        <w:pStyle w:val="BriefSectionLabel"/>
        <w:spacing w:before="80" w:after="100"/>
        <w:pBdr>
          <w:bottom w:val="single" w:sz="8" w:space="4" w:color="138782"/>
        </w:pBdr>
      </w:pPr>
      <w:r>
        <w:rPr>
          <w:rFonts w:ascii="Aptos Display" w:hAnsi="Aptos Display"/>
          <w:b/>
          <w:color w:val="138782"/>
          <w:sz w:val="20"/>
        </w:rPr>
        <w:t>A REUSABLE DELIVERY APPROACH</w:t>
      </w:r>
    </w:p>
    <w:p>
      <w:pPr>
        <w:pStyle w:val="BriefTitle"/>
        <w:spacing w:before="60" w:after="140"/>
      </w:pPr>
      <w:r>
        <w:rPr>
          <w:rFonts w:ascii="Aptos Display" w:hAnsi="Aptos Display"/>
          <w:b/>
          <w:color w:val="112E51"/>
          <w:sz w:val="52"/>
        </w:rPr>
        <w:t>Models are one layer; measurement and governance make them useful</w:t>
      </w:r>
    </w:p>
    <w:tbl>
      <w:tblPr>
        <w:tblW w:type="dxa" w:w="10035"/>
        <w:tblLayout w:type="fixed"/>
        <w:tblLook w:firstColumn="1" w:firstRow="1" w:lastColumn="0" w:lastRow="0" w:noHBand="0" w:noVBand="1" w:val="04A0"/>
        <w:tblInd w:w="140" w:type="dxa"/>
      </w:tblPr>
      <w:tblGrid>
        <w:gridCol w:w="1600"/>
        <w:gridCol w:w="4100"/>
        <w:gridCol w:w="4335"/>
      </w:tblGrid>
      <w:tr>
        <w:trPr>
          <w:tblHeader w:val="true"/>
          <w:cantSplit/>
        </w:trPr>
        <w:tc>
          <w:tcPr>
            <w:tcW w:type="dxa" w:w="1600"/>
            <w:shd w:fill="112E51"/>
            <w:vAlign w:val="center"/>
            <w:tcMar>
              <w:top w:w="120" w:type="dxa"/>
              <w:start w:w="140" w:type="dxa"/>
              <w:bottom w:w="120" w:type="dxa"/>
              <w:end w:w="140" w:type="dxa"/>
            </w:tcMar>
          </w:tcPr>
          <w:p>
            <w:pPr>
              <w:spacing w:after="0" w:line="252" w:lineRule="auto"/>
            </w:pPr>
            <w:r/>
            <w:r>
              <w:rPr>
                <w:rFonts w:ascii="Aptos" w:hAnsi="Aptos"/>
                <w:b/>
                <w:color w:val="FFFFFF"/>
                <w:sz w:val="19"/>
              </w:rPr>
              <w:t>Layer</w:t>
            </w:r>
          </w:p>
        </w:tc>
        <w:tc>
          <w:tcPr>
            <w:tcW w:type="dxa" w:w="4100"/>
            <w:shd w:fill="112E51"/>
            <w:vAlign w:val="center"/>
            <w:tcMar>
              <w:top w:w="120" w:type="dxa"/>
              <w:start w:w="140" w:type="dxa"/>
              <w:bottom w:w="120" w:type="dxa"/>
              <w:end w:w="140" w:type="dxa"/>
            </w:tcMar>
          </w:tcPr>
          <w:p>
            <w:pPr>
              <w:spacing w:after="0" w:line="252" w:lineRule="auto"/>
            </w:pPr>
            <w:r/>
            <w:r>
              <w:rPr>
                <w:rFonts w:ascii="Aptos" w:hAnsi="Aptos"/>
                <w:b/>
                <w:color w:val="FFFFFF"/>
                <w:sz w:val="19"/>
              </w:rPr>
              <w:t>Reusable capability</w:t>
            </w:r>
          </w:p>
        </w:tc>
        <w:tc>
          <w:tcPr>
            <w:tcW w:type="dxa" w:w="4335"/>
            <w:shd w:fill="112E51"/>
            <w:vAlign w:val="center"/>
            <w:tcMar>
              <w:top w:w="120" w:type="dxa"/>
              <w:start w:w="140" w:type="dxa"/>
              <w:bottom w:w="120" w:type="dxa"/>
              <w:end w:w="140" w:type="dxa"/>
            </w:tcMar>
          </w:tcPr>
          <w:p>
            <w:pPr>
              <w:spacing w:after="0" w:line="252" w:lineRule="auto"/>
            </w:pPr>
            <w:r/>
            <w:r>
              <w:rPr>
                <w:rFonts w:ascii="Aptos" w:hAnsi="Aptos"/>
                <w:b/>
                <w:color w:val="FFFFFF"/>
                <w:sz w:val="19"/>
              </w:rPr>
              <w:t>Deliverable</w:t>
            </w:r>
          </w:p>
        </w:tc>
      </w:tr>
      <w:tr>
        <w:trPr>
          <w:cantSplit/>
        </w:trPr>
        <w:tc>
          <w:tcPr>
            <w:tcW w:type="dxa" w:w="1600"/>
            <w:shd w:fill="EAF7F6"/>
            <w:vAlign w:val="center"/>
            <w:tcMar>
              <w:top w:w="120" w:type="dxa"/>
              <w:start w:w="140" w:type="dxa"/>
              <w:bottom w:w="120" w:type="dxa"/>
              <w:end w:w="140" w:type="dxa"/>
            </w:tcMar>
          </w:tcPr>
          <w:p>
            <w:pPr>
              <w:spacing w:after="0" w:line="252" w:lineRule="auto"/>
            </w:pPr>
            <w:r/>
            <w:r>
              <w:rPr>
                <w:rFonts w:ascii="Aptos" w:hAnsi="Aptos"/>
                <w:b w:val="0"/>
                <w:color w:val="112E51"/>
                <w:sz w:val="18"/>
              </w:rPr>
              <w:t>1. Establish truth</w:t>
            </w:r>
          </w:p>
        </w:tc>
        <w:tc>
          <w:tcPr>
            <w:tcW w:type="dxa" w:w="4100"/>
            <w:shd w:fill="EAF7F6"/>
            <w:vAlign w:val="center"/>
            <w:tcMar>
              <w:top w:w="120" w:type="dxa"/>
              <w:start w:w="140" w:type="dxa"/>
              <w:bottom w:w="120" w:type="dxa"/>
              <w:end w:w="140" w:type="dxa"/>
            </w:tcMar>
          </w:tcPr>
          <w:p>
            <w:pPr>
              <w:spacing w:after="0" w:line="252" w:lineRule="auto"/>
            </w:pPr>
            <w:r/>
            <w:r>
              <w:rPr>
                <w:rFonts w:ascii="Aptos" w:hAnsi="Aptos"/>
                <w:b w:val="0"/>
                <w:color w:val="112E51"/>
                <w:sz w:val="18"/>
              </w:rPr>
              <w:t>Reconcile records, define denominators and freeze a baseline.</w:t>
            </w:r>
          </w:p>
        </w:tc>
        <w:tc>
          <w:tcPr>
            <w:tcW w:type="dxa" w:w="4335"/>
            <w:shd w:fill="EAF7F6"/>
            <w:vAlign w:val="center"/>
            <w:tcMar>
              <w:top w:w="120" w:type="dxa"/>
              <w:start w:w="140" w:type="dxa"/>
              <w:bottom w:w="120" w:type="dxa"/>
              <w:end w:w="140" w:type="dxa"/>
            </w:tcMar>
          </w:tcPr>
          <w:p>
            <w:pPr>
              <w:spacing w:after="0" w:line="252" w:lineRule="auto"/>
            </w:pPr>
            <w:r/>
            <w:r>
              <w:rPr>
                <w:rFonts w:ascii="Aptos" w:hAnsi="Aptos"/>
                <w:b w:val="0"/>
                <w:color w:val="112E51"/>
                <w:sz w:val="18"/>
              </w:rPr>
              <w:t>A metric registry and reproducible scorecard.</w:t>
            </w:r>
          </w:p>
        </w:tc>
      </w:tr>
      <w:tr>
        <w:trPr>
          <w:cantSplit/>
        </w:trPr>
        <w:tc>
          <w:tcPr>
            <w:tcW w:type="dxa" w:w="1600"/>
            <w:shd w:fill="EDF3F9"/>
            <w:vAlign w:val="center"/>
            <w:tcMar>
              <w:top w:w="120" w:type="dxa"/>
              <w:start w:w="140" w:type="dxa"/>
              <w:bottom w:w="120" w:type="dxa"/>
              <w:end w:w="140" w:type="dxa"/>
            </w:tcMar>
          </w:tcPr>
          <w:p>
            <w:pPr>
              <w:spacing w:after="0" w:line="252" w:lineRule="auto"/>
            </w:pPr>
            <w:r/>
            <w:r>
              <w:rPr>
                <w:rFonts w:ascii="Aptos" w:hAnsi="Aptos"/>
                <w:b w:val="0"/>
                <w:color w:val="112E51"/>
                <w:sz w:val="18"/>
              </w:rPr>
              <w:t>2. Protect data</w:t>
            </w:r>
          </w:p>
        </w:tc>
        <w:tc>
          <w:tcPr>
            <w:tcW w:type="dxa" w:w="4100"/>
            <w:shd w:fill="EDF3F9"/>
            <w:vAlign w:val="center"/>
            <w:tcMar>
              <w:top w:w="120" w:type="dxa"/>
              <w:start w:w="140" w:type="dxa"/>
              <w:bottom w:w="120" w:type="dxa"/>
              <w:end w:w="140" w:type="dxa"/>
            </w:tcMar>
          </w:tcPr>
          <w:p>
            <w:pPr>
              <w:spacing w:after="0" w:line="252" w:lineRule="auto"/>
            </w:pPr>
            <w:r/>
            <w:r>
              <w:rPr>
                <w:rFonts w:ascii="Aptos" w:hAnsi="Aptos"/>
                <w:b w:val="0"/>
                <w:color w:val="112E51"/>
                <w:sz w:val="18"/>
              </w:rPr>
              <w:t>Redact before downstream analysis; declare each trust boundary.</w:t>
            </w:r>
          </w:p>
        </w:tc>
        <w:tc>
          <w:tcPr>
            <w:tcW w:type="dxa" w:w="4335"/>
            <w:shd w:fill="EDF3F9"/>
            <w:vAlign w:val="center"/>
            <w:tcMar>
              <w:top w:w="120" w:type="dxa"/>
              <w:start w:w="140" w:type="dxa"/>
              <w:bottom w:w="120" w:type="dxa"/>
              <w:end w:w="140" w:type="dxa"/>
            </w:tcMar>
          </w:tcPr>
          <w:p>
            <w:pPr>
              <w:spacing w:after="0" w:line="252" w:lineRule="auto"/>
            </w:pPr>
            <w:r/>
            <w:r>
              <w:rPr>
                <w:rFonts w:ascii="Aptos" w:hAnsi="Aptos"/>
                <w:b w:val="0"/>
                <w:color w:val="112E51"/>
                <w:sz w:val="18"/>
              </w:rPr>
              <w:t>A governed local dataset and egress controls.</w:t>
            </w:r>
          </w:p>
        </w:tc>
      </w:tr>
      <w:tr>
        <w:trPr>
          <w:cantSplit/>
        </w:trPr>
        <w:tc>
          <w:tcPr>
            <w:tcW w:type="dxa" w:w="1600"/>
            <w:shd w:fill="F8FAFC"/>
            <w:vAlign w:val="center"/>
            <w:tcMar>
              <w:top w:w="120" w:type="dxa"/>
              <w:start w:w="140" w:type="dxa"/>
              <w:bottom w:w="120" w:type="dxa"/>
              <w:end w:w="140" w:type="dxa"/>
            </w:tcMar>
          </w:tcPr>
          <w:p>
            <w:pPr>
              <w:spacing w:after="0" w:line="252" w:lineRule="auto"/>
            </w:pPr>
            <w:r/>
            <w:r>
              <w:rPr>
                <w:rFonts w:ascii="Aptos" w:hAnsi="Aptos"/>
                <w:b w:val="0"/>
                <w:color w:val="112E51"/>
                <w:sz w:val="18"/>
              </w:rPr>
              <w:t>3. Build decision support</w:t>
            </w:r>
          </w:p>
        </w:tc>
        <w:tc>
          <w:tcPr>
            <w:tcW w:type="dxa" w:w="4100"/>
            <w:shd w:fill="F8FAFC"/>
            <w:vAlign w:val="center"/>
            <w:tcMar>
              <w:top w:w="120" w:type="dxa"/>
              <w:start w:w="140" w:type="dxa"/>
              <w:bottom w:w="120" w:type="dxa"/>
              <w:end w:w="140" w:type="dxa"/>
            </w:tcMar>
          </w:tcPr>
          <w:p>
            <w:pPr>
              <w:spacing w:after="0" w:line="252" w:lineRule="auto"/>
            </w:pPr>
            <w:r/>
            <w:r>
              <w:rPr>
                <w:rFonts w:ascii="Aptos" w:hAnsi="Aptos"/>
                <w:b w:val="0"/>
                <w:color w:val="112E51"/>
                <w:sz w:val="18"/>
              </w:rPr>
              <w:t>Start with cheap local baselines; compare pretrained candidates on identical cases.</w:t>
            </w:r>
          </w:p>
        </w:tc>
        <w:tc>
          <w:tcPr>
            <w:tcW w:type="dxa" w:w="4335"/>
            <w:shd w:fill="F8FAFC"/>
            <w:vAlign w:val="center"/>
            <w:tcMar>
              <w:top w:w="120" w:type="dxa"/>
              <w:start w:w="140" w:type="dxa"/>
              <w:bottom w:w="120" w:type="dxa"/>
              <w:end w:w="140" w:type="dxa"/>
            </w:tcMar>
          </w:tcPr>
          <w:p>
            <w:pPr>
              <w:spacing w:after="0" w:line="252" w:lineRule="auto"/>
            </w:pPr>
            <w:r/>
            <w:r>
              <w:rPr>
                <w:rFonts w:ascii="Aptos" w:hAnsi="Aptos"/>
                <w:b w:val="0"/>
                <w:color w:val="112E51"/>
                <w:sz w:val="18"/>
              </w:rPr>
              <w:t>Versioned actionability, category, summary and route candidates.</w:t>
            </w:r>
          </w:p>
        </w:tc>
      </w:tr>
      <w:tr>
        <w:trPr>
          <w:cantSplit/>
        </w:trPr>
        <w:tc>
          <w:tcPr>
            <w:tcW w:type="dxa" w:w="1600"/>
            <w:shd w:fill="EDF3F9"/>
            <w:vAlign w:val="center"/>
            <w:tcMar>
              <w:top w:w="120" w:type="dxa"/>
              <w:start w:w="140" w:type="dxa"/>
              <w:bottom w:w="120" w:type="dxa"/>
              <w:end w:w="140" w:type="dxa"/>
            </w:tcMar>
          </w:tcPr>
          <w:p>
            <w:pPr>
              <w:spacing w:after="0" w:line="252" w:lineRule="auto"/>
            </w:pPr>
            <w:r/>
            <w:r>
              <w:rPr>
                <w:rFonts w:ascii="Aptos" w:hAnsi="Aptos"/>
                <w:b w:val="0"/>
                <w:color w:val="112E51"/>
                <w:sz w:val="18"/>
              </w:rPr>
              <w:t>4. Serve safely</w:t>
            </w:r>
          </w:p>
        </w:tc>
        <w:tc>
          <w:tcPr>
            <w:tcW w:type="dxa" w:w="4100"/>
            <w:shd w:fill="EDF3F9"/>
            <w:vAlign w:val="center"/>
            <w:tcMar>
              <w:top w:w="120" w:type="dxa"/>
              <w:start w:w="140" w:type="dxa"/>
              <w:bottom w:w="120" w:type="dxa"/>
              <w:end w:w="140" w:type="dxa"/>
            </w:tcMar>
          </w:tcPr>
          <w:p>
            <w:pPr>
              <w:spacing w:after="0" w:line="252" w:lineRule="auto"/>
            </w:pPr>
            <w:r/>
            <w:r>
              <w:rPr>
                <w:rFonts w:ascii="Aptos" w:hAnsi="Aptos"/>
                <w:b w:val="0"/>
                <w:color w:val="112E51"/>
                <w:sz w:val="18"/>
              </w:rPr>
              <w:t>Pin exact model bytes and parameters; abstain and fall back when evidence is weak.</w:t>
            </w:r>
          </w:p>
        </w:tc>
        <w:tc>
          <w:tcPr>
            <w:tcW w:type="dxa" w:w="4335"/>
            <w:shd w:fill="EDF3F9"/>
            <w:vAlign w:val="center"/>
            <w:tcMar>
              <w:top w:w="120" w:type="dxa"/>
              <w:start w:w="140" w:type="dxa"/>
              <w:bottom w:w="120" w:type="dxa"/>
              <w:end w:w="140" w:type="dxa"/>
            </w:tcMar>
          </w:tcPr>
          <w:p>
            <w:pPr>
              <w:spacing w:after="0" w:line="252" w:lineRule="auto"/>
            </w:pPr>
            <w:r/>
            <w:r>
              <w:rPr>
                <w:rFonts w:ascii="Aptos" w:hAnsi="Aptos"/>
                <w:b w:val="0"/>
                <w:color w:val="112E51"/>
                <w:sz w:val="18"/>
              </w:rPr>
              <w:t>A release manifest with local rollback.</w:t>
            </w:r>
          </w:p>
        </w:tc>
      </w:tr>
      <w:tr>
        <w:trPr>
          <w:cantSplit/>
        </w:trPr>
        <w:tc>
          <w:tcPr>
            <w:tcW w:type="dxa" w:w="1600"/>
            <w:shd w:fill="EAF7F6"/>
            <w:vAlign w:val="center"/>
            <w:tcMar>
              <w:top w:w="120" w:type="dxa"/>
              <w:start w:w="140" w:type="dxa"/>
              <w:bottom w:w="120" w:type="dxa"/>
              <w:end w:w="140" w:type="dxa"/>
            </w:tcMar>
          </w:tcPr>
          <w:p>
            <w:pPr>
              <w:spacing w:after="0" w:line="252" w:lineRule="auto"/>
            </w:pPr>
            <w:r/>
            <w:r>
              <w:rPr>
                <w:rFonts w:ascii="Aptos" w:hAnsi="Aptos"/>
                <w:b w:val="0"/>
                <w:color w:val="112E51"/>
                <w:sz w:val="18"/>
              </w:rPr>
              <w:t>5. Prove value</w:t>
            </w:r>
          </w:p>
        </w:tc>
        <w:tc>
          <w:tcPr>
            <w:tcW w:type="dxa" w:w="4100"/>
            <w:shd w:fill="EAF7F6"/>
            <w:vAlign w:val="center"/>
            <w:tcMar>
              <w:top w:w="120" w:type="dxa"/>
              <w:start w:w="140" w:type="dxa"/>
              <w:bottom w:w="120" w:type="dxa"/>
              <w:end w:w="140" w:type="dxa"/>
            </w:tcMar>
          </w:tcPr>
          <w:p>
            <w:pPr>
              <w:spacing w:after="0" w:line="252" w:lineRule="auto"/>
            </w:pPr>
            <w:r/>
            <w:r>
              <w:rPr>
                <w:rFonts w:ascii="Aptos" w:hAnsi="Aptos"/>
                <w:b w:val="0"/>
                <w:color w:val="112E51"/>
                <w:sz w:val="18"/>
              </w:rPr>
              <w:t>Log what was shown and what the officer did; connect model quality to workflow and citizen outcomes.</w:t>
            </w:r>
          </w:p>
        </w:tc>
        <w:tc>
          <w:tcPr>
            <w:tcW w:type="dxa" w:w="4335"/>
            <w:shd w:fill="EAF7F6"/>
            <w:vAlign w:val="center"/>
            <w:tcMar>
              <w:top w:w="120" w:type="dxa"/>
              <w:start w:w="140" w:type="dxa"/>
              <w:bottom w:w="120" w:type="dxa"/>
              <w:end w:w="140" w:type="dxa"/>
            </w:tcMar>
          </w:tcPr>
          <w:p>
            <w:pPr>
              <w:spacing w:after="0" w:line="252" w:lineRule="auto"/>
            </w:pPr>
            <w:r/>
            <w:r>
              <w:rPr>
                <w:rFonts w:ascii="Aptos" w:hAnsi="Aptos"/>
                <w:b w:val="0"/>
                <w:color w:val="112E51"/>
                <w:sz w:val="18"/>
              </w:rPr>
              <w:t>A shadow run followed by a pre-agreed controlled pilot.</w:t>
            </w:r>
          </w:p>
        </w:tc>
      </w:tr>
    </w:tbl>
    <w:p>
      <w:pPr>
        <w:spacing w:after="160" w:line="269" w:lineRule="auto"/>
      </w:pPr>
      <w:r>
        <w:rPr>
          <w:rFonts w:ascii="Aptos" w:hAnsi="Aptos"/>
          <w:color w:val="526175"/>
          <w:sz w:val="21"/>
        </w:rPr>
        <w:t>We use separate frontier-model passes selectively to accelerate one-time adjudication and research, with explicit egress approval and known provenance limits. Production can remain local: classical text models, multilingual encoders and rules are benchmarked against the same frozen cases, then the cheapest model that clears the gate is pinned and served.</w:t>
      </w:r>
    </w:p>
    <w:tbl>
      <w:tblPr>
        <w:tblW w:type="dxa" w:w="10035"/>
        <w:tblLayout w:type="fixed"/>
        <w:tblLook w:firstColumn="1" w:firstRow="1" w:lastColumn="0" w:lastRow="0" w:noHBand="0" w:noVBand="1" w:val="04A0"/>
        <w:tblInd w:w="180" w:type="dxa"/>
      </w:tblPr>
      <w:tblGrid>
        <w:gridCol w:w="10035"/>
      </w:tblGrid>
      <w:tr>
        <w:trPr>
          <w:cantSplit/>
        </w:trPr>
        <w:tc>
          <w:tcPr>
            <w:tcW w:type="dxa" w:w="10035"/>
            <w:shd w:fill="EDF3F9"/>
            <w:tcMar>
              <w:top w:w="160" w:type="dxa"/>
              <w:start w:w="180" w:type="dxa"/>
              <w:bottom w:w="160" w:type="dxa"/>
              <w:end w:w="180" w:type="dxa"/>
            </w:tcMar>
          </w:tcPr>
          <w:p>
            <w:pPr>
              <w:spacing w:after="40"/>
            </w:pPr>
            <w:r/>
            <w:r>
              <w:rPr>
                <w:rFonts w:ascii="Aptos" w:hAnsi="Aptos"/>
                <w:b/>
                <w:color w:val="138782"/>
                <w:sz w:val="22"/>
              </w:rPr>
              <w:t>Proof point from Janasunani</w:t>
            </w:r>
          </w:p>
          <w:p>
            <w:pPr>
              <w:spacing w:after="0" w:line="259" w:lineRule="auto"/>
            </w:pPr>
            <w:r>
              <w:rPr>
                <w:rFonts w:ascii="Aptos" w:hAnsi="Aptos"/>
                <w:color w:val="112E51"/>
                <w:sz w:val="21"/>
              </w:rPr>
              <w:t>A chronological 2025 benchmark places the historical destination in the top three suggestions for 69.05% of 208,267 cases, rising to 79.68% where intake data is informative. In a separate 60-case frontier-adjudicated binary development test, a cheap local review model caught all 14 complaints needing extra review while also flagging 5 of 46 ordinary complaints. Pretrained MuRIL and MiniLM probes did not beat it. The binary model is not serving-compatible; these are proof points, not release or impact claims.</w:t>
            </w:r>
          </w:p>
        </w:tc>
      </w:tr>
    </w:tbl>
    <w:tbl>
      <w:tblPr>
        <w:tblW w:type="dxa" w:w="10035"/>
        <w:tblLayout w:type="fixed"/>
        <w:tblLook w:firstColumn="1" w:firstRow="1" w:lastColumn="0" w:lastRow="0" w:noHBand="0" w:noVBand="1" w:val="04A0"/>
        <w:tblInd w:w="180" w:type="dxa"/>
      </w:tblPr>
      <w:tblGrid>
        <w:gridCol w:w="10035"/>
      </w:tblGrid>
      <w:tr>
        <w:trPr>
          <w:cantSplit/>
        </w:trPr>
        <w:tc>
          <w:tcPr>
            <w:tcW w:type="dxa" w:w="10035"/>
            <w:shd w:fill="FFF7DF"/>
            <w:tcMar>
              <w:top w:w="160" w:type="dxa"/>
              <w:start w:w="180" w:type="dxa"/>
              <w:bottom w:w="160" w:type="dxa"/>
              <w:end w:w="180" w:type="dxa"/>
            </w:tcMar>
          </w:tcPr>
          <w:p>
            <w:pPr>
              <w:spacing w:after="40"/>
            </w:pPr>
            <w:r/>
            <w:r>
              <w:rPr>
                <w:rFonts w:ascii="Aptos" w:hAnsi="Aptos"/>
                <w:b/>
                <w:color w:val="C4941A"/>
                <w:sz w:val="22"/>
              </w:rPr>
              <w:t>Why this is different from a generic AI demo</w:t>
            </w:r>
          </w:p>
          <w:p>
            <w:pPr>
              <w:spacing w:after="0" w:line="259" w:lineRule="auto"/>
            </w:pPr>
            <w:r>
              <w:rPr>
                <w:rFonts w:ascii="Aptos" w:hAnsi="Aptos"/>
                <w:color w:val="112E51"/>
                <w:sz w:val="21"/>
              </w:rPr>
              <w:t>Every number keeps its denominator and limitation. The release mechanism can pin parameters and support rollback once an approved manifest is activated. Low-confidence cases abstain. External egress is explicit. The evaluation follows the chain from model → officer behavior → workflow → citizen outcome.</w:t>
            </w:r>
          </w:p>
        </w:tc>
      </w:tr>
    </w:tbl>
    <w:p>
      <w:r>
        <w:br w:type="page"/>
      </w:r>
    </w:p>
    <w:p>
      <w:pPr>
        <w:pStyle w:val="BriefSectionLabel"/>
        <w:spacing w:before="80" w:after="100"/>
        <w:pBdr>
          <w:bottom w:val="single" w:sz="8" w:space="4" w:color="138782"/>
        </w:pBdr>
      </w:pPr>
      <w:r>
        <w:rPr>
          <w:rFonts w:ascii="Aptos Display" w:hAnsi="Aptos Display"/>
          <w:b/>
          <w:color w:val="138782"/>
          <w:sz w:val="20"/>
        </w:rPr>
        <w:t>HOW A PROSPECTIVE PARTNER CAN START</w:t>
      </w:r>
    </w:p>
    <w:p>
      <w:pPr>
        <w:pStyle w:val="BriefTitle"/>
        <w:spacing w:before="60" w:after="140"/>
      </w:pPr>
      <w:r>
        <w:rPr>
          <w:rFonts w:ascii="Aptos Display" w:hAnsi="Aptos Display"/>
          <w:b/>
          <w:color w:val="112E51"/>
          <w:sz w:val="52"/>
        </w:rPr>
        <w:t>Begin with evidence; scale only after value is visible</w:t>
      </w:r>
    </w:p>
    <w:tbl>
      <w:tblPr>
        <w:tblW w:type="dxa" w:w="10035"/>
        <w:tblLayout w:type="fixed"/>
        <w:tblLook w:firstColumn="1" w:firstRow="1" w:lastColumn="0" w:lastRow="0" w:noHBand="0" w:noVBand="1" w:val="04A0"/>
        <w:tblInd w:w="140" w:type="dxa"/>
      </w:tblPr>
      <w:tblGrid>
        <w:gridCol w:w="1500"/>
        <w:gridCol w:w="2500"/>
        <w:gridCol w:w="2700"/>
        <w:gridCol w:w="3335"/>
      </w:tblGrid>
      <w:tr>
        <w:trPr>
          <w:tblHeader w:val="true"/>
          <w:cantSplit/>
        </w:trPr>
        <w:tc>
          <w:tcPr>
            <w:tcW w:type="dxa" w:w="1500"/>
            <w:shd w:fill="112E51"/>
            <w:vAlign w:val="center"/>
            <w:tcMar>
              <w:top w:w="120" w:type="dxa"/>
              <w:start w:w="140" w:type="dxa"/>
              <w:bottom w:w="120" w:type="dxa"/>
              <w:end w:w="140" w:type="dxa"/>
            </w:tcMar>
          </w:tcPr>
          <w:p>
            <w:pPr>
              <w:spacing w:after="0" w:line="252" w:lineRule="auto"/>
            </w:pPr>
            <w:r/>
            <w:r>
              <w:rPr>
                <w:rFonts w:ascii="Aptos" w:hAnsi="Aptos"/>
                <w:b/>
                <w:color w:val="FFFFFF"/>
                <w:sz w:val="18"/>
              </w:rPr>
              <w:t>Phase</w:t>
            </w:r>
          </w:p>
        </w:tc>
        <w:tc>
          <w:tcPr>
            <w:tcW w:type="dxa" w:w="2500"/>
            <w:shd w:fill="112E51"/>
            <w:vAlign w:val="center"/>
            <w:tcMar>
              <w:top w:w="120" w:type="dxa"/>
              <w:start w:w="140" w:type="dxa"/>
              <w:bottom w:w="120" w:type="dxa"/>
              <w:end w:w="140" w:type="dxa"/>
            </w:tcMar>
          </w:tcPr>
          <w:p>
            <w:pPr>
              <w:spacing w:after="0" w:line="252" w:lineRule="auto"/>
            </w:pPr>
            <w:r/>
            <w:r>
              <w:rPr>
                <w:rFonts w:ascii="Aptos" w:hAnsi="Aptos"/>
                <w:b/>
                <w:color w:val="FFFFFF"/>
                <w:sz w:val="18"/>
              </w:rPr>
              <w:t>We do</w:t>
            </w:r>
          </w:p>
        </w:tc>
        <w:tc>
          <w:tcPr>
            <w:tcW w:type="dxa" w:w="2700"/>
            <w:shd w:fill="112E51"/>
            <w:vAlign w:val="center"/>
            <w:tcMar>
              <w:top w:w="120" w:type="dxa"/>
              <w:start w:w="140" w:type="dxa"/>
              <w:bottom w:w="120" w:type="dxa"/>
              <w:end w:w="140" w:type="dxa"/>
            </w:tcMar>
          </w:tcPr>
          <w:p>
            <w:pPr>
              <w:spacing w:after="0" w:line="252" w:lineRule="auto"/>
            </w:pPr>
            <w:r/>
            <w:r>
              <w:rPr>
                <w:rFonts w:ascii="Aptos" w:hAnsi="Aptos"/>
                <w:b/>
                <w:color w:val="FFFFFF"/>
                <w:sz w:val="18"/>
              </w:rPr>
              <w:t>Partner receives</w:t>
            </w:r>
          </w:p>
        </w:tc>
        <w:tc>
          <w:tcPr>
            <w:tcW w:type="dxa" w:w="3335"/>
            <w:shd w:fill="112E51"/>
            <w:vAlign w:val="center"/>
            <w:tcMar>
              <w:top w:w="120" w:type="dxa"/>
              <w:start w:w="140" w:type="dxa"/>
              <w:bottom w:w="120" w:type="dxa"/>
              <w:end w:w="140" w:type="dxa"/>
            </w:tcMar>
          </w:tcPr>
          <w:p>
            <w:pPr>
              <w:spacing w:after="0" w:line="252" w:lineRule="auto"/>
            </w:pPr>
            <w:r/>
            <w:r>
              <w:rPr>
                <w:rFonts w:ascii="Aptos" w:hAnsi="Aptos"/>
                <w:b/>
                <w:color w:val="FFFFFF"/>
                <w:sz w:val="18"/>
              </w:rPr>
              <w:t>Go / no-go evidence</w:t>
            </w:r>
          </w:p>
        </w:tc>
      </w:tr>
      <w:tr>
        <w:trPr>
          <w:cantSplit/>
        </w:trPr>
        <w:tc>
          <w:tcPr>
            <w:tcW w:type="dxa" w:w="1500"/>
            <w:shd w:fill="EAF7F6"/>
            <w:vAlign w:val="center"/>
            <w:tcMar>
              <w:top w:w="120" w:type="dxa"/>
              <w:start w:w="140" w:type="dxa"/>
              <w:bottom w:w="120" w:type="dxa"/>
              <w:end w:w="140" w:type="dxa"/>
            </w:tcMar>
          </w:tcPr>
          <w:p>
            <w:pPr>
              <w:spacing w:after="0" w:line="252" w:lineRule="auto"/>
            </w:pPr>
            <w:r/>
            <w:r>
              <w:rPr>
                <w:rFonts w:ascii="Aptos" w:hAnsi="Aptos"/>
                <w:b w:val="0"/>
                <w:color w:val="112E51"/>
                <w:sz w:val="18"/>
              </w:rPr>
              <w:t>Value diagnostic</w:t>
            </w:r>
          </w:p>
        </w:tc>
        <w:tc>
          <w:tcPr>
            <w:tcW w:type="dxa" w:w="2500"/>
            <w:shd w:fill="EAF7F6"/>
            <w:vAlign w:val="center"/>
            <w:tcMar>
              <w:top w:w="120" w:type="dxa"/>
              <w:start w:w="140" w:type="dxa"/>
              <w:bottom w:w="120" w:type="dxa"/>
              <w:end w:w="140" w:type="dxa"/>
            </w:tcMar>
          </w:tcPr>
          <w:p>
            <w:pPr>
              <w:spacing w:after="0" w:line="252" w:lineRule="auto"/>
            </w:pPr>
            <w:r/>
            <w:r>
              <w:rPr>
                <w:rFonts w:ascii="Aptos" w:hAnsi="Aptos"/>
                <w:b w:val="0"/>
                <w:color w:val="112E51"/>
                <w:sz w:val="18"/>
              </w:rPr>
              <w:t>Reconcile the case flow, sample failure modes and establish baselines.</w:t>
            </w:r>
          </w:p>
        </w:tc>
        <w:tc>
          <w:tcPr>
            <w:tcW w:type="dxa" w:w="2700"/>
            <w:shd w:fill="EAF7F6"/>
            <w:vAlign w:val="center"/>
            <w:tcMar>
              <w:top w:w="120" w:type="dxa"/>
              <w:start w:w="140" w:type="dxa"/>
              <w:bottom w:w="120" w:type="dxa"/>
              <w:end w:w="140" w:type="dxa"/>
            </w:tcMar>
          </w:tcPr>
          <w:p>
            <w:pPr>
              <w:spacing w:after="0" w:line="252" w:lineRule="auto"/>
            </w:pPr>
            <w:r/>
            <w:r>
              <w:rPr>
                <w:rFonts w:ascii="Aptos" w:hAnsi="Aptos"/>
                <w:b w:val="0"/>
                <w:color w:val="112E51"/>
                <w:sz w:val="18"/>
              </w:rPr>
              <w:t>A decision memo, metric registry and prioritized use cases.</w:t>
            </w:r>
          </w:p>
        </w:tc>
        <w:tc>
          <w:tcPr>
            <w:tcW w:type="dxa" w:w="3335"/>
            <w:shd w:fill="EAF7F6"/>
            <w:vAlign w:val="center"/>
            <w:tcMar>
              <w:top w:w="120" w:type="dxa"/>
              <w:start w:w="140" w:type="dxa"/>
              <w:bottom w:w="120" w:type="dxa"/>
              <w:end w:w="140" w:type="dxa"/>
            </w:tcMar>
          </w:tcPr>
          <w:p>
            <w:pPr>
              <w:spacing w:after="0" w:line="252" w:lineRule="auto"/>
            </w:pPr>
            <w:r/>
            <w:r>
              <w:rPr>
                <w:rFonts w:ascii="Aptos" w:hAnsi="Aptos"/>
                <w:b w:val="0"/>
                <w:color w:val="112E51"/>
                <w:sz w:val="18"/>
              </w:rPr>
              <w:t>Is there enough reliable data and operational headroom?</w:t>
            </w:r>
          </w:p>
        </w:tc>
      </w:tr>
      <w:tr>
        <w:trPr>
          <w:cantSplit/>
        </w:trPr>
        <w:tc>
          <w:tcPr>
            <w:tcW w:type="dxa" w:w="1500"/>
            <w:shd w:fill="EDF3F9"/>
            <w:vAlign w:val="center"/>
            <w:tcMar>
              <w:top w:w="120" w:type="dxa"/>
              <w:start w:w="140" w:type="dxa"/>
              <w:bottom w:w="120" w:type="dxa"/>
              <w:end w:w="140" w:type="dxa"/>
            </w:tcMar>
          </w:tcPr>
          <w:p>
            <w:pPr>
              <w:spacing w:after="0" w:line="252" w:lineRule="auto"/>
            </w:pPr>
            <w:r/>
            <w:r>
              <w:rPr>
                <w:rFonts w:ascii="Aptos" w:hAnsi="Aptos"/>
                <w:b w:val="0"/>
                <w:color w:val="112E51"/>
                <w:sz w:val="18"/>
              </w:rPr>
              <w:t>Shadow pilot</w:t>
            </w:r>
          </w:p>
        </w:tc>
        <w:tc>
          <w:tcPr>
            <w:tcW w:type="dxa" w:w="2500"/>
            <w:shd w:fill="EDF3F9"/>
            <w:vAlign w:val="center"/>
            <w:tcMar>
              <w:top w:w="120" w:type="dxa"/>
              <w:start w:w="140" w:type="dxa"/>
              <w:bottom w:w="120" w:type="dxa"/>
              <w:end w:w="140" w:type="dxa"/>
            </w:tcMar>
          </w:tcPr>
          <w:p>
            <w:pPr>
              <w:spacing w:after="0" w:line="252" w:lineRule="auto"/>
            </w:pPr>
            <w:r/>
            <w:r>
              <w:rPr>
                <w:rFonts w:ascii="Aptos" w:hAnsi="Aptos"/>
                <w:b w:val="0"/>
                <w:color w:val="112E51"/>
                <w:sz w:val="18"/>
              </w:rPr>
              <w:t>Run local candidate models without changing officer or citizen outcomes.</w:t>
            </w:r>
          </w:p>
        </w:tc>
        <w:tc>
          <w:tcPr>
            <w:tcW w:type="dxa" w:w="2700"/>
            <w:shd w:fill="EDF3F9"/>
            <w:vAlign w:val="center"/>
            <w:tcMar>
              <w:top w:w="120" w:type="dxa"/>
              <w:start w:w="140" w:type="dxa"/>
              <w:bottom w:w="120" w:type="dxa"/>
              <w:end w:w="140" w:type="dxa"/>
            </w:tcMar>
          </w:tcPr>
          <w:p>
            <w:pPr>
              <w:spacing w:after="0" w:line="252" w:lineRule="auto"/>
            </w:pPr>
            <w:r/>
            <w:r>
              <w:rPr>
                <w:rFonts w:ascii="Aptos" w:hAnsi="Aptos"/>
                <w:b w:val="0"/>
                <w:color w:val="112E51"/>
                <w:sz w:val="18"/>
              </w:rPr>
              <w:t>Quality, coverage, latency, failure and subgroup scorecards.</w:t>
            </w:r>
          </w:p>
        </w:tc>
        <w:tc>
          <w:tcPr>
            <w:tcW w:type="dxa" w:w="3335"/>
            <w:shd w:fill="EDF3F9"/>
            <w:vAlign w:val="center"/>
            <w:tcMar>
              <w:top w:w="120" w:type="dxa"/>
              <w:start w:w="140" w:type="dxa"/>
              <w:bottom w:w="120" w:type="dxa"/>
              <w:end w:w="140" w:type="dxa"/>
            </w:tcMar>
          </w:tcPr>
          <w:p>
            <w:pPr>
              <w:spacing w:after="0" w:line="252" w:lineRule="auto"/>
            </w:pPr>
            <w:r/>
            <w:r>
              <w:rPr>
                <w:rFonts w:ascii="Aptos" w:hAnsi="Aptos"/>
                <w:b w:val="0"/>
                <w:color w:val="112E51"/>
                <w:sz w:val="18"/>
              </w:rPr>
              <w:t>Does the tool clear safety and usefulness gates?</w:t>
            </w:r>
          </w:p>
        </w:tc>
      </w:tr>
      <w:tr>
        <w:trPr>
          <w:cantSplit/>
        </w:trPr>
        <w:tc>
          <w:tcPr>
            <w:tcW w:type="dxa" w:w="1500"/>
            <w:shd w:fill="FFF7DF"/>
            <w:vAlign w:val="center"/>
            <w:tcMar>
              <w:top w:w="120" w:type="dxa"/>
              <w:start w:w="140" w:type="dxa"/>
              <w:bottom w:w="120" w:type="dxa"/>
              <w:end w:w="140" w:type="dxa"/>
            </w:tcMar>
          </w:tcPr>
          <w:p>
            <w:pPr>
              <w:spacing w:after="0" w:line="252" w:lineRule="auto"/>
            </w:pPr>
            <w:r/>
            <w:r>
              <w:rPr>
                <w:rFonts w:ascii="Aptos" w:hAnsi="Aptos"/>
                <w:b w:val="0"/>
                <w:color w:val="112E51"/>
                <w:sz w:val="18"/>
              </w:rPr>
              <w:t>Measured rollout</w:t>
            </w:r>
          </w:p>
        </w:tc>
        <w:tc>
          <w:tcPr>
            <w:tcW w:type="dxa" w:w="2500"/>
            <w:shd w:fill="FFF7DF"/>
            <w:vAlign w:val="center"/>
            <w:tcMar>
              <w:top w:w="120" w:type="dxa"/>
              <w:start w:w="140" w:type="dxa"/>
              <w:bottom w:w="120" w:type="dxa"/>
              <w:end w:w="140" w:type="dxa"/>
            </w:tcMar>
          </w:tcPr>
          <w:p>
            <w:pPr>
              <w:spacing w:after="0" w:line="252" w:lineRule="auto"/>
            </w:pPr>
            <w:r/>
            <w:r>
              <w:rPr>
                <w:rFonts w:ascii="Aptos" w:hAnsi="Aptos"/>
                <w:b w:val="0"/>
                <w:color w:val="112E51"/>
                <w:sz w:val="18"/>
              </w:rPr>
              <w:t>Expose advisory outputs in stages and record officer decisions safely.</w:t>
            </w:r>
          </w:p>
        </w:tc>
        <w:tc>
          <w:tcPr>
            <w:tcW w:type="dxa" w:w="2700"/>
            <w:shd w:fill="FFF7DF"/>
            <w:vAlign w:val="center"/>
            <w:tcMar>
              <w:top w:w="120" w:type="dxa"/>
              <w:start w:w="140" w:type="dxa"/>
              <w:bottom w:w="120" w:type="dxa"/>
              <w:end w:w="140" w:type="dxa"/>
            </w:tcMar>
          </w:tcPr>
          <w:p>
            <w:pPr>
              <w:spacing w:after="0" w:line="252" w:lineRule="auto"/>
            </w:pPr>
            <w:r/>
            <w:r>
              <w:rPr>
                <w:rFonts w:ascii="Aptos" w:hAnsi="Aptos"/>
                <w:b w:val="0"/>
                <w:color w:val="112E51"/>
                <w:sz w:val="18"/>
              </w:rPr>
              <w:t>Evidence on touches, handoffs, first action and 30/90-day outcomes.</w:t>
            </w:r>
          </w:p>
        </w:tc>
        <w:tc>
          <w:tcPr>
            <w:tcW w:type="dxa" w:w="3335"/>
            <w:shd w:fill="FFF7DF"/>
            <w:vAlign w:val="center"/>
            <w:tcMar>
              <w:top w:w="120" w:type="dxa"/>
              <w:start w:w="140" w:type="dxa"/>
              <w:bottom w:w="120" w:type="dxa"/>
              <w:end w:w="140" w:type="dxa"/>
            </w:tcMar>
          </w:tcPr>
          <w:p>
            <w:pPr>
              <w:spacing w:after="0" w:line="252" w:lineRule="auto"/>
            </w:pPr>
            <w:r/>
            <w:r>
              <w:rPr>
                <w:rFonts w:ascii="Aptos" w:hAnsi="Aptos"/>
                <w:b w:val="0"/>
                <w:color w:val="112E51"/>
                <w:sz w:val="18"/>
              </w:rPr>
              <w:t>Does it improve service without creating new harm?</w:t>
            </w:r>
          </w:p>
        </w:tc>
      </w:tr>
    </w:tbl>
    <w:p>
      <w:pPr>
        <w:pStyle w:val="BriefSectionLabel"/>
        <w:spacing w:before="80" w:after="100"/>
        <w:pBdr>
          <w:bottom w:val="single" w:sz="8" w:space="4" w:color="138782"/>
        </w:pBdr>
      </w:pPr>
      <w:r>
        <w:rPr>
          <w:rFonts w:ascii="Aptos Display" w:hAnsi="Aptos Display"/>
          <w:b/>
          <w:color w:val="138782"/>
          <w:sz w:val="20"/>
        </w:rPr>
        <w:t>WHAT WE NEED FROM A PARTNER</w:t>
      </w:r>
    </w:p>
    <w:p>
      <w:pPr>
        <w:spacing w:after="140" w:line="269" w:lineRule="auto"/>
      </w:pPr>
      <w:r>
        <w:rPr>
          <w:rFonts w:ascii="Aptos" w:hAnsi="Aptos"/>
          <w:color w:val="112E51"/>
          <w:sz w:val="22"/>
        </w:rPr>
        <w:t>A named service problem; a governed extract or secure on-premise access; the officers who know what a good decision looks like; and agreement on the outcome that matters. Raw citizen text need not leave the partner’s controlled environment for production.</w:t>
      </w:r>
    </w:p>
    <w:p>
      <w:pPr>
        <w:pStyle w:val="BriefSectionLabel"/>
        <w:spacing w:before="80" w:after="100"/>
        <w:pBdr>
          <w:bottom w:val="single" w:sz="8" w:space="4" w:color="138782"/>
        </w:pBdr>
      </w:pPr>
      <w:r>
        <w:rPr>
          <w:rFonts w:ascii="Aptos Display" w:hAnsi="Aptos Display"/>
          <w:b/>
          <w:color w:val="138782"/>
          <w:sz w:val="20"/>
        </w:rPr>
        <w:t>WHAT THE PARTNER SHOULD EXPECT</w:t>
      </w:r>
    </w:p>
    <w:p>
      <w:pPr>
        <w:spacing w:after="140" w:line="269" w:lineRule="auto"/>
      </w:pPr>
      <w:r>
        <w:rPr>
          <w:rFonts w:ascii="Aptos" w:hAnsi="Aptos"/>
          <w:color w:val="112E51"/>
          <w:sz w:val="22"/>
        </w:rPr>
        <w:t>A working local pipeline, transparent scorecards, a model and parameter catalog, clear fallbacks, and a decision on whether the use case deserves a pilot. If the evidence is weak, the deliverable is an honest no-go and the data needed to revisit it—not an inflated accuracy slide.</w:t>
      </w:r>
    </w:p>
    <w:tbl>
      <w:tblPr>
        <w:tblW w:type="dxa" w:w="10035"/>
        <w:tblLayout w:type="fixed"/>
        <w:tblLook w:firstColumn="1" w:firstRow="1" w:lastColumn="0" w:lastRow="0" w:noHBand="0" w:noVBand="1" w:val="04A0"/>
        <w:tblInd w:w="180" w:type="dxa"/>
      </w:tblPr>
      <w:tblGrid>
        <w:gridCol w:w="10035"/>
      </w:tblGrid>
      <w:tr>
        <w:trPr>
          <w:cantSplit/>
        </w:trPr>
        <w:tc>
          <w:tcPr>
            <w:tcW w:type="dxa" w:w="10035"/>
            <w:shd w:fill="EAF7F6"/>
            <w:tcMar>
              <w:top w:w="160" w:type="dxa"/>
              <w:start w:w="180" w:type="dxa"/>
              <w:bottom w:w="160" w:type="dxa"/>
              <w:end w:w="180" w:type="dxa"/>
            </w:tcMar>
          </w:tcPr>
          <w:p>
            <w:pPr>
              <w:spacing w:after="40"/>
            </w:pPr>
            <w:r/>
            <w:r>
              <w:rPr>
                <w:rFonts w:ascii="Aptos" w:hAnsi="Aptos"/>
                <w:b/>
                <w:color w:val="138782"/>
                <w:sz w:val="22"/>
              </w:rPr>
              <w:t>The proposition</w:t>
            </w:r>
          </w:p>
          <w:p>
            <w:pPr>
              <w:spacing w:after="0" w:line="259" w:lineRule="auto"/>
            </w:pPr>
            <w:r>
              <w:rPr>
                <w:rFonts w:ascii="Aptos" w:hAnsi="Aptos"/>
                <w:color w:val="112E51"/>
                <w:sz w:val="21"/>
              </w:rPr>
              <w:t>Use advanced models where they create learning; keep recurring production cost and data exposure low; and measure success in officer effort, handoffs, time to action, citizen resolution and satisfaction response—not merely an offline model score.</w:t>
            </w:r>
          </w:p>
        </w:tc>
      </w:tr>
    </w:tbl>
    <w:p>
      <w:pPr>
        <w:spacing w:after="0" w:line="269" w:lineRule="auto"/>
      </w:pPr>
      <w:r>
        <w:rPr>
          <w:rFonts w:ascii="Aptos" w:hAnsi="Aptos"/>
          <w:color w:val="526175"/>
          <w:sz w:val="17"/>
        </w:rPr>
        <w:t>Evidence note: the figures above are developmental Janasunani proof points as of 10 August 2026. A new partner begins with its own baseline, taxonomy, governed sample and release gates.</w:t>
      </w:r>
    </w:p>
    <w:sectPr w:rsidR="00FC693F" w:rsidRPr="0006063C" w:rsidSect="00034616">
      <w:headerReference w:type="default" r:id="rId9"/>
      <w:footerReference w:type="default" r:id="rId10"/>
      <w:pgSz w:w="11906" w:h="16838"/>
      <w:pgMar w:top="765" w:right="935" w:bottom="765" w:left="935"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6175"/>
        <w:sz w:val="16"/>
      </w:rPr>
      <w:t>DPIC  •  Public systems capability brief  •  Working draft,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5" w:space="4" w:color="138782"/>
      </w:pBdr>
    </w:pPr>
    <w:r>
      <w:rPr>
        <w:rFonts w:ascii="Aptos" w:hAnsi="Aptos"/>
        <w:b/>
        <w:color w:val="138782"/>
        <w:sz w:val="17"/>
      </w:rPr>
      <w:t>DATA, POLICY AND INNOVATION CENTRE  •  PUBLIC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12E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iefTitle">
    <w:name w:val="Brief Title"/>
    <w:pPr>
      <w:spacing w:before="60" w:after="140"/>
    </w:pPr>
    <w:rPr>
      <w:rFonts w:ascii="Aptos Display" w:hAnsi="Aptos Display"/>
      <w:b/>
      <w:color w:val="112E51"/>
      <w:sz w:val="52"/>
    </w:rPr>
  </w:style>
  <w:style w:type="paragraph" w:customStyle="1" w:styleId="BriefSectionLabel">
    <w:name w:val="Brief Section Label"/>
    <w:pPr>
      <w:spacing w:before="80" w:after="100"/>
    </w:pPr>
    <w:rPr>
      <w:rFonts w:ascii="Aptos Display" w:hAnsi="Aptos Display"/>
      <w:b/>
      <w:color w:val="13878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Janasunani 2.0 evidence and decision support</dc:subject>
  <dc:creator>Data, Policy and Innovation Centre</dc:creator>
  <cp:keywords/>
  <dc:description>generated by python-docx</dc:description>
  <cp:lastModifiedBy/>
  <cp:revision>1</cp:revision>
  <dcterms:created xsi:type="dcterms:W3CDTF">2013-12-23T23:15:00Z</dcterms:created>
  <dcterms:modified xsi:type="dcterms:W3CDTF">2013-12-23T23:15:00Z</dcterms:modified>
  <cp:category/>
</cp:coreProperties>
</file>