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riefSectionLabel"/>
        <w:spacing w:before="80" w:after="100"/>
        <w:pBdr>
          <w:bottom w:val="single" w:sz="8" w:space="4" w:color="138782"/>
        </w:pBdr>
      </w:pPr>
      <w:r>
        <w:rPr>
          <w:rFonts w:ascii="Aptos Display" w:hAnsi="Aptos Display"/>
          <w:b/>
          <w:color w:val="138782"/>
          <w:sz w:val="20"/>
        </w:rPr>
        <w:t>DECISION BRIEF | FOUR-MINUTE READ</w:t>
      </w:r>
    </w:p>
    <w:p>
      <w:pPr>
        <w:pStyle w:val="BriefTitle"/>
        <w:spacing w:before="60" w:after="140"/>
      </w:pPr>
      <w:r>
        <w:rPr>
          <w:rFonts w:ascii="Aptos Display" w:hAnsi="Aptos Display"/>
          <w:b/>
          <w:color w:val="112E51"/>
          <w:sz w:val="58"/>
        </w:rPr>
        <w:t>Janasunani 2.0: what changes for an officer—and why it matters</w:t>
      </w:r>
    </w:p>
    <w:p>
      <w:pPr>
        <w:spacing w:after="240" w:line="269" w:lineRule="auto"/>
      </w:pPr>
      <w:r>
        <w:rPr>
          <w:rFonts w:ascii="Aptos" w:hAnsi="Aptos"/>
          <w:color w:val="112E51"/>
          <w:sz w:val="24"/>
        </w:rPr>
        <w:t>The proposed change is simple: after end-to-end verification, a grievance can arrive as an officer-ready packet with useful text, measured redaction, an advisory category and route shortlist, and a warning when the filing needs clarification. Redaction has known misses, and the officer remains the decision-maker.</w:t>
      </w:r>
    </w:p>
    <w:tbl>
      <w:tblPr>
        <w:tblW w:type="dxa" w:w="10035"/>
        <w:tblLayout w:type="fixed"/>
        <w:tblLook w:firstColumn="1" w:firstRow="1" w:lastColumn="0" w:lastRow="0" w:noHBand="0" w:noVBand="1" w:val="04A0"/>
        <w:tblInd w:w="160" w:type="dxa"/>
      </w:tblPr>
      <w:tblGrid>
        <w:gridCol w:w="3345"/>
        <w:gridCol w:w="3345"/>
        <w:gridCol w:w="3345"/>
      </w:tblGrid>
      <w:tr>
        <w:trPr>
          <w:cantSplit/>
        </w:trPr>
        <w:tc>
          <w:tcPr>
            <w:tcW w:type="dxa" w:w="3345"/>
            <w:shd w:fill="EAF7F6"/>
            <w:tcMar>
              <w:top w:w="180" w:type="dxa"/>
              <w:start w:w="160" w:type="dxa"/>
              <w:bottom w:w="180" w:type="dxa"/>
              <w:end w:w="160" w:type="dxa"/>
            </w:tcMar>
          </w:tcPr>
          <w:p>
            <w:pPr>
              <w:spacing w:after="100"/>
              <w:jc w:val="center"/>
            </w:pPr>
            <w:r/>
            <w:r>
              <w:rPr>
                <w:rFonts w:ascii="Aptos Display" w:hAnsi="Aptos Display"/>
                <w:b/>
                <w:color w:val="138782"/>
                <w:sz w:val="44"/>
              </w:rPr>
              <w:t>0.13 seconds</w:t>
            </w:r>
          </w:p>
          <w:p>
            <w:pPr>
              <w:spacing w:after="0"/>
              <w:jc w:val="center"/>
            </w:pPr>
            <w:r>
              <w:rPr>
                <w:rFonts w:ascii="Aptos" w:hAnsi="Aptos"/>
                <w:color w:val="112E51"/>
                <w:sz w:val="19"/>
              </w:rPr>
              <w:t>Warm typed grievance p50; PDF p50 13.66 s</w:t>
            </w:r>
          </w:p>
        </w:tc>
        <w:tc>
          <w:tcPr>
            <w:tcW w:type="dxa" w:w="3345"/>
            <w:shd w:fill="EDF3F9"/>
            <w:tcMar>
              <w:top w:w="180" w:type="dxa"/>
              <w:start w:w="160" w:type="dxa"/>
              <w:bottom w:w="180" w:type="dxa"/>
              <w:end w:w="160" w:type="dxa"/>
            </w:tcMar>
          </w:tcPr>
          <w:p>
            <w:pPr>
              <w:spacing w:after="100"/>
              <w:jc w:val="center"/>
            </w:pPr>
            <w:r/>
            <w:r>
              <w:rPr>
                <w:rFonts w:ascii="Aptos Display" w:hAnsi="Aptos Display"/>
                <w:b/>
                <w:color w:val="112E51"/>
                <w:sz w:val="44"/>
              </w:rPr>
              <w:t>69%</w:t>
            </w:r>
          </w:p>
          <w:p>
            <w:pPr>
              <w:spacing w:after="0"/>
              <w:jc w:val="center"/>
            </w:pPr>
            <w:r>
              <w:rPr>
                <w:rFonts w:ascii="Aptos" w:hAnsi="Aptos"/>
                <w:color w:val="112E51"/>
                <w:sz w:val="19"/>
              </w:rPr>
              <w:t>Historical destination appears in the top 3 suggestions</w:t>
            </w:r>
          </w:p>
        </w:tc>
        <w:tc>
          <w:tcPr>
            <w:tcW w:type="dxa" w:w="3345"/>
            <w:shd w:fill="FFF7DF"/>
            <w:tcMar>
              <w:top w:w="180" w:type="dxa"/>
              <w:start w:w="160" w:type="dxa"/>
              <w:bottom w:w="180" w:type="dxa"/>
              <w:end w:w="160" w:type="dxa"/>
            </w:tcMar>
          </w:tcPr>
          <w:p>
            <w:pPr>
              <w:spacing w:after="100"/>
              <w:jc w:val="center"/>
            </w:pPr>
            <w:r/>
            <w:r>
              <w:rPr>
                <w:rFonts w:ascii="Aptos Display" w:hAnsi="Aptos Display"/>
                <w:b/>
                <w:color w:val="C4941A"/>
                <w:sz w:val="44"/>
              </w:rPr>
              <w:t>5.07 filings</w:t>
            </w:r>
          </w:p>
          <w:p>
            <w:pPr>
              <w:spacing w:after="0"/>
              <w:jc w:val="center"/>
            </w:pPr>
            <w:r>
              <w:rPr>
                <w:rFonts w:ascii="Aptos" w:hAnsi="Aptos"/>
                <w:color w:val="112E51"/>
                <w:sz w:val="19"/>
              </w:rPr>
              <w:t>Per inferred problem in the Sambalpur 2024 review slice</w:t>
            </w:r>
          </w:p>
        </w:tc>
      </w:tr>
    </w:tbl>
    <w:p>
      <w:pPr>
        <w:spacing w:after="200" w:line="269" w:lineRule="auto"/>
      </w:pPr>
      <w:r>
        <w:rPr>
          <w:rFonts w:ascii="Aptos" w:hAnsi="Aptos"/>
          <w:color w:val="526175"/>
          <w:sz w:val="19"/>
        </w:rPr>
        <w:t>These numbers measure three different things: technical speed, historical routing agreement, and duplicate-adjusted workload. They should not be added together or described as time saved.</w:t>
      </w:r>
    </w:p>
    <w:tbl>
      <w:tblPr>
        <w:tblW w:type="dxa" w:w="10035"/>
        <w:tblLayout w:type="fixed"/>
        <w:tblLook w:firstColumn="1" w:firstRow="1" w:lastColumn="0" w:lastRow="0" w:noHBand="0" w:noVBand="1" w:val="04A0"/>
        <w:tblInd w:w="180" w:type="dxa"/>
      </w:tblPr>
      <w:tblGrid>
        <w:gridCol w:w="10035"/>
      </w:tblGrid>
      <w:tr>
        <w:trPr>
          <w:cantSplit/>
        </w:trPr>
        <w:tc>
          <w:tcPr>
            <w:tcW w:type="dxa" w:w="10035"/>
            <w:shd w:fill="EAF7F6"/>
            <w:tcMar>
              <w:top w:w="160" w:type="dxa"/>
              <w:start w:w="180" w:type="dxa"/>
              <w:bottom w:w="160" w:type="dxa"/>
              <w:end w:w="180" w:type="dxa"/>
            </w:tcMar>
          </w:tcPr>
          <w:p>
            <w:pPr>
              <w:spacing w:after="40"/>
            </w:pPr>
            <w:r/>
            <w:r>
              <w:rPr>
                <w:rFonts w:ascii="Aptos" w:hAnsi="Aptos"/>
                <w:b/>
                <w:color w:val="138782"/>
                <w:sz w:val="22"/>
              </w:rPr>
              <w:t>The value proposition</w:t>
            </w:r>
          </w:p>
          <w:p>
            <w:pPr>
              <w:spacing w:after="0" w:line="259" w:lineRule="auto"/>
            </w:pPr>
            <w:r>
              <w:rPr>
                <w:rFonts w:ascii="Aptos" w:hAnsi="Aptos"/>
                <w:color w:val="112E51"/>
                <w:sz w:val="21"/>
              </w:rPr>
              <w:t>Test whether an officer-ready packet reduces reading; avoid forced guesses when a complaint is unclear; offer a short route list instead of one brittle answer; and distinguish repeat filing from broad citizen demand.</w:t>
            </w:r>
          </w:p>
        </w:tc>
      </w:tr>
    </w:tbl>
    <w:p>
      <w:pPr>
        <w:spacing w:after="100" w:line="269" w:lineRule="auto"/>
      </w:pPr>
      <w:r>
        <w:rPr>
          <w:rFonts w:ascii="Aptos" w:hAnsi="Aptos"/>
          <w:color w:val="526175"/>
          <w:sz w:val="21"/>
        </w:rPr>
        <w:t>Scale of the administrative problem: 688,301 complaints were filed in 2024–25, and roughly three in four filings carry at least one attachment. Among forwarded cases, the observed administrative interval to first forward was 1.7 days at the median. In controlled laptop tests the software prepared a warm typed filing in seconds; the full scanned browser path still needs verification, and only a controlled rollout can establish how much officer or citizen time it saves.</w:t>
      </w:r>
    </w:p>
    <w:p>
      <w:r>
        <w:br w:type="page"/>
      </w:r>
    </w:p>
    <w:p>
      <w:pPr>
        <w:pStyle w:val="BriefSectionLabel"/>
        <w:spacing w:before="80" w:after="100"/>
        <w:pBdr>
          <w:bottom w:val="single" w:sz="8" w:space="4" w:color="138782"/>
        </w:pBdr>
      </w:pPr>
      <w:r>
        <w:rPr>
          <w:rFonts w:ascii="Aptos Display" w:hAnsi="Aptos Display"/>
          <w:b/>
          <w:color w:val="138782"/>
          <w:sz w:val="20"/>
        </w:rPr>
        <w:t>WHAT THE OFFICER SEES</w:t>
      </w:r>
    </w:p>
    <w:p>
      <w:pPr>
        <w:pStyle w:val="BriefTitle"/>
        <w:spacing w:before="60" w:after="140"/>
      </w:pPr>
      <w:r>
        <w:rPr>
          <w:rFonts w:ascii="Aptos Display" w:hAnsi="Aptos Display"/>
          <w:b/>
          <w:color w:val="112E51"/>
          <w:sz w:val="52"/>
        </w:rPr>
        <w:t>One screen, three decisions</w:t>
      </w:r>
    </w:p>
    <w:tbl>
      <w:tblPr>
        <w:tblW w:type="dxa" w:w="10035"/>
        <w:tblLayout w:type="fixed"/>
        <w:tblLook w:firstColumn="1" w:firstRow="1" w:lastColumn="0" w:lastRow="0" w:noHBand="0" w:noVBand="1" w:val="04A0"/>
        <w:tblInd w:w="140" w:type="dxa"/>
      </w:tblPr>
      <w:tblGrid>
        <w:gridCol w:w="800"/>
        <w:gridCol w:w="2100"/>
        <w:gridCol w:w="7135"/>
      </w:tblGrid>
      <w:tr>
        <w:trPr>
          <w:cantSplit/>
        </w:trPr>
        <w:tc>
          <w:tcPr>
            <w:tcW w:type="dxa" w:w="800"/>
            <w:shd w:fill="138782"/>
            <w:vAlign w:val="center"/>
            <w:tcMar>
              <w:top w:w="120" w:type="dxa"/>
              <w:start w:w="140" w:type="dxa"/>
              <w:bottom w:w="120" w:type="dxa"/>
              <w:end w:w="140" w:type="dxa"/>
            </w:tcMar>
          </w:tcPr>
          <w:p>
            <w:pPr>
              <w:spacing w:after="0" w:line="252" w:lineRule="auto"/>
              <w:jc w:val="center"/>
            </w:pPr>
            <w:r/>
            <w:r>
              <w:rPr>
                <w:rFonts w:ascii="Aptos" w:hAnsi="Aptos"/>
                <w:b/>
                <w:color w:val="FFFFFF"/>
                <w:sz w:val="32"/>
              </w:rPr>
              <w:t>1</w:t>
            </w:r>
          </w:p>
        </w:tc>
        <w:tc>
          <w:tcPr>
            <w:tcW w:type="dxa" w:w="2100"/>
            <w:shd w:fill="EAF7F6"/>
            <w:vAlign w:val="center"/>
            <w:tcMar>
              <w:top w:w="120" w:type="dxa"/>
              <w:start w:w="140" w:type="dxa"/>
              <w:bottom w:w="120" w:type="dxa"/>
              <w:end w:w="140" w:type="dxa"/>
            </w:tcMar>
          </w:tcPr>
          <w:p>
            <w:pPr>
              <w:spacing w:after="0" w:line="252" w:lineRule="auto"/>
            </w:pPr>
            <w:r/>
            <w:r>
              <w:rPr>
                <w:rFonts w:ascii="Aptos" w:hAnsi="Aptos"/>
                <w:b/>
                <w:color w:val="112E51"/>
                <w:sz w:val="22"/>
              </w:rPr>
              <w:t>Read once</w:t>
            </w:r>
          </w:p>
        </w:tc>
        <w:tc>
          <w:tcPr>
            <w:tcW w:type="dxa" w:w="7135"/>
            <w:shd w:fill="F7F9FB"/>
            <w:vAlign w:val="center"/>
            <w:tcMar>
              <w:top w:w="120" w:type="dxa"/>
              <w:start w:w="140" w:type="dxa"/>
              <w:bottom w:w="120" w:type="dxa"/>
              <w:end w:w="140" w:type="dxa"/>
            </w:tcMar>
          </w:tcPr>
          <w:p>
            <w:pPr>
              <w:spacing w:after="0" w:line="252" w:lineRule="auto"/>
            </w:pPr>
            <w:r/>
            <w:r>
              <w:rPr>
                <w:rFonts w:ascii="Aptos" w:hAnsi="Aptos"/>
                <w:b w:val="0"/>
                <w:color w:val="112E51"/>
                <w:sz w:val="21"/>
              </w:rPr>
              <w:t>The pilot is designed to bring text and useful pages into one officer-ready packet.</w:t>
            </w:r>
          </w:p>
        </w:tc>
      </w:tr>
      <w:tr>
        <w:trPr>
          <w:cantSplit/>
        </w:trPr>
        <w:tc>
          <w:tcPr>
            <w:tcW w:type="dxa" w:w="800"/>
            <w:shd w:fill="138782"/>
            <w:vAlign w:val="center"/>
            <w:tcMar>
              <w:top w:w="120" w:type="dxa"/>
              <w:start w:w="140" w:type="dxa"/>
              <w:bottom w:w="120" w:type="dxa"/>
              <w:end w:w="140" w:type="dxa"/>
            </w:tcMar>
          </w:tcPr>
          <w:p>
            <w:pPr>
              <w:spacing w:after="0" w:line="252" w:lineRule="auto"/>
              <w:jc w:val="center"/>
            </w:pPr>
            <w:r/>
            <w:r>
              <w:rPr>
                <w:rFonts w:ascii="Aptos" w:hAnsi="Aptos"/>
                <w:b/>
                <w:color w:val="FFFFFF"/>
                <w:sz w:val="32"/>
              </w:rPr>
              <w:t>2</w:t>
            </w:r>
          </w:p>
        </w:tc>
        <w:tc>
          <w:tcPr>
            <w:tcW w:type="dxa" w:w="2100"/>
            <w:shd w:fill="EAF7F6"/>
            <w:vAlign w:val="center"/>
            <w:tcMar>
              <w:top w:w="120" w:type="dxa"/>
              <w:start w:w="140" w:type="dxa"/>
              <w:bottom w:w="120" w:type="dxa"/>
              <w:end w:w="140" w:type="dxa"/>
            </w:tcMar>
          </w:tcPr>
          <w:p>
            <w:pPr>
              <w:spacing w:after="0" w:line="252" w:lineRule="auto"/>
            </w:pPr>
            <w:r/>
            <w:r>
              <w:rPr>
                <w:rFonts w:ascii="Aptos" w:hAnsi="Aptos"/>
                <w:b/>
                <w:color w:val="112E51"/>
                <w:sz w:val="22"/>
              </w:rPr>
              <w:t>Decide with context</w:t>
            </w:r>
          </w:p>
        </w:tc>
        <w:tc>
          <w:tcPr>
            <w:tcW w:type="dxa" w:w="7135"/>
            <w:shd w:fill="F7F9FB"/>
            <w:vAlign w:val="center"/>
            <w:tcMar>
              <w:top w:w="120" w:type="dxa"/>
              <w:start w:w="140" w:type="dxa"/>
              <w:bottom w:w="120" w:type="dxa"/>
              <w:end w:w="140" w:type="dxa"/>
            </w:tcMar>
          </w:tcPr>
          <w:p>
            <w:pPr>
              <w:spacing w:after="0" w:line="252" w:lineRule="auto"/>
            </w:pPr>
            <w:r/>
            <w:r>
              <w:rPr>
                <w:rFonts w:ascii="Aptos" w:hAnsi="Aptos"/>
                <w:b w:val="0"/>
                <w:color w:val="112E51"/>
                <w:sz w:val="21"/>
              </w:rPr>
              <w:t>Advisory low-signal, category, duplicate and route suggestions are tested without automatic rejection.</w:t>
            </w:r>
          </w:p>
        </w:tc>
      </w:tr>
      <w:tr>
        <w:trPr>
          <w:cantSplit/>
        </w:trPr>
        <w:tc>
          <w:tcPr>
            <w:tcW w:type="dxa" w:w="800"/>
            <w:shd w:fill="138782"/>
            <w:vAlign w:val="center"/>
            <w:tcMar>
              <w:top w:w="120" w:type="dxa"/>
              <w:start w:w="140" w:type="dxa"/>
              <w:bottom w:w="120" w:type="dxa"/>
              <w:end w:w="140" w:type="dxa"/>
            </w:tcMar>
          </w:tcPr>
          <w:p>
            <w:pPr>
              <w:spacing w:after="0" w:line="252" w:lineRule="auto"/>
              <w:jc w:val="center"/>
            </w:pPr>
            <w:r/>
            <w:r>
              <w:rPr>
                <w:rFonts w:ascii="Aptos" w:hAnsi="Aptos"/>
                <w:b/>
                <w:color w:val="FFFFFF"/>
                <w:sz w:val="32"/>
              </w:rPr>
              <w:t>3</w:t>
            </w:r>
          </w:p>
        </w:tc>
        <w:tc>
          <w:tcPr>
            <w:tcW w:type="dxa" w:w="2100"/>
            <w:shd w:fill="EAF7F6"/>
            <w:vAlign w:val="center"/>
            <w:tcMar>
              <w:top w:w="120" w:type="dxa"/>
              <w:start w:w="140" w:type="dxa"/>
              <w:bottom w:w="120" w:type="dxa"/>
              <w:end w:w="140" w:type="dxa"/>
            </w:tcMar>
          </w:tcPr>
          <w:p>
            <w:pPr>
              <w:spacing w:after="0" w:line="252" w:lineRule="auto"/>
            </w:pPr>
            <w:r/>
            <w:r>
              <w:rPr>
                <w:rFonts w:ascii="Aptos" w:hAnsi="Aptos"/>
                <w:b/>
                <w:color w:val="112E51"/>
                <w:sz w:val="22"/>
              </w:rPr>
              <w:t>Supervise the queue</w:t>
            </w:r>
          </w:p>
        </w:tc>
        <w:tc>
          <w:tcPr>
            <w:tcW w:type="dxa" w:w="7135"/>
            <w:shd w:fill="F7F9FB"/>
            <w:vAlign w:val="center"/>
            <w:tcMar>
              <w:top w:w="120" w:type="dxa"/>
              <w:start w:w="140" w:type="dxa"/>
              <w:bottom w:w="120" w:type="dxa"/>
              <w:end w:w="140" w:type="dxa"/>
            </w:tcMar>
          </w:tcPr>
          <w:p>
            <w:pPr>
              <w:spacing w:after="0" w:line="252" w:lineRule="auto"/>
            </w:pPr>
            <w:r/>
            <w:r>
              <w:rPr>
                <w:rFonts w:ascii="Aptos" w:hAnsi="Aptos"/>
                <w:b w:val="0"/>
                <w:color w:val="112E51"/>
                <w:sz w:val="21"/>
              </w:rPr>
              <w:t>The review view separates filings, inferred problems and signatories; live panel integration remains to be verified.</w:t>
            </w:r>
          </w:p>
        </w:tc>
      </w:tr>
    </w:tbl>
    <w:p>
      <w:pPr>
        <w:spacing w:after="200" w:line="269" w:lineRule="auto"/>
      </w:pPr>
      <w:r>
        <w:rPr>
          <w:rFonts w:ascii="Aptos" w:hAnsi="Aptos"/>
          <w:color w:val="526175"/>
          <w:sz w:val="21"/>
        </w:rPr>
        <w:t>The serving contract is advisory throughout: a flag must never block a filing, a category must never auto-assign a case, and a route suggestion must never replace the officer’s judgment.</w:t>
      </w:r>
    </w:p>
    <w:tbl>
      <w:tblPr>
        <w:tblW w:type="dxa" w:w="10035"/>
        <w:tblLayout w:type="fixed"/>
        <w:tblLook w:firstColumn="1" w:firstRow="1" w:lastColumn="0" w:lastRow="0" w:noHBand="0" w:noVBand="1" w:val="04A0"/>
        <w:tblInd w:w="180" w:type="dxa"/>
      </w:tblPr>
      <w:tblGrid>
        <w:gridCol w:w="10035"/>
      </w:tblGrid>
      <w:tr>
        <w:trPr>
          <w:cantSplit/>
        </w:trPr>
        <w:tc>
          <w:tcPr>
            <w:tcW w:type="dxa" w:w="10035"/>
            <w:shd w:fill="FFF7DF"/>
            <w:tcMar>
              <w:top w:w="160" w:type="dxa"/>
              <w:start w:w="180" w:type="dxa"/>
              <w:bottom w:w="160" w:type="dxa"/>
              <w:end w:w="180" w:type="dxa"/>
            </w:tcMar>
          </w:tcPr>
          <w:p>
            <w:pPr>
              <w:spacing w:after="40"/>
            </w:pPr>
            <w:r/>
            <w:r>
              <w:rPr>
                <w:rFonts w:ascii="Aptos" w:hAnsi="Aptos"/>
                <w:b/>
                <w:color w:val="C4941A"/>
                <w:sz w:val="22"/>
              </w:rPr>
              <w:t>Example of better triage</w:t>
            </w:r>
          </w:p>
          <w:p>
            <w:pPr>
              <w:spacing w:after="0" w:line="259" w:lineRule="auto"/>
            </w:pPr>
            <w:r>
              <w:rPr>
                <w:rFonts w:ascii="Aptos" w:hAnsi="Aptos"/>
                <w:color w:val="112E51"/>
                <w:sz w:val="21"/>
              </w:rPr>
              <w:t>An abusive or content-free sentence is marked low-signal, its language is left unknown, and category and summary are skipped. The evaluation taxonomy keeps an incomplete request separate from irrelevant, outside-purview and policy-blocked cases; no compatible five-class serving model is active yet. This fixes the screenshot failure without pretending all four cases are ‘spam’.</w:t>
            </w:r>
          </w:p>
        </w:tc>
      </w:tr>
    </w:tbl>
    <w:p>
      <w:pPr>
        <w:pStyle w:val="BriefSectionLabel"/>
        <w:spacing w:before="80" w:after="100"/>
        <w:pBdr>
          <w:bottom w:val="single" w:sz="8" w:space="4" w:color="138782"/>
        </w:pBdr>
      </w:pPr>
      <w:r>
        <w:rPr>
          <w:rFonts w:ascii="Aptos Display" w:hAnsi="Aptos Display"/>
          <w:b/>
          <w:color w:val="138782"/>
          <w:sz w:val="20"/>
        </w:rPr>
        <w:t>WHAT A SUPERVISOR GAINS</w:t>
      </w:r>
    </w:p>
    <w:p>
      <w:pPr>
        <w:spacing w:after="140" w:line="269" w:lineRule="auto"/>
      </w:pPr>
      <w:r>
        <w:rPr>
          <w:rFonts w:ascii="Aptos" w:hAnsi="Aptos"/>
          <w:color w:val="112E51"/>
          <w:sz w:val="22"/>
        </w:rPr>
        <w:t>The Sambalpur review demonstrates workload as filings, inferred problems and distinct signatories; the live supervisor-panel integration remains to be verified. The distinction matters: a single repeat filer and a broad citizen campaign need very different responses even when both create large filing counts.</w:t>
      </w:r>
    </w:p>
    <w:tbl>
      <w:tblPr>
        <w:tblW w:type="dxa" w:w="10035"/>
        <w:tblLayout w:type="fixed"/>
        <w:tblLook w:firstColumn="1" w:firstRow="1" w:lastColumn="0" w:lastRow="0" w:noHBand="0" w:noVBand="1" w:val="04A0"/>
        <w:tblInd w:w="180" w:type="dxa"/>
      </w:tblPr>
      <w:tblGrid>
        <w:gridCol w:w="10035"/>
      </w:tblGrid>
      <w:tr>
        <w:trPr>
          <w:cantSplit/>
        </w:trPr>
        <w:tc>
          <w:tcPr>
            <w:tcW w:type="dxa" w:w="10035"/>
            <w:shd w:fill="EDF3F9"/>
            <w:tcMar>
              <w:top w:w="160" w:type="dxa"/>
              <w:start w:w="180" w:type="dxa"/>
              <w:bottom w:w="160" w:type="dxa"/>
              <w:end w:w="180" w:type="dxa"/>
            </w:tcMar>
          </w:tcPr>
          <w:p>
            <w:pPr>
              <w:spacing w:after="40"/>
            </w:pPr>
            <w:r/>
            <w:r>
              <w:rPr>
                <w:rFonts w:ascii="Aptos" w:hAnsi="Aptos"/>
                <w:b/>
                <w:color w:val="138782"/>
                <w:sz w:val="22"/>
              </w:rPr>
              <w:t>What remains local</w:t>
            </w:r>
          </w:p>
          <w:p>
            <w:pPr>
              <w:spacing w:after="0" w:line="259" w:lineRule="auto"/>
            </w:pPr>
            <w:r>
              <w:rPr>
                <w:rFonts w:ascii="Aptos" w:hAnsi="Aptos"/>
                <w:color w:val="112E51"/>
                <w:sz w:val="21"/>
              </w:rPr>
              <w:t>The production contract requires models to load from pinned local release bytes or a DVC mirror; no reviewed production manifest is active yet. Serving does not follow a moving MLflow alias or download a public model at startup. Sarvam remains an explicit, auditable external route with a local fallback.</w:t>
            </w:r>
          </w:p>
        </w:tc>
      </w:tr>
    </w:tbl>
    <w:p>
      <w:r>
        <w:br w:type="page"/>
      </w:r>
    </w:p>
    <w:p>
      <w:pPr>
        <w:pStyle w:val="BriefSectionLabel"/>
        <w:spacing w:before="80" w:after="100"/>
        <w:pBdr>
          <w:bottom w:val="single" w:sz="8" w:space="4" w:color="138782"/>
        </w:pBdr>
      </w:pPr>
      <w:r>
        <w:rPr>
          <w:rFonts w:ascii="Aptos Display" w:hAnsi="Aptos Display"/>
          <w:b/>
          <w:color w:val="138782"/>
          <w:sz w:val="20"/>
        </w:rPr>
        <w:t>THE EVIDENCE, IN PLAIN LANGUAGE</w:t>
      </w:r>
    </w:p>
    <w:p>
      <w:pPr>
        <w:pStyle w:val="BriefTitle"/>
        <w:spacing w:before="60" w:after="140"/>
      </w:pPr>
      <w:r>
        <w:rPr>
          <w:rFonts w:ascii="Aptos Display" w:hAnsi="Aptos Display"/>
          <w:b/>
          <w:color w:val="112E51"/>
          <w:sz w:val="52"/>
        </w:rPr>
        <w:t>What the current numbers support—and what they do not</w:t>
      </w:r>
    </w:p>
    <w:tbl>
      <w:tblPr>
        <w:tblW w:type="dxa" w:w="10035"/>
        <w:tblLayout w:type="fixed"/>
        <w:tblLook w:firstColumn="1" w:firstRow="1" w:lastColumn="0" w:lastRow="0" w:noHBand="0" w:noVBand="1" w:val="04A0"/>
        <w:tblInd w:w="140" w:type="dxa"/>
      </w:tblPr>
      <w:tblGrid>
        <w:gridCol w:w="3200"/>
        <w:gridCol w:w="3000"/>
        <w:gridCol w:w="3835"/>
      </w:tblGrid>
      <w:tr>
        <w:trPr>
          <w:tblHeader w:val="true"/>
          <w:cantSplit/>
        </w:trPr>
        <w:tc>
          <w:tcPr>
            <w:tcW w:type="dxa" w:w="3200"/>
            <w:shd w:fill="112E51"/>
            <w:vAlign w:val="center"/>
            <w:tcMar>
              <w:top w:w="120" w:type="dxa"/>
              <w:start w:w="140" w:type="dxa"/>
              <w:bottom w:w="120" w:type="dxa"/>
              <w:end w:w="140" w:type="dxa"/>
            </w:tcMar>
          </w:tcPr>
          <w:p>
            <w:pPr>
              <w:spacing w:after="0" w:line="252" w:lineRule="auto"/>
            </w:pPr>
            <w:r/>
            <w:r>
              <w:rPr>
                <w:rFonts w:ascii="Aptos" w:hAnsi="Aptos"/>
                <w:b/>
                <w:color w:val="FFFFFF"/>
                <w:sz w:val="19"/>
              </w:rPr>
              <w:t>What is measured now</w:t>
            </w:r>
          </w:p>
        </w:tc>
        <w:tc>
          <w:tcPr>
            <w:tcW w:type="dxa" w:w="3000"/>
            <w:shd w:fill="112E51"/>
            <w:vAlign w:val="center"/>
            <w:tcMar>
              <w:top w:w="120" w:type="dxa"/>
              <w:start w:w="140" w:type="dxa"/>
              <w:bottom w:w="120" w:type="dxa"/>
              <w:end w:w="140" w:type="dxa"/>
            </w:tcMar>
          </w:tcPr>
          <w:p>
            <w:pPr>
              <w:spacing w:after="0" w:line="252" w:lineRule="auto"/>
            </w:pPr>
            <w:r/>
            <w:r>
              <w:rPr>
                <w:rFonts w:ascii="Aptos" w:hAnsi="Aptos"/>
                <w:b/>
                <w:color w:val="FFFFFF"/>
                <w:sz w:val="19"/>
              </w:rPr>
              <w:t>What it means</w:t>
            </w:r>
          </w:p>
        </w:tc>
        <w:tc>
          <w:tcPr>
            <w:tcW w:type="dxa" w:w="3835"/>
            <w:shd w:fill="112E51"/>
            <w:vAlign w:val="center"/>
            <w:tcMar>
              <w:top w:w="120" w:type="dxa"/>
              <w:start w:w="140" w:type="dxa"/>
              <w:bottom w:w="120" w:type="dxa"/>
              <w:end w:w="140" w:type="dxa"/>
            </w:tcMar>
          </w:tcPr>
          <w:p>
            <w:pPr>
              <w:spacing w:after="0" w:line="252" w:lineRule="auto"/>
            </w:pPr>
            <w:r/>
            <w:r>
              <w:rPr>
                <w:rFonts w:ascii="Aptos" w:hAnsi="Aptos"/>
                <w:b/>
                <w:color w:val="FFFFFF"/>
                <w:sz w:val="19"/>
              </w:rPr>
              <w:t>What it does not yet prove</w:t>
            </w:r>
          </w:p>
        </w:tc>
      </w:tr>
      <w:tr>
        <w:trPr>
          <w:cantSplit/>
        </w:trPr>
        <w:tc>
          <w:tcPr>
            <w:tcW w:type="dxa" w:w="3200"/>
            <w:shd w:fill="EDF3F9"/>
            <w:vAlign w:val="center"/>
            <w:tcMar>
              <w:top w:w="120" w:type="dxa"/>
              <w:start w:w="140" w:type="dxa"/>
              <w:bottom w:w="120" w:type="dxa"/>
              <w:end w:w="140" w:type="dxa"/>
            </w:tcMar>
          </w:tcPr>
          <w:p>
            <w:pPr>
              <w:spacing w:after="0" w:line="252" w:lineRule="auto"/>
            </w:pPr>
            <w:r/>
            <w:r>
              <w:rPr>
                <w:rFonts w:ascii="Aptos" w:hAnsi="Aptos"/>
                <w:b w:val="0"/>
                <w:color w:val="112E51"/>
                <w:sz w:val="19"/>
              </w:rPr>
              <w:t>Routing: 45.14% top-1 and 69.04% top-3 on 208,267 later cases; 54.96% / 79.68% where intake category is informative.</w:t>
            </w:r>
          </w:p>
        </w:tc>
        <w:tc>
          <w:tcPr>
            <w:tcW w:type="dxa" w:w="3000"/>
            <w:shd w:fill="EDF3F9"/>
            <w:vAlign w:val="center"/>
            <w:tcMar>
              <w:top w:w="120" w:type="dxa"/>
              <w:start w:w="140" w:type="dxa"/>
              <w:bottom w:w="120" w:type="dxa"/>
              <w:end w:w="140" w:type="dxa"/>
            </w:tcMar>
          </w:tcPr>
          <w:p>
            <w:pPr>
              <w:spacing w:after="0" w:line="252" w:lineRule="auto"/>
            </w:pPr>
            <w:r/>
            <w:r>
              <w:rPr>
                <w:rFonts w:ascii="Aptos" w:hAnsi="Aptos"/>
                <w:b w:val="0"/>
                <w:color w:val="112E51"/>
                <w:sz w:val="19"/>
              </w:rPr>
              <w:t>Moving from one suggestion to three raises historical-destination coverage; officer usefulness still has to be measured.</w:t>
            </w:r>
          </w:p>
        </w:tc>
        <w:tc>
          <w:tcPr>
            <w:tcW w:type="dxa" w:w="3835"/>
            <w:shd w:fill="EDF3F9"/>
            <w:vAlign w:val="center"/>
            <w:tcMar>
              <w:top w:w="120" w:type="dxa"/>
              <w:start w:w="140" w:type="dxa"/>
              <w:bottom w:w="120" w:type="dxa"/>
              <w:end w:w="140" w:type="dxa"/>
            </w:tcMar>
          </w:tcPr>
          <w:p>
            <w:pPr>
              <w:spacing w:after="0" w:line="252" w:lineRule="auto"/>
            </w:pPr>
            <w:r/>
            <w:r>
              <w:rPr>
                <w:rFonts w:ascii="Aptos" w:hAnsi="Aptos"/>
                <w:b w:val="0"/>
                <w:color w:val="112E51"/>
                <w:sz w:val="19"/>
              </w:rPr>
              <w:t>Historical agreement is not proof that the destination was legally correct or produced the best outcome.</w:t>
            </w:r>
          </w:p>
        </w:tc>
      </w:tr>
      <w:tr>
        <w:trPr>
          <w:cantSplit/>
        </w:trPr>
        <w:tc>
          <w:tcPr>
            <w:tcW w:type="dxa" w:w="3200"/>
            <w:shd w:fill="F8FAFC"/>
            <w:vAlign w:val="center"/>
            <w:tcMar>
              <w:top w:w="120" w:type="dxa"/>
              <w:start w:w="140" w:type="dxa"/>
              <w:bottom w:w="120" w:type="dxa"/>
              <w:end w:w="140" w:type="dxa"/>
            </w:tcMar>
          </w:tcPr>
          <w:p>
            <w:pPr>
              <w:spacing w:after="0" w:line="252" w:lineRule="auto"/>
            </w:pPr>
            <w:r/>
            <w:r>
              <w:rPr>
                <w:rFonts w:ascii="Aptos" w:hAnsi="Aptos"/>
                <w:b w:val="0"/>
                <w:color w:val="112E51"/>
                <w:sz w:val="19"/>
              </w:rPr>
              <w:t>Low-signal taxonomy: 106,683 non-conflicting administrative weak labels across underspecified, irrelevant, outside-purview and policy cases.</w:t>
            </w:r>
          </w:p>
        </w:tc>
        <w:tc>
          <w:tcPr>
            <w:tcW w:type="dxa" w:w="3000"/>
            <w:shd w:fill="F8FAFC"/>
            <w:vAlign w:val="center"/>
            <w:tcMar>
              <w:top w:w="120" w:type="dxa"/>
              <w:start w:w="140" w:type="dxa"/>
              <w:bottom w:w="120" w:type="dxa"/>
              <w:end w:w="140" w:type="dxa"/>
            </w:tcMar>
          </w:tcPr>
          <w:p>
            <w:pPr>
              <w:spacing w:after="0" w:line="252" w:lineRule="auto"/>
            </w:pPr>
            <w:r/>
            <w:r>
              <w:rPr>
                <w:rFonts w:ascii="Aptos" w:hAnsi="Aptos"/>
                <w:b w:val="0"/>
                <w:color w:val="112E51"/>
                <w:sz w:val="19"/>
              </w:rPr>
              <w:t>Different queue problems can be handled differently instead of calling every difficult filing spam.</w:t>
            </w:r>
          </w:p>
        </w:tc>
        <w:tc>
          <w:tcPr>
            <w:tcW w:type="dxa" w:w="3835"/>
            <w:shd w:fill="F8FAFC"/>
            <w:vAlign w:val="center"/>
            <w:tcMar>
              <w:top w:w="120" w:type="dxa"/>
              <w:start w:w="140" w:type="dxa"/>
              <w:bottom w:w="120" w:type="dxa"/>
              <w:end w:w="140" w:type="dxa"/>
            </w:tcMar>
          </w:tcPr>
          <w:p>
            <w:pPr>
              <w:spacing w:after="0" w:line="252" w:lineRule="auto"/>
            </w:pPr>
            <w:r/>
            <w:r>
              <w:rPr>
                <w:rFonts w:ascii="Aptos" w:hAnsi="Aptos"/>
                <w:b w:val="0"/>
                <w:color w:val="112E51"/>
                <w:sz w:val="19"/>
              </w:rPr>
              <w:t>These are train-only weak labels. Accuracy, false-positive rate and a production threshold need officer-adjudicated gold.</w:t>
            </w:r>
          </w:p>
        </w:tc>
      </w:tr>
      <w:tr>
        <w:trPr>
          <w:cantSplit/>
        </w:trPr>
        <w:tc>
          <w:tcPr>
            <w:tcW w:type="dxa" w:w="3200"/>
            <w:shd w:fill="EDF3F9"/>
            <w:vAlign w:val="center"/>
            <w:tcMar>
              <w:top w:w="120" w:type="dxa"/>
              <w:start w:w="140" w:type="dxa"/>
              <w:bottom w:w="120" w:type="dxa"/>
              <w:end w:w="140" w:type="dxa"/>
            </w:tcMar>
          </w:tcPr>
          <w:p>
            <w:pPr>
              <w:spacing w:after="0" w:line="252" w:lineRule="auto"/>
            </w:pPr>
            <w:r/>
            <w:r>
              <w:rPr>
                <w:rFonts w:ascii="Aptos" w:hAnsi="Aptos"/>
                <w:b w:val="0"/>
                <w:color w:val="112E51"/>
                <w:sz w:val="19"/>
              </w:rPr>
              <w:t>Dedup review slice: 55,544 filings grouped into 10,963 inferred problems and 8,560 signatories.</w:t>
            </w:r>
          </w:p>
        </w:tc>
        <w:tc>
          <w:tcPr>
            <w:tcW w:type="dxa" w:w="3000"/>
            <w:shd w:fill="EDF3F9"/>
            <w:vAlign w:val="center"/>
            <w:tcMar>
              <w:top w:w="120" w:type="dxa"/>
              <w:start w:w="140" w:type="dxa"/>
              <w:bottom w:w="120" w:type="dxa"/>
              <w:end w:w="140" w:type="dxa"/>
            </w:tcMar>
          </w:tcPr>
          <w:p>
            <w:pPr>
              <w:spacing w:after="0" w:line="252" w:lineRule="auto"/>
            </w:pPr>
            <w:r/>
            <w:r>
              <w:rPr>
                <w:rFonts w:ascii="Aptos" w:hAnsi="Aptos"/>
                <w:b w:val="0"/>
                <w:color w:val="112E51"/>
                <w:sz w:val="19"/>
              </w:rPr>
              <w:t>The officer can distinguish one repeat filer from a broad citizen campaign and preserve the campaign signal.</w:t>
            </w:r>
          </w:p>
        </w:tc>
        <w:tc>
          <w:tcPr>
            <w:tcW w:type="dxa" w:w="3835"/>
            <w:shd w:fill="EDF3F9"/>
            <w:vAlign w:val="center"/>
            <w:tcMar>
              <w:top w:w="120" w:type="dxa"/>
              <w:start w:w="140" w:type="dxa"/>
              <w:bottom w:w="120" w:type="dxa"/>
              <w:end w:w="140" w:type="dxa"/>
            </w:tcMar>
          </w:tcPr>
          <w:p>
            <w:pPr>
              <w:spacing w:after="0" w:line="252" w:lineRule="auto"/>
            </w:pPr>
            <w:r/>
            <w:r>
              <w:rPr>
                <w:rFonts w:ascii="Aptos" w:hAnsi="Aptos"/>
                <w:b w:val="0"/>
                <w:color w:val="112E51"/>
                <w:sz w:val="19"/>
              </w:rPr>
              <w:t>The groups are reviewable operational evidence, not adjudicated duplicate precision or recall.</w:t>
            </w:r>
          </w:p>
        </w:tc>
      </w:tr>
      <w:tr>
        <w:trPr>
          <w:cantSplit/>
        </w:trPr>
        <w:tc>
          <w:tcPr>
            <w:tcW w:type="dxa" w:w="3200"/>
            <w:shd w:fill="F8FAFC"/>
            <w:vAlign w:val="center"/>
            <w:tcMar>
              <w:top w:w="120" w:type="dxa"/>
              <w:start w:w="140" w:type="dxa"/>
              <w:bottom w:w="120" w:type="dxa"/>
              <w:end w:w="140" w:type="dxa"/>
            </w:tcMar>
          </w:tcPr>
          <w:p>
            <w:pPr>
              <w:spacing w:after="0" w:line="252" w:lineRule="auto"/>
            </w:pPr>
            <w:r/>
            <w:r>
              <w:rPr>
                <w:rFonts w:ascii="Aptos" w:hAnsi="Aptos"/>
                <w:b w:val="0"/>
                <w:color w:val="112E51"/>
                <w:sz w:val="19"/>
              </w:rPr>
              <w:t>Sarvam: 56 cached paired page successes from an interrupted run; normalized outputs differed on every pair.</w:t>
            </w:r>
          </w:p>
        </w:tc>
        <w:tc>
          <w:tcPr>
            <w:tcW w:type="dxa" w:w="3000"/>
            <w:shd w:fill="F8FAFC"/>
            <w:vAlign w:val="center"/>
            <w:tcMar>
              <w:top w:w="120" w:type="dxa"/>
              <w:start w:w="140" w:type="dxa"/>
              <w:bottom w:w="120" w:type="dxa"/>
              <w:end w:w="140" w:type="dxa"/>
            </w:tcMar>
          </w:tcPr>
          <w:p>
            <w:pPr>
              <w:spacing w:after="0" w:line="252" w:lineRule="auto"/>
            </w:pPr>
            <w:r/>
            <w:r>
              <w:rPr>
                <w:rFonts w:ascii="Aptos" w:hAnsi="Aptos"/>
                <w:b w:val="0"/>
                <w:color w:val="112E51"/>
                <w:sz w:val="19"/>
              </w:rPr>
              <w:t>The provider path, checkpointing and benchmark evidence are wired without spending new credits.</w:t>
            </w:r>
          </w:p>
        </w:tc>
        <w:tc>
          <w:tcPr>
            <w:tcW w:type="dxa" w:w="3835"/>
            <w:shd w:fill="F8FAFC"/>
            <w:vAlign w:val="center"/>
            <w:tcMar>
              <w:top w:w="120" w:type="dxa"/>
              <w:start w:w="140" w:type="dxa"/>
              <w:bottom w:w="120" w:type="dxa"/>
              <w:end w:w="140" w:type="dxa"/>
            </w:tcMar>
          </w:tcPr>
          <w:p>
            <w:pPr>
              <w:spacing w:after="0" w:line="252" w:lineRule="auto"/>
            </w:pPr>
            <w:r/>
            <w:r>
              <w:rPr>
                <w:rFonts w:ascii="Aptos" w:hAnsi="Aptos"/>
                <w:b w:val="0"/>
                <w:color w:val="112E51"/>
                <w:sz w:val="19"/>
              </w:rPr>
              <w:t>Without hand transcription, divergence is not OCR accuracy and does not show which output is better.</w:t>
            </w:r>
          </w:p>
        </w:tc>
      </w:tr>
    </w:tbl>
    <w:p>
      <w:pPr>
        <w:spacing w:after="160" w:line="269" w:lineRule="auto"/>
      </w:pPr>
      <w:r>
        <w:rPr>
          <w:rFonts w:ascii="Aptos" w:hAnsi="Aptos"/>
          <w:color w:val="526175"/>
          <w:sz w:val="20"/>
        </w:rPr>
        <w:t>Two practical findings stand out. First, the tracked frontier-adjudicated binary development test caught 13/13 complaints needing extra review, while also sending 3/44 ordinary complaints to review; it is not compatible with the five-class serving slot. Second, category plus district places the later historical destination in the top three for 69.04% of cases, rising to 79.68% where the intake category is informative. Both need a newly frozen, officer-reviewed release set.</w:t>
      </w:r>
    </w:p>
    <w:tbl>
      <w:tblPr>
        <w:tblW w:type="dxa" w:w="10035"/>
        <w:tblLayout w:type="fixed"/>
        <w:tblLook w:firstColumn="1" w:firstRow="1" w:lastColumn="0" w:lastRow="0" w:noHBand="0" w:noVBand="1" w:val="04A0"/>
        <w:tblInd w:w="180" w:type="dxa"/>
      </w:tblPr>
      <w:tblGrid>
        <w:gridCol w:w="10035"/>
      </w:tblGrid>
      <w:tr>
        <w:trPr>
          <w:cantSplit/>
        </w:trPr>
        <w:tc>
          <w:tcPr>
            <w:tcW w:type="dxa" w:w="10035"/>
            <w:shd w:fill="FFF7DF"/>
            <w:tcMar>
              <w:top w:w="160" w:type="dxa"/>
              <w:start w:w="180" w:type="dxa"/>
              <w:bottom w:w="160" w:type="dxa"/>
              <w:end w:w="180" w:type="dxa"/>
            </w:tcMar>
          </w:tcPr>
          <w:p>
            <w:pPr>
              <w:spacing w:after="40"/>
            </w:pPr>
            <w:r/>
            <w:r>
              <w:rPr>
                <w:rFonts w:ascii="Aptos" w:hAnsi="Aptos"/>
                <w:b/>
                <w:color w:val="C4941A"/>
                <w:sz w:val="22"/>
              </w:rPr>
              <w:t>Honest claim</w:t>
            </w:r>
          </w:p>
          <w:p>
            <w:pPr>
              <w:spacing w:after="0" w:line="259" w:lineRule="auto"/>
            </w:pPr>
            <w:r>
              <w:rPr>
                <w:rFonts w:ascii="Aptos" w:hAnsi="Aptos"/>
                <w:color w:val="112E51"/>
                <w:sz w:val="21"/>
              </w:rPr>
              <w:t>The tracked development run completed 90/90 synthetic attempts with 0 failures. Impact remains unmeasured (0/2 required impact artifacts available): no officer minutes saved, correct legal authority, faster resolution, or citizen satisfaction effect is claimed. Those claims require exposure logging, adjudication and a locked rollout.</w:t>
            </w:r>
          </w:p>
        </w:tc>
      </w:tr>
    </w:tbl>
    <w:p>
      <w:r>
        <w:br w:type="page"/>
      </w:r>
    </w:p>
    <w:p>
      <w:pPr>
        <w:pStyle w:val="BriefSectionLabel"/>
        <w:spacing w:before="80" w:after="100"/>
        <w:pBdr>
          <w:bottom w:val="single" w:sz="8" w:space="4" w:color="138782"/>
        </w:pBdr>
      </w:pPr>
      <w:r>
        <w:rPr>
          <w:rFonts w:ascii="Aptos Display" w:hAnsi="Aptos Display"/>
          <w:b/>
          <w:color w:val="138782"/>
          <w:sz w:val="20"/>
        </w:rPr>
        <w:t>DECISION REQUESTED</w:t>
      </w:r>
    </w:p>
    <w:p>
      <w:pPr>
        <w:pStyle w:val="BriefTitle"/>
        <w:spacing w:before="60" w:after="140"/>
      </w:pPr>
      <w:r>
        <w:rPr>
          <w:rFonts w:ascii="Aptos Display" w:hAnsi="Aptos Display"/>
          <w:b/>
          <w:color w:val="112E51"/>
          <w:sz w:val="52"/>
        </w:rPr>
        <w:t>Turn a promising tool into measurable public value</w:t>
      </w:r>
    </w:p>
    <w:p>
      <w:pPr>
        <w:spacing w:after="140" w:line="269" w:lineRule="auto"/>
      </w:pPr>
      <w:r>
        <w:rPr>
          <w:rFonts w:ascii="Aptos" w:hAnsi="Aptos"/>
          <w:color w:val="112E51"/>
          <w:sz w:val="23"/>
        </w:rPr>
        <w:t>The next investment is not another dashboard. It is a small amount of governed officer judgment plus a bounded rollout, so that model quality can be connected to fewer handoffs, earlier action and faster resolution.</w:t>
      </w:r>
    </w:p>
    <w:tbl>
      <w:tblPr>
        <w:tblW w:type="dxa" w:w="10035"/>
        <w:tblLayout w:type="fixed"/>
        <w:tblLook w:firstColumn="1" w:firstRow="1" w:lastColumn="0" w:lastRow="0" w:noHBand="0" w:noVBand="1" w:val="04A0"/>
        <w:tblInd w:w="140" w:type="dxa"/>
      </w:tblPr>
      <w:tblGrid>
        <w:gridCol w:w="2200"/>
        <w:gridCol w:w="2400"/>
        <w:gridCol w:w="2500"/>
        <w:gridCol w:w="2935"/>
      </w:tblGrid>
      <w:tr>
        <w:trPr>
          <w:tblHeader w:val="true"/>
          <w:cantSplit/>
        </w:trPr>
        <w:tc>
          <w:tcPr>
            <w:tcW w:type="dxa" w:w="2200"/>
            <w:shd w:fill="112E51"/>
            <w:vAlign w:val="center"/>
            <w:tcMar>
              <w:top w:w="120" w:type="dxa"/>
              <w:start w:w="140" w:type="dxa"/>
              <w:bottom w:w="120" w:type="dxa"/>
              <w:end w:w="140" w:type="dxa"/>
            </w:tcMar>
          </w:tcPr>
          <w:p>
            <w:pPr>
              <w:spacing w:after="0" w:line="252" w:lineRule="auto"/>
            </w:pPr>
            <w:r/>
            <w:r>
              <w:rPr>
                <w:rFonts w:ascii="Aptos" w:hAnsi="Aptos"/>
                <w:b/>
                <w:color w:val="FFFFFF"/>
                <w:sz w:val="19"/>
              </w:rPr>
              <w:t>Decision</w:t>
            </w:r>
          </w:p>
        </w:tc>
        <w:tc>
          <w:tcPr>
            <w:tcW w:type="dxa" w:w="2400"/>
            <w:shd w:fill="112E51"/>
            <w:vAlign w:val="center"/>
            <w:tcMar>
              <w:top w:w="120" w:type="dxa"/>
              <w:start w:w="140" w:type="dxa"/>
              <w:bottom w:w="120" w:type="dxa"/>
              <w:end w:w="140" w:type="dxa"/>
            </w:tcMar>
          </w:tcPr>
          <w:p>
            <w:pPr>
              <w:spacing w:after="0" w:line="252" w:lineRule="auto"/>
            </w:pPr>
            <w:r/>
            <w:r>
              <w:rPr>
                <w:rFonts w:ascii="Aptos" w:hAnsi="Aptos"/>
                <w:b/>
                <w:color w:val="FFFFFF"/>
                <w:sz w:val="19"/>
              </w:rPr>
              <w:t>Immediate output</w:t>
            </w:r>
          </w:p>
        </w:tc>
        <w:tc>
          <w:tcPr>
            <w:tcW w:type="dxa" w:w="2500"/>
            <w:shd w:fill="112E51"/>
            <w:vAlign w:val="center"/>
            <w:tcMar>
              <w:top w:w="120" w:type="dxa"/>
              <w:start w:w="140" w:type="dxa"/>
              <w:bottom w:w="120" w:type="dxa"/>
              <w:end w:w="140" w:type="dxa"/>
            </w:tcMar>
          </w:tcPr>
          <w:p>
            <w:pPr>
              <w:spacing w:after="0" w:line="252" w:lineRule="auto"/>
            </w:pPr>
            <w:r/>
            <w:r>
              <w:rPr>
                <w:rFonts w:ascii="Aptos" w:hAnsi="Aptos"/>
                <w:b/>
                <w:color w:val="FFFFFF"/>
                <w:sz w:val="19"/>
              </w:rPr>
              <w:t>Success measure</w:t>
            </w:r>
          </w:p>
        </w:tc>
        <w:tc>
          <w:tcPr>
            <w:tcW w:type="dxa" w:w="2935"/>
            <w:shd w:fill="112E51"/>
            <w:vAlign w:val="center"/>
            <w:tcMar>
              <w:top w:w="120" w:type="dxa"/>
              <w:start w:w="140" w:type="dxa"/>
              <w:bottom w:w="120" w:type="dxa"/>
              <w:end w:w="140" w:type="dxa"/>
            </w:tcMar>
          </w:tcPr>
          <w:p>
            <w:pPr>
              <w:spacing w:after="0" w:line="252" w:lineRule="auto"/>
            </w:pPr>
            <w:r/>
            <w:r>
              <w:rPr>
                <w:rFonts w:ascii="Aptos" w:hAnsi="Aptos"/>
                <w:b/>
                <w:color w:val="FFFFFF"/>
                <w:sz w:val="19"/>
              </w:rPr>
              <w:t>Safety condition</w:t>
            </w:r>
          </w:p>
        </w:tc>
      </w:tr>
      <w:tr>
        <w:trPr>
          <w:cantSplit/>
        </w:trPr>
        <w:tc>
          <w:tcPr>
            <w:tcW w:type="dxa" w:w="2200"/>
            <w:shd w:fill="EAF7F6"/>
            <w:vAlign w:val="center"/>
            <w:tcMar>
              <w:top w:w="120" w:type="dxa"/>
              <w:start w:w="140" w:type="dxa"/>
              <w:bottom w:w="120" w:type="dxa"/>
              <w:end w:w="140" w:type="dxa"/>
            </w:tcMar>
          </w:tcPr>
          <w:p>
            <w:pPr>
              <w:spacing w:after="0" w:line="252" w:lineRule="auto"/>
            </w:pPr>
            <w:r/>
            <w:r>
              <w:rPr>
                <w:rFonts w:ascii="Aptos" w:hAnsi="Aptos"/>
                <w:b w:val="0"/>
                <w:color w:val="112E51"/>
                <w:sz w:val="18"/>
              </w:rPr>
              <w:t>Approve a small officer-adjudicated gold set</w:t>
            </w:r>
          </w:p>
        </w:tc>
        <w:tc>
          <w:tcPr>
            <w:tcW w:type="dxa" w:w="2400"/>
            <w:shd w:fill="EAF7F6"/>
            <w:vAlign w:val="center"/>
            <w:tcMar>
              <w:top w:w="120" w:type="dxa"/>
              <w:start w:w="140" w:type="dxa"/>
              <w:bottom w:w="120" w:type="dxa"/>
              <w:end w:w="140" w:type="dxa"/>
            </w:tcMar>
          </w:tcPr>
          <w:p>
            <w:pPr>
              <w:spacing w:after="0" w:line="252" w:lineRule="auto"/>
            </w:pPr>
            <w:r/>
            <w:r>
              <w:rPr>
                <w:rFonts w:ascii="Aptos" w:hAnsi="Aptos"/>
                <w:b w:val="0"/>
                <w:color w:val="112E51"/>
                <w:sz w:val="18"/>
              </w:rPr>
              <w:t>Reliable low-signal/actionability, summary and correct-authority scorecards</w:t>
            </w:r>
          </w:p>
        </w:tc>
        <w:tc>
          <w:tcPr>
            <w:tcW w:type="dxa" w:w="2500"/>
            <w:shd w:fill="EAF7F6"/>
            <w:vAlign w:val="center"/>
            <w:tcMar>
              <w:top w:w="120" w:type="dxa"/>
              <w:start w:w="140" w:type="dxa"/>
              <w:bottom w:w="120" w:type="dxa"/>
              <w:end w:w="140" w:type="dxa"/>
            </w:tcMar>
          </w:tcPr>
          <w:p>
            <w:pPr>
              <w:spacing w:after="0" w:line="252" w:lineRule="auto"/>
            </w:pPr>
            <w:r/>
            <w:r>
              <w:rPr>
                <w:rFonts w:ascii="Aptos" w:hAnsi="Aptos"/>
                <w:b w:val="0"/>
                <w:color w:val="112E51"/>
                <w:sz w:val="18"/>
              </w:rPr>
              <w:t>Per-class precision/recall, harmful-review rate, summary factuality</w:t>
            </w:r>
          </w:p>
        </w:tc>
        <w:tc>
          <w:tcPr>
            <w:tcW w:type="dxa" w:w="2935"/>
            <w:shd w:fill="EAF7F6"/>
            <w:vAlign w:val="center"/>
            <w:tcMar>
              <w:top w:w="120" w:type="dxa"/>
              <w:start w:w="140" w:type="dxa"/>
              <w:bottom w:w="120" w:type="dxa"/>
              <w:end w:w="140" w:type="dxa"/>
            </w:tcMar>
          </w:tcPr>
          <w:p>
            <w:pPr>
              <w:spacing w:after="0" w:line="252" w:lineRule="auto"/>
            </w:pPr>
            <w:r/>
            <w:r>
              <w:rPr>
                <w:rFonts w:ascii="Aptos" w:hAnsi="Aptos"/>
                <w:b w:val="0"/>
                <w:color w:val="112E51"/>
                <w:sz w:val="18"/>
              </w:rPr>
              <w:t>Raw citizen text stays governed; weak labels remain train-only</w:t>
            </w:r>
          </w:p>
        </w:tc>
      </w:tr>
      <w:tr>
        <w:trPr>
          <w:cantSplit/>
        </w:trPr>
        <w:tc>
          <w:tcPr>
            <w:tcW w:type="dxa" w:w="2200"/>
            <w:shd w:fill="EDF3F9"/>
            <w:vAlign w:val="center"/>
            <w:tcMar>
              <w:top w:w="120" w:type="dxa"/>
              <w:start w:w="140" w:type="dxa"/>
              <w:bottom w:w="120" w:type="dxa"/>
              <w:end w:w="140" w:type="dxa"/>
            </w:tcMar>
          </w:tcPr>
          <w:p>
            <w:pPr>
              <w:spacing w:after="0" w:line="252" w:lineRule="auto"/>
            </w:pPr>
            <w:r/>
            <w:r>
              <w:rPr>
                <w:rFonts w:ascii="Aptos" w:hAnsi="Aptos"/>
                <w:b w:val="0"/>
                <w:color w:val="112E51"/>
                <w:sz w:val="18"/>
              </w:rPr>
              <w:t>Run the advisory system in shadow mode</w:t>
            </w:r>
          </w:p>
        </w:tc>
        <w:tc>
          <w:tcPr>
            <w:tcW w:type="dxa" w:w="2400"/>
            <w:shd w:fill="EDF3F9"/>
            <w:vAlign w:val="center"/>
            <w:tcMar>
              <w:top w:w="120" w:type="dxa"/>
              <w:start w:w="140" w:type="dxa"/>
              <w:bottom w:w="120" w:type="dxa"/>
              <w:end w:w="140" w:type="dxa"/>
            </w:tcMar>
          </w:tcPr>
          <w:p>
            <w:pPr>
              <w:spacing w:after="0" w:line="252" w:lineRule="auto"/>
            </w:pPr>
            <w:r/>
            <w:r>
              <w:rPr>
                <w:rFonts w:ascii="Aptos" w:hAnsi="Aptos"/>
                <w:b w:val="0"/>
                <w:color w:val="112E51"/>
                <w:sz w:val="18"/>
              </w:rPr>
              <w:t>Predictions recorded but hidden from officers</w:t>
            </w:r>
          </w:p>
        </w:tc>
        <w:tc>
          <w:tcPr>
            <w:tcW w:type="dxa" w:w="2500"/>
            <w:shd w:fill="EDF3F9"/>
            <w:vAlign w:val="center"/>
            <w:tcMar>
              <w:top w:w="120" w:type="dxa"/>
              <w:start w:w="140" w:type="dxa"/>
              <w:bottom w:w="120" w:type="dxa"/>
              <w:end w:w="140" w:type="dxa"/>
            </w:tcMar>
          </w:tcPr>
          <w:p>
            <w:pPr>
              <w:spacing w:after="0" w:line="252" w:lineRule="auto"/>
            </w:pPr>
            <w:r/>
            <w:r>
              <w:rPr>
                <w:rFonts w:ascii="Aptos" w:hAnsi="Aptos"/>
                <w:b w:val="0"/>
                <w:color w:val="112E51"/>
                <w:sz w:val="18"/>
              </w:rPr>
              <w:t>Availability, latency, fallback, slice stability</w:t>
            </w:r>
          </w:p>
        </w:tc>
        <w:tc>
          <w:tcPr>
            <w:tcW w:type="dxa" w:w="2935"/>
            <w:shd w:fill="EDF3F9"/>
            <w:vAlign w:val="center"/>
            <w:tcMar>
              <w:top w:w="120" w:type="dxa"/>
              <w:start w:w="140" w:type="dxa"/>
              <w:bottom w:w="120" w:type="dxa"/>
              <w:end w:w="140" w:type="dxa"/>
            </w:tcMar>
          </w:tcPr>
          <w:p>
            <w:pPr>
              <w:spacing w:after="0" w:line="252" w:lineRule="auto"/>
            </w:pPr>
            <w:r/>
            <w:r>
              <w:rPr>
                <w:rFonts w:ascii="Aptos" w:hAnsi="Aptos"/>
                <w:b w:val="0"/>
                <w:color w:val="112E51"/>
                <w:sz w:val="18"/>
              </w:rPr>
              <w:t>No automatic discard or assignment</w:t>
            </w:r>
          </w:p>
        </w:tc>
      </w:tr>
      <w:tr>
        <w:trPr>
          <w:cantSplit/>
        </w:trPr>
        <w:tc>
          <w:tcPr>
            <w:tcW w:type="dxa" w:w="2200"/>
            <w:shd w:fill="FFF7DF"/>
            <w:vAlign w:val="center"/>
            <w:tcMar>
              <w:top w:w="120" w:type="dxa"/>
              <w:start w:w="140" w:type="dxa"/>
              <w:bottom w:w="120" w:type="dxa"/>
              <w:end w:w="140" w:type="dxa"/>
            </w:tcMar>
          </w:tcPr>
          <w:p>
            <w:pPr>
              <w:spacing w:after="0" w:line="252" w:lineRule="auto"/>
            </w:pPr>
            <w:r/>
            <w:r>
              <w:rPr>
                <w:rFonts w:ascii="Aptos" w:hAnsi="Aptos"/>
                <w:b w:val="0"/>
                <w:color w:val="112E51"/>
                <w:sz w:val="18"/>
              </w:rPr>
              <w:t>Lock and run a bounded stepped rollout</w:t>
            </w:r>
          </w:p>
        </w:tc>
        <w:tc>
          <w:tcPr>
            <w:tcW w:type="dxa" w:w="2400"/>
            <w:shd w:fill="FFF7DF"/>
            <w:vAlign w:val="center"/>
            <w:tcMar>
              <w:top w:w="120" w:type="dxa"/>
              <w:start w:w="140" w:type="dxa"/>
              <w:bottom w:w="120" w:type="dxa"/>
              <w:end w:w="140" w:type="dxa"/>
            </w:tcMar>
          </w:tcPr>
          <w:p>
            <w:pPr>
              <w:spacing w:after="0" w:line="252" w:lineRule="auto"/>
            </w:pPr>
            <w:r/>
            <w:r>
              <w:rPr>
                <w:rFonts w:ascii="Aptos" w:hAnsi="Aptos"/>
                <w:b w:val="0"/>
                <w:color w:val="112E51"/>
                <w:sz w:val="18"/>
              </w:rPr>
              <w:t>A fair comparison across pre-treatment office clusters</w:t>
            </w:r>
          </w:p>
        </w:tc>
        <w:tc>
          <w:tcPr>
            <w:tcW w:type="dxa" w:w="2500"/>
            <w:shd w:fill="FFF7DF"/>
            <w:vAlign w:val="center"/>
            <w:tcMar>
              <w:top w:w="120" w:type="dxa"/>
              <w:start w:w="140" w:type="dxa"/>
              <w:bottom w:w="120" w:type="dxa"/>
              <w:end w:w="140" w:type="dxa"/>
            </w:tcMar>
          </w:tcPr>
          <w:p>
            <w:pPr>
              <w:spacing w:after="0" w:line="252" w:lineRule="auto"/>
            </w:pPr>
            <w:r/>
            <w:r>
              <w:rPr>
                <w:rFonts w:ascii="Aptos" w:hAnsi="Aptos"/>
                <w:b w:val="0"/>
                <w:color w:val="112E51"/>
                <w:sz w:val="18"/>
              </w:rPr>
              <w:t>7-day first action, transfer-free assignment, 90-day resolution</w:t>
            </w:r>
          </w:p>
        </w:tc>
        <w:tc>
          <w:tcPr>
            <w:tcW w:type="dxa" w:w="2935"/>
            <w:shd w:fill="FFF7DF"/>
            <w:vAlign w:val="center"/>
            <w:tcMar>
              <w:top w:w="120" w:type="dxa"/>
              <w:start w:w="140" w:type="dxa"/>
              <w:bottom w:w="120" w:type="dxa"/>
              <w:end w:w="140" w:type="dxa"/>
            </w:tcMar>
          </w:tcPr>
          <w:p>
            <w:pPr>
              <w:spacing w:after="0" w:line="252" w:lineRule="auto"/>
            </w:pPr>
            <w:r/>
            <w:r>
              <w:rPr>
                <w:rFonts w:ascii="Aptos" w:hAnsi="Aptos"/>
                <w:b w:val="0"/>
                <w:color w:val="112E51"/>
                <w:sz w:val="18"/>
              </w:rPr>
              <w:t>ITT analysis, censoring, spillover checks and pause rules locked first</w:t>
            </w:r>
          </w:p>
        </w:tc>
      </w:tr>
    </w:tbl>
    <w:p>
      <w:pPr>
        <w:pStyle w:val="BriefSectionLabel"/>
        <w:spacing w:before="80" w:after="100"/>
        <w:pBdr>
          <w:bottom w:val="single" w:sz="8" w:space="4" w:color="138782"/>
        </w:pBdr>
      </w:pPr>
      <w:r>
        <w:rPr>
          <w:rFonts w:ascii="Aptos Display" w:hAnsi="Aptos Display"/>
          <w:b/>
          <w:color w:val="138782"/>
          <w:sz w:val="20"/>
        </w:rPr>
        <w:t>THE IMPACT CHAIN</w:t>
      </w:r>
    </w:p>
    <w:p>
      <w:pPr>
        <w:spacing w:after="200" w:line="269" w:lineRule="auto"/>
      </w:pPr>
      <w:r>
        <w:rPr>
          <w:rFonts w:ascii="Aptos" w:hAnsi="Aptos"/>
          <w:color w:val="138782"/>
          <w:sz w:val="26"/>
        </w:rPr>
        <w:t>Better model → officer sees and accepts a useful suggestion → fewer touches and handoffs → earlier meaningful action → better 30/90-day resolution, fewer repeat contacts and improved citizen-reported satisfaction.</w:t>
      </w:r>
    </w:p>
    <w:tbl>
      <w:tblPr>
        <w:tblW w:type="dxa" w:w="10035"/>
        <w:tblLayout w:type="fixed"/>
        <w:tblLook w:firstColumn="1" w:firstRow="1" w:lastColumn="0" w:lastRow="0" w:noHBand="0" w:noVBand="1" w:val="04A0"/>
        <w:tblInd w:w="180" w:type="dxa"/>
      </w:tblPr>
      <w:tblGrid>
        <w:gridCol w:w="10035"/>
      </w:tblGrid>
      <w:tr>
        <w:trPr>
          <w:cantSplit/>
        </w:trPr>
        <w:tc>
          <w:tcPr>
            <w:tcW w:type="dxa" w:w="10035"/>
            <w:shd w:fill="FFF7DF"/>
            <w:tcMar>
              <w:top w:w="160" w:type="dxa"/>
              <w:start w:w="180" w:type="dxa"/>
              <w:bottom w:w="160" w:type="dxa"/>
              <w:end w:w="180" w:type="dxa"/>
            </w:tcMar>
          </w:tcPr>
          <w:p>
            <w:pPr>
              <w:spacing w:after="40"/>
            </w:pPr>
            <w:r/>
            <w:r>
              <w:rPr>
                <w:rFonts w:ascii="Aptos" w:hAnsi="Aptos"/>
                <w:b/>
                <w:color w:val="C4941A"/>
                <w:sz w:val="22"/>
              </w:rPr>
              <w:t>Recommended decision</w:t>
            </w:r>
          </w:p>
          <w:p>
            <w:pPr>
              <w:spacing w:after="0" w:line="259" w:lineRule="auto"/>
            </w:pPr>
            <w:r>
              <w:rPr>
                <w:rFonts w:ascii="Aptos" w:hAnsi="Aptos"/>
                <w:color w:val="112E51"/>
                <w:sz w:val="21"/>
              </w:rPr>
              <w:t>Approve creation and officer review of the release evidence set; begin shadow deployment only after the real browser/model path passes preflight. Lock the pilot and fixed-horizon satisfaction invitation rule before any treatment outcomes are viewed, and keep auto-reject and auto-assignment at zero until the agreed safety and quality gates pass.</w:t>
            </w:r>
          </w:p>
        </w:tc>
      </w:tr>
    </w:tbl>
    <w:p>
      <w:pPr>
        <w:spacing w:after="0" w:line="269" w:lineRule="auto"/>
      </w:pPr>
      <w:r>
        <w:rPr>
          <w:rFonts w:ascii="Aptos" w:hAnsi="Aptos"/>
          <w:color w:val="526175"/>
          <w:sz w:val="17"/>
        </w:rPr>
        <w:t>Source note: benchmark-backed figures come from full bundle c713c41ecd97b256c42b63022c75e6ccfc2cc45fa6152c95aa812a1de47dcc47. Dedup and descriptive administrative findings retain their separate cited sources. Full definitions and reproduction limits remain in the long report and docs/QUALITY_BENCHMARKS.md.</w:t>
      </w:r>
    </w:p>
    <w:sectPr w:rsidR="00FC693F" w:rsidRPr="0006063C" w:rsidSect="00034616">
      <w:headerReference w:type="default" r:id="rId9"/>
      <w:footerReference w:type="default" r:id="rId10"/>
      <w:pgSz w:w="11906" w:h="16838"/>
      <w:pgMar w:top="765" w:right="935" w:bottom="765" w:left="935"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26175"/>
        <w:sz w:val="16"/>
      </w:rPr>
      <w:t>Janasunani 2.0  •  Officer decision brief  •  Working draft,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5" w:space="4" w:color="138782"/>
      </w:pBdr>
    </w:pPr>
    <w:r>
      <w:rPr>
        <w:rFonts w:ascii="Aptos" w:hAnsi="Aptos"/>
        <w:b/>
        <w:color w:val="138782"/>
        <w:sz w:val="17"/>
      </w:rPr>
      <w:t>GOVERNMENT OF ODISHA  ×  UNIVERSITY OF CHICAGO TRUST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112E5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riefTitle">
    <w:name w:val="Brief Title"/>
    <w:pPr>
      <w:spacing w:before="60" w:after="140"/>
    </w:pPr>
    <w:rPr>
      <w:rFonts w:ascii="Aptos Display" w:hAnsi="Aptos Display"/>
      <w:b/>
      <w:color w:val="112E51"/>
      <w:sz w:val="52"/>
    </w:rPr>
  </w:style>
  <w:style w:type="paragraph" w:customStyle="1" w:styleId="BriefSectionLabel">
    <w:name w:val="Brief Section Label"/>
    <w:pPr>
      <w:spacing w:before="80" w:after="100"/>
    </w:pPr>
    <w:rPr>
      <w:rFonts w:ascii="Aptos Display" w:hAnsi="Aptos Display"/>
      <w:b/>
      <w:color w:val="138782"/>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Janasunani 2.0 evidence and decision support</dc:subject>
  <dc:creator>Data, Policy and Innovation Centre</dc:creator>
  <cp:keywords/>
  <dc:description>generated by python-docx</dc:description>
  <cp:lastModifiedBy/>
  <cp:revision>1</cp:revision>
  <dcterms:created xsi:type="dcterms:W3CDTF">2013-12-23T23:15:00Z</dcterms:created>
  <dcterms:modified xsi:type="dcterms:W3CDTF">2013-12-23T23:15:00Z</dcterms:modified>
  <cp:category/>
</cp:coreProperties>
</file>