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b/>
          <w:color w:val="0E7C7B"/>
          <w:sz w:val="14"/>
        </w:rPr>
        <w:t>GOVERNMENT OF ODISHA  ×  UNIVERSITY OF CHICAGO TRUST</w:t>
      </w:r>
    </w:p>
    <w:p>
      <w:pPr>
        <w:spacing w:after="0"/>
        <w:jc w:val="left"/>
        <w:pBdr>
          <w:bottom w:val="single" w:sz="4.8" w:space="1" w:color="0E7C7B"/>
        </w:pBdr>
      </w:pPr>
      <w:r>
        <w:rPr>
          <w:rFonts w:ascii="Calibri" w:hAnsi="Calibri"/>
          <w:color w:val="6B7280"/>
          <w:sz w:val="14"/>
        </w:rPr>
        <w:t>Data, Policy and Innovation Centre</w:t>
      </w:r>
    </w:p>
    <w:p>
      <w:pPr>
        <w:spacing w:before="720" w:after="80"/>
        <w:jc w:val="left"/>
      </w:pPr>
      <w:r>
        <w:rPr>
          <w:rFonts w:ascii="Calibri" w:hAnsi="Calibri"/>
          <w:b/>
          <w:color w:val="0F2847"/>
          <w:sz w:val="64"/>
        </w:rPr>
        <w:t>Janasunani 2.0</w:t>
      </w:r>
    </w:p>
    <w:p>
      <w:pPr>
        <w:spacing w:after="120"/>
        <w:jc w:val="left"/>
      </w:pPr>
      <w:r>
        <w:rPr>
          <w:rFonts w:ascii="Calibri" w:hAnsi="Calibri"/>
          <w:i/>
          <w:color w:val="0E7C7B"/>
          <w:sz w:val="26"/>
        </w:rPr>
        <w:t>From filing to insight: what changes for officers and citizens</w:t>
      </w:r>
    </w:p>
    <w:p>
      <w:pPr>
        <w:spacing w:after="40"/>
        <w:jc w:val="left"/>
      </w:pPr>
      <w:r>
        <w:rPr>
          <w:rFonts w:ascii="Calibri" w:hAnsi="Calibri"/>
          <w:color w:val="3A4556"/>
          <w:sz w:val="18"/>
        </w:rPr>
        <w:t>Value-add versus the status quo — document processing, routing, and the intelligence layer</w:t>
      </w:r>
    </w:p>
    <w:p>
      <w:pPr>
        <w:spacing w:before="160" w:after="160"/>
        <w:pBdr>
          <w:bottom w:val="single" w:sz="4" w:space="1" w:color="C9A86A"/>
        </w:pBdr>
      </w:pPr>
    </w:p>
    <w:tbl>
      <w:tblPr>
        <w:tblW w:type="auto" w:w="0"/>
        <w:jc w:val="left"/>
        <w:tblLayout w:type="autofit"/>
        <w:tblLook w:firstColumn="1" w:firstRow="1" w:lastColumn="0" w:lastRow="0" w:noHBand="0" w:noVBand="1" w:val="04A0"/>
      </w:tblPr>
      <w:tblGrid>
        <w:gridCol w:w="5018"/>
        <w:gridCol w:w="5018"/>
      </w:tblGrid>
      <w:tr>
        <w:tc>
          <w:tcPr>
            <w:tcW w:type="dxa" w:w="5018"/>
            <w:tcMar>
              <w:top w:w="40" w:type="dxa"/>
              <w:bottom w:w="40" w:type="dxa"/>
              <w:left w:w="0" w:type="dxa"/>
              <w:right w:w="9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jc w:val="left"/>
            </w:pPr>
            <w:r>
              <w:rPr>
                <w:rFonts w:ascii="Calibri" w:hAnsi="Calibri"/>
                <w:b/>
                <w:color w:val="0E7C7B"/>
                <w:sz w:val="14"/>
              </w:rPr>
              <w:t>STATUS</w:t>
            </w:r>
          </w:p>
        </w:tc>
        <w:tc>
          <w:tcPr>
            <w:tcW w:type="dxa" w:w="5018"/>
            <w:tcMar>
              <w:top w:w="40" w:type="dxa"/>
              <w:bottom w:w="40" w:type="dxa"/>
              <w:left w:w="0" w:type="dxa"/>
              <w:right w:w="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pPr>
            <w:r>
              <w:rPr>
                <w:rFonts w:ascii="Calibri" w:hAnsi="Calibri"/>
                <w:color w:val="3A4556"/>
                <w:sz w:val="16"/>
              </w:rPr>
              <w:t>Working draft — August 2026  •  For internal discussion, not for publication</w:t>
            </w:r>
          </w:p>
        </w:tc>
      </w:tr>
      <w:tr>
        <w:tc>
          <w:tcPr>
            <w:tcW w:type="dxa" w:w="5018"/>
            <w:tcMar>
              <w:top w:w="40" w:type="dxa"/>
              <w:bottom w:w="40" w:type="dxa"/>
              <w:left w:w="0" w:type="dxa"/>
              <w:right w:w="9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jc w:val="left"/>
            </w:pPr>
            <w:r>
              <w:rPr>
                <w:rFonts w:ascii="Calibri" w:hAnsi="Calibri"/>
                <w:b/>
                <w:color w:val="0E7C7B"/>
                <w:sz w:val="14"/>
              </w:rPr>
              <w:t>AUDIENCE</w:t>
            </w:r>
          </w:p>
        </w:tc>
        <w:tc>
          <w:tcPr>
            <w:tcW w:type="dxa" w:w="5018"/>
            <w:tcMar>
              <w:top w:w="40" w:type="dxa"/>
              <w:bottom w:w="40" w:type="dxa"/>
              <w:left w:w="0" w:type="dxa"/>
              <w:right w:w="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pPr>
            <w:r>
              <w:rPr>
                <w:rFonts w:ascii="Calibri" w:hAnsi="Calibri"/>
                <w:color w:val="3A4556"/>
                <w:sz w:val="16"/>
              </w:rPr>
              <w:t>Non-technical — Secretaries, Collectors, programme officers, and review committees</w:t>
            </w:r>
          </w:p>
        </w:tc>
      </w:tr>
      <w:tr>
        <w:tc>
          <w:tcPr>
            <w:tcW w:type="dxa" w:w="5018"/>
            <w:tcMar>
              <w:top w:w="40" w:type="dxa"/>
              <w:bottom w:w="40" w:type="dxa"/>
              <w:left w:w="0" w:type="dxa"/>
              <w:right w:w="9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jc w:val="left"/>
            </w:pPr>
            <w:r>
              <w:rPr>
                <w:rFonts w:ascii="Calibri" w:hAnsi="Calibri"/>
                <w:b/>
                <w:color w:val="0E7C7B"/>
                <w:sz w:val="14"/>
              </w:rPr>
              <w:t>READING TIME</w:t>
            </w:r>
          </w:p>
        </w:tc>
        <w:tc>
          <w:tcPr>
            <w:tcW w:type="dxa" w:w="5018"/>
            <w:tcMar>
              <w:top w:w="40" w:type="dxa"/>
              <w:bottom w:w="40" w:type="dxa"/>
              <w:left w:w="0" w:type="dxa"/>
              <w:right w:w="0" w:type="dxa"/>
            </w:tcMar>
            <w:tcBorders>
              <w:top w:val="nil" w:sz="0" w:space="0" w:color="FFFFFF"/>
              <w:left w:val="nil" w:sz="0" w:space="0" w:color="FFFFFF"/>
              <w:bottom w:val="nil" w:sz="0" w:space="0" w:color="FFFFFF"/>
              <w:right w:val="nil" w:sz="0" w:space="0" w:color="FFFFFF"/>
              <w:insideH w:val="nil" w:sz="0" w:space="0" w:color="FFFFFF"/>
              <w:insideV w:val="nil" w:sz="0" w:space="0" w:color="FFFFFF"/>
            </w:tcBorders>
          </w:tcPr>
          <w:p>
            <w:pPr>
              <w:spacing w:after="20" w:before="20"/>
            </w:pPr>
            <w:r>
              <w:rPr>
                <w:rFonts w:ascii="Calibri" w:hAnsi="Calibri"/>
                <w:color w:val="3A4556"/>
                <w:sz w:val="16"/>
              </w:rPr>
              <w:t>~18 minutes  •  Executive summary on page 2 is self-contained</w:t>
            </w:r>
          </w:p>
        </w:tc>
      </w:tr>
    </w:tbl>
    <w:p>
      <w:pPr>
        <w:spacing w:after="120"/>
      </w:pPr>
    </w:p>
    <w:tbl>
      <w:tblPr>
        <w:tblW w:type="auto" w:w="0"/>
        <w:jc w:val="center"/>
        <w:tblLook w:firstColumn="1" w:firstRow="1" w:lastColumn="0" w:lastRow="0" w:noHBand="0" w:noVBand="1" w:val="04A0"/>
      </w:tblPr>
      <w:tblGrid>
        <w:gridCol w:w="10037"/>
      </w:tblGrid>
      <w:tr>
        <w:tc>
          <w:tcPr>
            <w:tcW w:type="dxa" w:w="10037"/>
            <w:shd w:fill="F8FAFC" w:val="clear"/>
            <w:tcBorders>
              <w:top w:val="single" w:sz="3" w:space="0" w:color="E5E7EB"/>
              <w:right w:val="single" w:sz="3" w:space="0" w:color="E5E7EB"/>
              <w:bottom w:val="single" w:sz="3" w:space="0" w:color="E5E7EB"/>
              <w:left w:val="single" w:sz="12" w:space="8" w:color="0F2847"/>
            </w:tcBorders>
            <w:tcMar>
              <w:top w:w="70" w:type="dxa"/>
              <w:bottom w:w="70" w:type="dxa"/>
              <w:left w:w="140" w:type="dxa"/>
              <w:right w:w="140" w:type="dxa"/>
            </w:tcMar>
          </w:tcPr>
          <w:p>
            <w:pPr>
              <w:jc w:val="left"/>
            </w:pPr>
            <w:r>
              <w:rPr>
                <w:b/>
                <w:color w:val="0F2847"/>
                <w:sz w:val="17"/>
              </w:rPr>
              <w:t xml:space="preserve">◆  </w:t>
            </w:r>
            <w:r>
              <w:rPr>
                <w:rFonts w:ascii="Calibri" w:hAnsi="Calibri"/>
                <w:color w:val="1F2A37"/>
                <w:sz w:val="15"/>
              </w:rPr>
              <w:t>One rule throughout: every number in this report states its denominator, its sample, and what it cannot prove. Where the evidence is thin or the comparison is not like-for-like, we say so on the same page — not in a footnote.</w:t>
            </w:r>
          </w:p>
        </w:tc>
      </w:tr>
    </w:tbl>
    <w:p>
      <w:pPr>
        <w:spacing w:before="280" w:after="80"/>
        <w:pBdr>
          <w:bottom w:val="single" w:sz="2.4" w:space="1" w:color="E5E7EB"/>
        </w:pBdr>
      </w:pPr>
      <w:r>
        <w:rPr>
          <w:rFonts w:ascii="Calibri" w:hAnsi="Calibri"/>
          <w:b/>
          <w:color w:val="0E7C7B"/>
          <w:sz w:val="14"/>
        </w:rPr>
        <w:t>WHAT'S INSIDE</w:t>
      </w:r>
    </w:p>
    <w:p>
      <w:pPr>
        <w:tabs>
          <w:tab w:pos="9864" w:val="right" w:leader="dot"/>
        </w:tabs>
        <w:spacing w:after="20" w:before="0"/>
      </w:pPr>
      <w:r>
        <w:rPr>
          <w:rFonts w:ascii="Calibri" w:hAnsi="Calibri"/>
          <w:b/>
          <w:color w:val="0F2847"/>
          <w:sz w:val="16"/>
        </w:rPr>
        <w:t>1   How grievances work today  — the status quo in numbers</w:t>
        <w:tab/>
        <w:t>2</w:t>
      </w:r>
      <w:r>
        <w:rPr>
          <w:rFonts w:ascii="Calibri" w:hAnsi="Calibri"/>
          <w:color w:val="9CA3AF"/>
          <w:sz w:val="16"/>
        </w:rPr>
      </w:r>
    </w:p>
    <w:p>
      <w:pPr>
        <w:tabs>
          <w:tab w:pos="9864" w:val="right" w:leader="dot"/>
        </w:tabs>
        <w:spacing w:after="20" w:before="0"/>
      </w:pPr>
      <w:r>
        <w:rPr>
          <w:rFonts w:ascii="Calibri" w:hAnsi="Calibri"/>
          <w:b/>
          <w:color w:val="0F2847"/>
          <w:sz w:val="16"/>
        </w:rPr>
        <w:t>2   What we built  — the same workflow, now machine-readable</w:t>
        <w:tab/>
        <w:t>3</w:t>
      </w:r>
      <w:r>
        <w:rPr>
          <w:rFonts w:ascii="Calibri" w:hAnsi="Calibri"/>
          <w:color w:val="9CA3AF"/>
          <w:sz w:val="16"/>
        </w:rPr>
      </w:r>
    </w:p>
    <w:p>
      <w:pPr>
        <w:tabs>
          <w:tab w:pos="9864" w:val="right" w:leader="dot"/>
        </w:tabs>
        <w:spacing w:after="20" w:before="0"/>
      </w:pPr>
      <w:r>
        <w:rPr>
          <w:rFonts w:ascii="Calibri" w:hAnsi="Calibri"/>
          <w:b/>
          <w:color w:val="0F2847"/>
          <w:sz w:val="16"/>
        </w:rPr>
        <w:t>3   Faster and more reliable  — document processing before vs after</w:t>
        <w:tab/>
        <w:t>4</w:t>
      </w:r>
      <w:r>
        <w:rPr>
          <w:rFonts w:ascii="Calibri" w:hAnsi="Calibri"/>
          <w:color w:val="9CA3AF"/>
          <w:sz w:val="16"/>
        </w:rPr>
      </w:r>
    </w:p>
    <w:p>
      <w:pPr>
        <w:tabs>
          <w:tab w:pos="9864" w:val="right" w:leader="dot"/>
        </w:tabs>
        <w:spacing w:after="20" w:before="0"/>
      </w:pPr>
      <w:r>
        <w:rPr>
          <w:rFonts w:ascii="Calibri" w:hAnsi="Calibri"/>
          <w:b w:val="0"/>
          <w:color w:val="3A4556"/>
          <w:sz w:val="16"/>
        </w:rPr>
        <w:t>4   Keeping the queue clean  — spam and duplicates</w:t>
        <w:tab/>
        <w:t>6</w:t>
      </w:r>
      <w:r>
        <w:rPr>
          <w:rFonts w:ascii="Calibri" w:hAnsi="Calibri"/>
          <w:color w:val="9CA3AF"/>
          <w:sz w:val="16"/>
        </w:rPr>
      </w:r>
    </w:p>
    <w:p>
      <w:pPr>
        <w:tabs>
          <w:tab w:pos="9864" w:val="right" w:leader="dot"/>
        </w:tabs>
        <w:spacing w:after="20" w:before="0"/>
      </w:pPr>
      <w:r>
        <w:rPr>
          <w:rFonts w:ascii="Calibri" w:hAnsi="Calibri"/>
          <w:b w:val="0"/>
          <w:color w:val="3A4556"/>
          <w:sz w:val="16"/>
        </w:rPr>
        <w:t>5   What are people complaining about  — hotspots, spikes, and workload</w:t>
        <w:tab/>
        <w:t>7</w:t>
      </w:r>
      <w:r>
        <w:rPr>
          <w:rFonts w:ascii="Calibri" w:hAnsi="Calibri"/>
          <w:color w:val="9CA3AF"/>
          <w:sz w:val="16"/>
        </w:rPr>
      </w:r>
    </w:p>
    <w:p>
      <w:pPr>
        <w:tabs>
          <w:tab w:pos="9864" w:val="right" w:leader="dot"/>
        </w:tabs>
        <w:spacing w:after="20" w:before="0"/>
      </w:pPr>
      <w:r>
        <w:rPr>
          <w:rFonts w:ascii="Calibri" w:hAnsi="Calibri"/>
          <w:b w:val="0"/>
          <w:color w:val="3A4556"/>
          <w:sz w:val="16"/>
        </w:rPr>
        <w:t>6   Who is complaining  — geography, gender, and channels</w:t>
        <w:tab/>
        <w:t>9</w:t>
      </w:r>
      <w:r>
        <w:rPr>
          <w:rFonts w:ascii="Calibri" w:hAnsi="Calibri"/>
          <w:color w:val="9CA3AF"/>
          <w:sz w:val="16"/>
        </w:rPr>
      </w:r>
    </w:p>
    <w:p>
      <w:pPr>
        <w:tabs>
          <w:tab w:pos="9864" w:val="right" w:leader="dot"/>
        </w:tabs>
        <w:spacing w:after="20" w:before="0"/>
      </w:pPr>
      <w:r>
        <w:rPr>
          <w:rFonts w:ascii="Calibri" w:hAnsi="Calibri"/>
          <w:b w:val="0"/>
          <w:color w:val="3A4556"/>
          <w:sz w:val="16"/>
        </w:rPr>
        <w:t>7   What officers see day-to-day  — real-time help while a case is open</w:t>
        <w:tab/>
        <w:t>10</w:t>
      </w:r>
      <w:r>
        <w:rPr>
          <w:rFonts w:ascii="Calibri" w:hAnsi="Calibri"/>
          <w:color w:val="9CA3AF"/>
          <w:sz w:val="16"/>
        </w:rPr>
      </w:r>
    </w:p>
    <w:p>
      <w:pPr>
        <w:tabs>
          <w:tab w:pos="9864" w:val="right" w:leader="dot"/>
        </w:tabs>
        <w:spacing w:after="20" w:before="0"/>
      </w:pPr>
      <w:r>
        <w:rPr>
          <w:rFonts w:ascii="Calibri" w:hAnsi="Calibri"/>
          <w:b w:val="0"/>
          <w:color w:val="3A4556"/>
          <w:sz w:val="16"/>
        </w:rPr>
        <w:t>8   Safeguards and honesty  — what we don’t claim yet</w:t>
        <w:tab/>
        <w:t>11</w:t>
      </w:r>
      <w:r>
        <w:rPr>
          <w:rFonts w:ascii="Calibri" w:hAnsi="Calibri"/>
          <w:color w:val="9CA3AF"/>
          <w:sz w:val="16"/>
        </w:rPr>
      </w:r>
    </w:p>
    <w:p>
      <w:pPr>
        <w:tabs>
          <w:tab w:pos="9864" w:val="right" w:leader="dot"/>
        </w:tabs>
        <w:spacing w:after="20" w:before="0"/>
      </w:pPr>
      <w:r>
        <w:rPr>
          <w:rFonts w:ascii="Calibri" w:hAnsi="Calibri"/>
          <w:b w:val="0"/>
          <w:color w:val="3A4556"/>
          <w:sz w:val="16"/>
        </w:rPr>
        <w:t>A   Annex — metric registry, sources, and how to reproduce</w:t>
        <w:tab/>
        <w:t>12</w:t>
      </w:r>
      <w:r>
        <w:rPr>
          <w:rFonts w:ascii="Calibri" w:hAnsi="Calibri"/>
          <w:color w:val="9CA3AF"/>
          <w:sz w:val="16"/>
        </w:rPr>
      </w:r>
    </w:p>
    <w:p>
      <w:pPr>
        <w:spacing w:before="360"/>
        <w:jc w:val="left"/>
      </w:pPr>
      <w:r>
        <w:rPr>
          <w:rFonts w:ascii="Calibri" w:hAnsi="Calibri"/>
          <w:i/>
          <w:color w:val="9CA3AF"/>
          <w:sz w:val="13"/>
        </w:rPr>
        <w:t>Sources on every page. Full metric registry and reproducibility notes in Annex A. Previous baselines are from the DSI Clinic Technical Report (2025) and the DPIC Analytics Note (May 2026). Current measurements are from the Janasunani codebase (main, August 2026) and the 55,544-record Sambalpur/2024 slice.</w:t>
      </w:r>
    </w:p>
    <w:p>
      <w:pPr>
        <w:spacing w:before="200"/>
        <w:jc w:val="left"/>
      </w:pPr>
      <w:r>
        <w:rPr>
          <w:rFonts w:ascii="Calibri" w:hAnsi="Calibri"/>
          <w:color w:val="6B7280"/>
          <w:sz w:val="13"/>
        </w:rPr>
        <w:t>DPIC  •  dpic@uchicago.edu  •  Bhubaneswar — Chicago   •   This draft will be updated after the 14 August demonstration with measured results from the live rehearsal.</w:t>
      </w:r>
    </w:p>
    <w:p>
      <w:r>
        <w:br w:type="page"/>
      </w:r>
    </w:p>
    <w:p>
      <w:pPr>
        <w:spacing w:after="0"/>
        <w:jc w:val="left"/>
        <w:pBdr>
          <w:bottom w:val="single" w:sz="3.2" w:space="1" w:color="0E7C7B"/>
        </w:pBdr>
      </w:pPr>
      <w:r>
        <w:rPr>
          <w:rFonts w:ascii="Calibri" w:hAnsi="Calibri"/>
          <w:b/>
          <w:color w:val="0E7C7B"/>
          <w:sz w:val="14"/>
        </w:rPr>
        <w:t>EXECUTIVE SUMMARY</w:t>
      </w:r>
    </w:p>
    <w:p>
      <w:pPr>
        <w:pStyle w:val="Heading1"/>
        <w:jc w:val="left"/>
      </w:pPr>
      <w:r>
        <w:t>Three improvements that matter to an officer — and one that matters to government</w:t>
      </w:r>
    </w:p>
    <w:p>
      <w:pPr>
        <w:spacing w:after="100" w:before="0"/>
        <w:jc w:val="left"/>
      </w:pPr>
      <w:r>
        <w:rPr>
          <w:rFonts w:ascii="Calibri" w:hAnsi="Calibri"/>
          <w:b w:val="0"/>
          <w:i w:val="0"/>
          <w:color w:val="3A4556"/>
          <w:sz w:val="18"/>
        </w:rPr>
        <w:t>Between July 2021 and June 2025 Janasunani received 1,371,288 complaints; 688,301 arrived in 2024–25. Three in four filings carry at least one attachment, so officers must read the grievance and its documents before deciding what it is about and where it should go. Among forwarded cases, the administrative interval from receipt to first forward is 1.7 days at the median and 20.8 days at the mean; email is 17.7 days at the median, while the Collector’s office is 4 days at the median and 30 days at the mean.</w:t>
      </w:r>
    </w:p>
    <w:tbl>
      <w:tblPr>
        <w:tblW w:type="auto" w:w="0"/>
        <w:jc w:val="center"/>
        <w:tblLayout w:type="fixed"/>
        <w:tblLook w:firstColumn="1" w:firstRow="1" w:lastColumn="0" w:lastRow="0" w:noHBand="0" w:noVBand="1" w:val="04A0"/>
      </w:tblPr>
      <w:tblGrid>
        <w:gridCol w:w="3346"/>
        <w:gridCol w:w="3346"/>
        <w:gridCol w:w="3346"/>
      </w:tblGrid>
      <w:tr>
        <w:tc>
          <w:tcPr>
            <w:tcW w:type="dxa" w:w="3240"/>
            <w:shd w:fill="F0FDFD" w:val="clear"/>
            <w:tcBorders>
              <w:top w:val="single" w:sz="12" w:space="0" w:color="0E7C7B"/>
              <w:left w:val="single" w:sz="3" w:space="0" w:color="E5E7EB"/>
              <w:bottom w:val="single" w:sz="3" w:space="0" w:color="E5E7EB"/>
              <w:right w:val="single" w:sz="3" w:space="0" w:color="E5E7EB"/>
            </w:tcBorders>
            <w:tcMar>
              <w:top w:w="90" w:type="dxa"/>
              <w:bottom w:w="90" w:type="dxa"/>
              <w:left w:w="100" w:type="dxa"/>
              <w:right w:w="100" w:type="dxa"/>
            </w:tcMar>
            <w:vAlign w:val="center"/>
          </w:tcPr>
          <w:p>
            <w:pPr>
              <w:spacing w:after="60"/>
              <w:jc w:val="center"/>
            </w:pPr>
            <w:r>
              <w:rPr>
                <w:rFonts w:ascii="Calibri" w:hAnsi="Calibri"/>
                <w:b/>
                <w:color w:val="0E7C7B"/>
                <w:sz w:val="32"/>
              </w:rPr>
              <w:t>0.13 s text / 13.66 s PDF</w:t>
            </w:r>
          </w:p>
          <w:p>
            <w:pPr>
              <w:spacing w:after="20"/>
              <w:jc w:val="center"/>
            </w:pPr>
            <w:r>
              <w:rPr>
                <w:rFonts w:ascii="Calibri" w:hAnsi="Calibri"/>
                <w:color w:val="3A4556"/>
                <w:sz w:val="14"/>
              </w:rPr>
              <w:t>Warm p50 in the tracked CPU development run (text n=40; PDF n=20). The 1.7-day first-forward interval is a different administrative clock; workflow time saved is not yet measured.</w:t>
            </w:r>
          </w:p>
        </w:tc>
        <w:tc>
          <w:tcPr>
            <w:tcW w:type="dxa" w:w="3240"/>
            <w:shd w:fill="F8FAFC" w:val="clear"/>
            <w:tcBorders>
              <w:top w:val="single" w:sz="12" w:space="0" w:color="0F2847"/>
              <w:left w:val="single" w:sz="3" w:space="0" w:color="E5E7EB"/>
              <w:bottom w:val="single" w:sz="3" w:space="0" w:color="E5E7EB"/>
              <w:right w:val="single" w:sz="3" w:space="0" w:color="E5E7EB"/>
            </w:tcBorders>
            <w:tcMar>
              <w:top w:w="90" w:type="dxa"/>
              <w:bottom w:w="90" w:type="dxa"/>
              <w:left w:w="100" w:type="dxa"/>
              <w:right w:w="100" w:type="dxa"/>
            </w:tcMar>
            <w:vAlign w:val="center"/>
          </w:tcPr>
          <w:p>
            <w:pPr>
              <w:spacing w:after="60"/>
              <w:jc w:val="center"/>
            </w:pPr>
            <w:r>
              <w:rPr>
                <w:rFonts w:ascii="Calibri" w:hAnsi="Calibri"/>
                <w:b/>
                <w:color w:val="0F2847"/>
                <w:sz w:val="32"/>
              </w:rPr>
              <w:t>10,963 problems</w:t>
            </w:r>
          </w:p>
          <w:p>
            <w:pPr>
              <w:spacing w:after="20"/>
              <w:jc w:val="center"/>
            </w:pPr>
            <w:r>
              <w:rPr>
                <w:rFonts w:ascii="Calibri" w:hAnsi="Calibri"/>
                <w:color w:val="3A4556"/>
                <w:sz w:val="14"/>
              </w:rPr>
              <w:t>From 55,544 filings in Sambalpur/2024. The portal counted filings; we now count distinct problems — and distinct citizens.</w:t>
            </w:r>
          </w:p>
        </w:tc>
        <w:tc>
          <w:tcPr>
            <w:tcW w:type="dxa" w:w="3240"/>
            <w:shd w:fill="F8FAFC" w:val="clear"/>
            <w:tcBorders>
              <w:top w:val="single" w:sz="12" w:space="0" w:color="B88A1E"/>
              <w:left w:val="single" w:sz="3" w:space="0" w:color="E5E7EB"/>
              <w:bottom w:val="single" w:sz="3" w:space="0" w:color="E5E7EB"/>
              <w:right w:val="single" w:sz="3" w:space="0" w:color="E5E7EB"/>
            </w:tcBorders>
            <w:tcMar>
              <w:top w:w="90" w:type="dxa"/>
              <w:bottom w:w="90" w:type="dxa"/>
              <w:left w:w="100" w:type="dxa"/>
              <w:right w:w="100" w:type="dxa"/>
            </w:tcMar>
            <w:vAlign w:val="center"/>
          </w:tcPr>
          <w:p>
            <w:pPr>
              <w:spacing w:after="60"/>
              <w:jc w:val="center"/>
            </w:pPr>
            <w:r>
              <w:rPr>
                <w:rFonts w:ascii="Calibri" w:hAnsi="Calibri"/>
                <w:b/>
                <w:color w:val="B88A1E"/>
                <w:sz w:val="32"/>
              </w:rPr>
              <w:t>46% women</w:t>
            </w:r>
          </w:p>
          <w:p>
            <w:pPr>
              <w:spacing w:after="20"/>
              <w:jc w:val="center"/>
            </w:pPr>
            <w:r>
              <w:rPr>
                <w:rFonts w:ascii="Calibri" w:hAnsi="Calibri"/>
                <w:color w:val="3A4556"/>
                <w:sz w:val="14"/>
              </w:rPr>
              <w:t>Up from 30% in 2021–22. 83% of women now file online. The “who” picture changes how we design access.</w:t>
            </w:r>
          </w:p>
        </w:tc>
      </w:tr>
    </w:tbl>
    <w:p>
      <w:pPr>
        <w:spacing w:after="80"/>
      </w:pPr>
    </w:p>
    <w:p>
      <w:pPr>
        <w:spacing w:after="60" w:before="0"/>
        <w:jc w:val="left"/>
      </w:pPr>
      <w:r>
        <w:rPr>
          <w:rFonts w:ascii="Calibri" w:hAnsi="Calibri"/>
          <w:b/>
          <w:i w:val="0"/>
          <w:color w:val="0F2847"/>
          <w:sz w:val="18"/>
        </w:rPr>
        <w:t>What changes, in plain language:</w:t>
      </w:r>
    </w:p>
    <w:p>
      <w:pPr>
        <w:pStyle w:val="ListBullet"/>
        <w:spacing w:after="30" w:before="0"/>
        <w:ind w:left="317"/>
      </w:pPr>
      <w:r>
        <w:rPr>
          <w:rFonts w:ascii="Calibri" w:hAnsi="Calibri"/>
          <w:b/>
          <w:color w:val="0F2847"/>
          <w:sz w:val="17"/>
        </w:rPr>
        <w:t>1. Faster first response — from reading to reviewing. The intended workflow extracts and redacts text, filters pages, and prepares advisory category, summary and route suggestions. Warm typed requests have completed in seconds in controlled laptop tests; the full scanned browser/model path and officer accept/edit/reject events are not yet verified. Redaction has measured misses, and officers retain full authority.</w:t>
      </w:r>
      <w:r>
        <w:rPr>
          <w:rFonts w:ascii="Calibri" w:hAnsi="Calibri"/>
          <w:color w:val="3A4556"/>
          <w:sz w:val="17"/>
        </w:rPr>
      </w:r>
    </w:p>
    <w:p>
      <w:pPr>
        <w:pStyle w:val="ListBullet"/>
        <w:spacing w:after="30" w:before="0"/>
        <w:ind w:left="317"/>
      </w:pPr>
      <w:r>
        <w:rPr>
          <w:rFonts w:ascii="Calibri" w:hAnsi="Calibri"/>
          <w:b/>
          <w:color w:val="0F2847"/>
          <w:sz w:val="17"/>
        </w:rPr>
        <w:t>2. A cleaner queue</w:t>
      </w:r>
      <w:r>
        <w:rPr>
          <w:rFonts w:ascii="Calibri" w:hAnsi="Calibri"/>
          <w:color w:val="3A4556"/>
          <w:sz w:val="17"/>
        </w:rPr>
        <w:t xml:space="preserve"> — and fewer repeat problems clogging the queue. Mass submissions and duplicate filings are now grouped as one problem with a count of distinct citizens. A campaign of 1,200 citizens about one road is no longer 1,200 separate cases in the workload — it is one problem filed by 1,200 people. A single person filing 26,000 times is no longer mistaken for a campaign. Low-signal filings (missing details, no specific grievance) are flagged separately from duplicates, so each queue can be handled appropriately — never auto-rejected.</w:t>
      </w:r>
    </w:p>
    <w:p>
      <w:pPr>
        <w:pStyle w:val="ListBullet"/>
        <w:spacing w:after="30" w:before="0"/>
        <w:ind w:left="317"/>
      </w:pPr>
      <w:r>
        <w:rPr>
          <w:rFonts w:ascii="Calibri" w:hAnsi="Calibri"/>
          <w:b/>
          <w:color w:val="0F2847"/>
          <w:sz w:val="17"/>
        </w:rPr>
        <w:t>3. Intelligence that earns a decision — geographic counts with explicit limits, spikes explained, and workload counted as problems not filings. The first map release will show privacy-safe filing counts, inferred problems and distinct signatories; it will not publish per-capita or per-eligible rates until a current, documented denominator is governed. Time is compared with an appropriate historical baseline, and every spike carries three numbers (filings / inferred problems / distinct signatories) so a campaign and a diffuse wave — identical in a raw count — prompt different review.</w:t>
      </w:r>
      <w:r>
        <w:rPr>
          <w:rFonts w:ascii="Calibri" w:hAnsi="Calibri"/>
          <w:color w:val="3A4556"/>
          <w:sz w:val="17"/>
        </w:rPr>
      </w:r>
    </w:p>
    <w:p>
      <w:pPr>
        <w:pStyle w:val="ListBullet"/>
        <w:spacing w:after="30" w:before="0"/>
        <w:ind w:left="317"/>
      </w:pPr>
      <w:r>
        <w:rPr>
          <w:rFonts w:ascii="Calibri" w:hAnsi="Calibri"/>
          <w:b/>
          <w:color w:val="0F2847"/>
          <w:sz w:val="17"/>
        </w:rPr>
        <w:t>4. A clearer picture of who the system serves</w:t>
      </w:r>
      <w:r>
        <w:rPr>
          <w:rFonts w:ascii="Calibri" w:hAnsi="Calibri"/>
          <w:color w:val="3A4556"/>
          <w:sz w:val="17"/>
        </w:rPr>
        <w:t xml:space="preserve"> — the composition of who complains is shifting. Rural-housing grievances dominate the surge (37% of 2024–25 filings), women now file nearly half of all complaints and overwhelmingly online, and most citizens file once (88%). That “who” picture — not just the “what” — informs where to locate help, what language support matters, and which access channel to invest in.</w:t>
      </w:r>
    </w:p>
    <w:tbl>
      <w:tblPr>
        <w:tblW w:type="auto" w:w="0"/>
        <w:jc w:val="center"/>
        <w:tblLook w:firstColumn="1" w:firstRow="1" w:lastColumn="0" w:lastRow="0" w:noHBand="0" w:noVBand="1" w:val="04A0"/>
      </w:tblPr>
      <w:tblGrid>
        <w:gridCol w:w="10037"/>
      </w:tblGrid>
      <w:tr>
        <w:tc>
          <w:tcPr>
            <w:tcW w:type="dxa" w:w="10037"/>
            <w:shd w:fill="FFFBEB" w:val="clear"/>
            <w:tcBorders>
              <w:top w:val="single" w:sz="3" w:space="0" w:color="E5E7EB"/>
              <w:right w:val="single" w:sz="3" w:space="0" w:color="E5E7EB"/>
              <w:bottom w:val="single" w:sz="3" w:space="0" w:color="E5E7EB"/>
              <w:left w:val="single" w:sz="12" w:space="8" w:color="B88A1E"/>
            </w:tcBorders>
            <w:tcMar>
              <w:top w:w="70" w:type="dxa"/>
              <w:bottom w:w="70" w:type="dxa"/>
              <w:left w:w="140" w:type="dxa"/>
              <w:right w:w="140" w:type="dxa"/>
            </w:tcMar>
          </w:tcPr>
          <w:p>
            <w:pPr>
              <w:jc w:val="left"/>
            </w:pPr>
            <w:r>
              <w:rPr>
                <w:b/>
                <w:color w:val="B88A1E"/>
                <w:sz w:val="17"/>
              </w:rPr>
              <w:t>⚠  What we are not claiming. Technical latency is not officer time saved. Sarvam evidence is divergence/coverage, not OCR accuracy. Administrative discard templates are weak labels, not spam gold; live summary quality is unmeasured. Routing’s older 60.9/67.5/72.8% is in-sample, while the new chronological 2025 result is developmental because that test was viewed. Causal officer or citizen impact requires a locked pilot.</w:t>
            </w:r>
            <w:r>
              <w:rPr>
                <w:rFonts w:ascii="Calibri" w:hAnsi="Calibri"/>
                <w:color w:val="1F2A37"/>
                <w:sz w:val="15"/>
              </w:rPr>
            </w:r>
          </w:p>
        </w:tc>
      </w:tr>
    </w:tbl>
    <w:p>
      <w:pPr>
        <w:spacing w:after="80" w:before="80"/>
        <w:jc w:val="left"/>
      </w:pPr>
      <w:r>
        <w:rPr>
          <w:rFonts w:ascii="Calibri" w:hAnsi="Calibri"/>
          <w:b w:val="0"/>
          <w:i/>
          <w:color w:val="6B7280"/>
          <w:sz w:val="15"/>
        </w:rPr>
        <w:t>How to read the rest of the report. Each section gives a “Before → After → Why it matters” table, then the evidence and its limits. Numbers are shown with their denominator and sample; “reference-only” baselines are labelled as such and are never used as pass/fail thresholds. The annex lists every metric, its source file, and the command that reproduces it.</w:t>
      </w:r>
    </w:p>
    <w:p>
      <w:pPr>
        <w:spacing w:before="120"/>
        <w:pBdr>
          <w:bottom w:val="single" w:sz="2.4" w:space="1" w:color="0E7C7B"/>
        </w:pBdr>
      </w:pPr>
      <w:r>
        <w:rPr>
          <w:rFonts w:ascii="Calibri" w:hAnsi="Calibri"/>
          <w:b/>
          <w:color w:val="0E7C7B"/>
          <w:sz w:val="14"/>
        </w:rPr>
        <w:t>1  —  HOW GRIEVANCES WORK TODAY</w:t>
      </w:r>
    </w:p>
    <w:p>
      <w:pPr>
        <w:pStyle w:val="Heading1"/>
      </w:pPr>
      <w:r>
        <w:t>The status quo in numbers — and why it is hard to manage</w:t>
      </w:r>
    </w:p>
    <w:p>
      <w:pPr>
        <w:spacing w:after="80" w:before="0"/>
        <w:jc w:val="left"/>
      </w:pPr>
      <w:r>
        <w:rPr>
          <w:rFonts w:ascii="Calibri" w:hAnsi="Calibri"/>
          <w:b w:val="0"/>
          <w:i w:val="0"/>
          <w:color w:val="3A4556"/>
          <w:sz w:val="17"/>
        </w:rPr>
        <w:t>Janasunani is Odisha’s unified grievance portal. Between July 2021 and June 2025 it received 1,371,288 complaints and recorded 6,556,171 action-history rows — the timestamped trail of every receive, forward, accept, and close. In 2024–25 alone, 688,301 complaints were filed — nearly double the previous year and seven times the 2021–22 figure. Two events explain the shape, not a smooth trend: a CMO District Visit surge in 2023–24 (91,235 complaints) and a Joint Hearing surge in 2024–25 (44,788).</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c>
          <w:tcPr>
            <w:tcW w:type="dxa" w:w="2232"/>
            <w:shd w:fill="0F2847" w:val="clear"/>
            <w:tcMar>
              <w:top w:w="60" w:type="dxa"/>
              <w:bottom w:w="60" w:type="dxa"/>
              <w:left w:w="120" w:type="dxa"/>
              <w:right w:w="120" w:type="dxa"/>
            </w:tcMar>
            <w:vAlign w:val="center"/>
          </w:tcPr>
          <w:p>
            <w:pPr>
              <w:jc w:val="center"/>
            </w:pPr>
            <w:r>
              <w:rPr>
                <w:rFonts w:ascii="Calibri" w:hAnsi="Calibri"/>
                <w:b/>
                <w:color w:val="FFFFFF"/>
                <w:sz w:val="13"/>
              </w:rPr>
              <w:t>What we face today</w:t>
            </w:r>
          </w:p>
        </w:tc>
        <w:tc>
          <w:tcPr>
            <w:tcW w:type="dxa" w:w="3528"/>
            <w:shd w:fill="0F2847" w:val="clear"/>
            <w:tcMar>
              <w:top w:w="60" w:type="dxa"/>
              <w:bottom w:w="60" w:type="dxa"/>
              <w:left w:w="120" w:type="dxa"/>
              <w:right w:w="120" w:type="dxa"/>
            </w:tcMar>
            <w:vAlign w:val="center"/>
          </w:tcPr>
          <w:p>
            <w:pPr>
              <w:jc w:val="center"/>
            </w:pPr>
            <w:r>
              <w:rPr>
                <w:rFonts w:ascii="Calibri" w:hAnsi="Calibri"/>
                <w:b/>
                <w:color w:val="FFFFFF"/>
                <w:sz w:val="13"/>
              </w:rPr>
              <w:t>What the data says</w:t>
            </w:r>
          </w:p>
        </w:tc>
        <w:tc>
          <w:tcPr>
            <w:tcW w:type="dxa" w:w="3672"/>
            <w:shd w:fill="0F2847" w:val="clear"/>
            <w:tcMar>
              <w:top w:w="60" w:type="dxa"/>
              <w:bottom w:w="60" w:type="dxa"/>
              <w:left w:w="120" w:type="dxa"/>
              <w:right w:w="120" w:type="dxa"/>
            </w:tcMar>
            <w:vAlign w:val="center"/>
          </w:tcPr>
          <w:p>
            <w:pPr>
              <w:jc w:val="center"/>
            </w:pPr>
            <w:r>
              <w:rPr>
                <w:rFonts w:ascii="Calibri" w:hAnsi="Calibri"/>
                <w:b/>
                <w:color w:val="FFFFFF"/>
                <w:sz w:val="13"/>
              </w:rPr>
              <w:t>Why it hurts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Volume surge, highly concentrated</w:t>
            </w:r>
          </w:p>
        </w:tc>
        <w:tc>
          <w:tcPr>
            <w:tcW w:type="dxa" w:w="3346"/>
            <w:tcMar>
              <w:top w:w="55" w:type="dxa"/>
              <w:bottom w:w="55" w:type="dxa"/>
              <w:left w:w="120" w:type="dxa"/>
              <w:right w:w="120" w:type="dxa"/>
            </w:tcMar>
            <w:vAlign w:val="center"/>
          </w:tcPr>
          <w:p>
            <w:pPr>
              <w:jc w:val="center"/>
            </w:pPr>
            <w:r>
              <w:rPr>
                <w:rFonts w:ascii="Calibri" w:hAnsi="Calibri"/>
                <w:color w:val="3A4556"/>
                <w:sz w:val="14"/>
              </w:rPr>
              <w:t>688,301 in 2024–25 (355,579 in 2023–24). Rural Housing + PMAY = 37% of all 2024–25 filings; together they explain 55% of year-on-year growth (≈147k extra housing complaints).</w:t>
            </w:r>
          </w:p>
        </w:tc>
        <w:tc>
          <w:tcPr>
            <w:tcW w:type="dxa" w:w="3346"/>
            <w:tcMar>
              <w:top w:w="55" w:type="dxa"/>
              <w:bottom w:w="55" w:type="dxa"/>
              <w:left w:w="120" w:type="dxa"/>
              <w:right w:w="120" w:type="dxa"/>
            </w:tcMar>
            <w:vAlign w:val="center"/>
          </w:tcPr>
          <w:p>
            <w:pPr>
              <w:jc w:val="center"/>
            </w:pPr>
            <w:r>
              <w:rPr>
                <w:rFonts w:ascii="Calibri" w:hAnsi="Calibri"/>
                <w:color w:val="3A4556"/>
                <w:sz w:val="14"/>
              </w:rPr>
              <w:t>Complaint volume is a near-real-time signal of PMAY implementation pressure — but only if you can see it by block and by scheme, not as a state total.</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Routing takes days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Median 1.71 days from receipt to first forward (n≈30k forwarded). Mean 20.84 days — one in ten takes ~7 weeks. Email filings: median 17.7 days (10× website/letter). Collector’s office: median 4 days, mean 30 days (1 in 7 routed complaints).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The most substantive complaints — with documents — wait longest. Officer time spent understanding a filing before it can move is the bottleneck.</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Resolution is faster at scale — but not uniformly</w:t>
            </w:r>
          </w:p>
        </w:tc>
        <w:tc>
          <w:tcPr>
            <w:tcW w:type="dxa" w:w="3346"/>
            <w:tcMar>
              <w:top w:w="55" w:type="dxa"/>
              <w:bottom w:w="55" w:type="dxa"/>
              <w:left w:w="120" w:type="dxa"/>
              <w:right w:w="120" w:type="dxa"/>
            </w:tcMar>
            <w:vAlign w:val="center"/>
          </w:tcPr>
          <w:p>
            <w:pPr>
              <w:jc w:val="center"/>
            </w:pPr>
            <w:r>
              <w:rPr>
                <w:rFonts w:ascii="Calibri" w:hAnsi="Calibri"/>
                <w:color w:val="3A4556"/>
                <w:sz w:val="14"/>
              </w:rPr>
              <w:t>Median disposal: 46 days in 2024–25 vs 62 days in 2023–24, on 417k vs 298k disposed cases. Still 107k open (up from 18k), concentrated in October 2024 filings (≈25.8k still open from that month).</w:t>
            </w:r>
          </w:p>
        </w:tc>
        <w:tc>
          <w:tcPr>
            <w:tcW w:type="dxa" w:w="3346"/>
            <w:tcMar>
              <w:top w:w="55" w:type="dxa"/>
              <w:bottom w:w="55" w:type="dxa"/>
              <w:left w:w="120" w:type="dxa"/>
              <w:right w:w="120" w:type="dxa"/>
            </w:tcMar>
            <w:vAlign w:val="center"/>
          </w:tcPr>
          <w:p>
            <w:pPr>
              <w:jc w:val="center"/>
            </w:pPr>
            <w:r>
              <w:rPr>
                <w:rFonts w:ascii="Calibri" w:hAnsi="Calibri"/>
                <w:color w:val="3A4556"/>
                <w:sz w:val="14"/>
              </w:rPr>
              <w:t>State median hides a stuck cohort. 107k is not “107k uniformly pending” — it is a congestion episode worth a targeted clearing exercise.</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One-third of complaints tell us nothing about what they are about</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NaN (missing subcategory) 17.9% + General 8.9% + Miscellaneous 7.2% = 33.9% of 2024–25 filings (233k complaints). Within General, 87% are “Others”; within Miscellaneous, 68% are “Miscellaneous/Others”.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You cannot prioritise what you cannot name. Subcategory is the primary analytical unit — a third of cases bypass it. Free-text is the only rescue.</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Who files is not recorded as a person</w:t>
            </w:r>
          </w:p>
        </w:tc>
        <w:tc>
          <w:tcPr>
            <w:tcW w:type="dxa" w:w="3346"/>
            <w:tcMar>
              <w:top w:w="55" w:type="dxa"/>
              <w:bottom w:w="55" w:type="dxa"/>
              <w:left w:w="120" w:type="dxa"/>
              <w:right w:w="120" w:type="dxa"/>
            </w:tcMar>
            <w:vAlign w:val="center"/>
          </w:tcPr>
          <w:p>
            <w:pPr>
              <w:jc w:val="center"/>
            </w:pPr>
            <w:r>
              <w:rPr>
                <w:rFonts w:ascii="Calibri" w:hAnsi="Calibri"/>
                <w:color w:val="3A4556"/>
                <w:sz w:val="14"/>
              </w:rPr>
              <w:t>No native petitioner ID; derived linkage shows 88% file once (median 1, mean 1.43, 95th percentile 2). Geographic rates need denominators; text is English 73% (36 words avg) vs Odia/Devanagari 27% (79 words avg); in-person filings average 5.7 words (transcribed short).</w:t>
            </w:r>
          </w:p>
        </w:tc>
        <w:tc>
          <w:tcPr>
            <w:tcW w:type="dxa" w:w="3346"/>
            <w:tcMar>
              <w:top w:w="55" w:type="dxa"/>
              <w:bottom w:w="55" w:type="dxa"/>
              <w:left w:w="120" w:type="dxa"/>
              <w:right w:w="120" w:type="dxa"/>
            </w:tcMar>
            <w:vAlign w:val="center"/>
          </w:tcPr>
          <w:p>
            <w:pPr>
              <w:jc w:val="center"/>
            </w:pPr>
            <w:r>
              <w:rPr>
                <w:rFonts w:ascii="Calibri" w:hAnsi="Calibri"/>
                <w:color w:val="3A4556"/>
                <w:sz w:val="14"/>
              </w:rPr>
              <w:t>Complaint counts are not complaint rates. Without eligible-population denominators and without de-duplication, “high complaints” can mean many citizens — or one citizen many times.</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Closure language is coarse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Of 776,922 complaints closed on six standard phrases, 60.9% use the bare “disposed” wording; as a share of all 1,209,144 resolved complaints, 39.1%. Bare share rises with steps: 58% (3–5 steps) → 65% (6+ steps). Only 4% of 2024–25 filings close “with benefit” (down from 8%).</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The record says what wording was chosen — not whether it was correct. A correct refusal and a premature closure look identical. Treating 61% as a failure rate would be wrong.</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One in three complaints involves a handoff; those take longer</w:t>
            </w:r>
          </w:p>
        </w:tc>
        <w:tc>
          <w:tcPr>
            <w:tcW w:type="dxa" w:w="3346"/>
            <w:tcMar>
              <w:top w:w="55" w:type="dxa"/>
              <w:bottom w:w="55" w:type="dxa"/>
              <w:left w:w="120" w:type="dxa"/>
              <w:right w:w="120" w:type="dxa"/>
            </w:tcMar>
            <w:vAlign w:val="center"/>
          </w:tcPr>
          <w:p>
            <w:pPr>
              <w:jc w:val="center"/>
            </w:pPr>
            <w:r>
              <w:rPr>
                <w:rFonts w:ascii="Calibri" w:hAnsi="Calibri"/>
                <w:color w:val="3A4556"/>
                <w:sz w:val="14"/>
              </w:rPr>
              <w:t>30% involve ≥1 downstream handoff. With handoff: median 52 days to resolution. At first authority: median 36 days.</w:t>
            </w:r>
          </w:p>
        </w:tc>
        <w:tc>
          <w:tcPr>
            <w:tcW w:type="dxa" w:w="3346"/>
            <w:tcMar>
              <w:top w:w="55" w:type="dxa"/>
              <w:bottom w:w="55" w:type="dxa"/>
              <w:left w:w="120" w:type="dxa"/>
              <w:right w:w="120" w:type="dxa"/>
            </w:tcMar>
            <w:vAlign w:val="center"/>
          </w:tcPr>
          <w:p>
            <w:pPr>
              <w:jc w:val="center"/>
            </w:pPr>
            <w:r>
              <w:rPr>
                <w:rFonts w:ascii="Calibri" w:hAnsi="Calibri"/>
                <w:color w:val="3A4556"/>
                <w:sz w:val="14"/>
              </w:rPr>
              <w:t>Re-routing is expensive. First-route quality — getting it to the right office the first time — is the lever with the largest time dividend.</w:t>
            </w:r>
          </w:p>
        </w:tc>
      </w:tr>
    </w:tbl>
    <w:p>
      <w:pPr>
        <w:pStyle w:val="Caption"/>
        <w:spacing w:before="40" w:after="200"/>
        <w:jc w:val="center"/>
      </w:pPr>
      <w:r>
        <w:rPr>
          <w:rFonts w:ascii="Calibri" w:hAnsi="Calibri"/>
          <w:i/>
          <w:color w:val="6B7280"/>
          <w:sz w:val="14"/>
        </w:rPr>
        <w:t>Table 1 — The status quo: volume, time, and information gaps. Sources: DPIC Analytics Note May 2026 (1.37M record, July 2021–June 2025) and DSI Clinic Technical Report (2025). Exact sources per row are in Annex A.</w:t>
      </w:r>
    </w:p>
    <w:tbl>
      <w:tblPr>
        <w:tblW w:type="auto" w:w="0"/>
        <w:jc w:val="center"/>
        <w:tblLook w:firstColumn="1" w:firstRow="1" w:lastColumn="0" w:lastRow="0" w:noHBand="0" w:noVBand="1" w:val="04A0"/>
      </w:tblPr>
      <w:tblGrid>
        <w:gridCol w:w="10037"/>
      </w:tblGrid>
      <w:tr>
        <w:tc>
          <w:tcPr>
            <w:tcW w:type="dxa" w:w="10037"/>
            <w:shd w:fill="F8FAFC" w:val="clear"/>
            <w:tcBorders>
              <w:top w:val="single" w:sz="3" w:space="0" w:color="E5E7EB"/>
              <w:right w:val="single" w:sz="3" w:space="0" w:color="E5E7EB"/>
              <w:bottom w:val="single" w:sz="3" w:space="0" w:color="E5E7EB"/>
              <w:left w:val="single" w:sz="12" w:space="8" w:color="0F2847"/>
            </w:tcBorders>
            <w:tcMar>
              <w:top w:w="70" w:type="dxa"/>
              <w:bottom w:w="70" w:type="dxa"/>
              <w:left w:w="140" w:type="dxa"/>
              <w:right w:w="140" w:type="dxa"/>
            </w:tcMar>
          </w:tcPr>
          <w:p>
            <w:pPr>
              <w:jc w:val="left"/>
            </w:pPr>
            <w:r>
              <w:rPr>
                <w:b/>
                <w:color w:val="0F2847"/>
                <w:sz w:val="17"/>
              </w:rPr>
              <w:t xml:space="preserve">◆  </w:t>
            </w:r>
            <w:r>
              <w:rPr>
                <w:rFonts w:ascii="Calibri" w:hAnsi="Calibri"/>
                <w:color w:val="1F2A37"/>
                <w:sz w:val="15"/>
              </w:rPr>
              <w:t>The existing dashboards count well — district, department, category, dates, status — and they do that reliably. What they cannot do is read what the citizen wrote, or recognise that two records describe the same problem. Everything new in this report comes from one of those two abilities. If an analyst with database access could produce a number in a day, we do not present it as enabled by the system.</w:t>
            </w:r>
          </w:p>
        </w:tc>
      </w:tr>
    </w:tbl>
    <w:p>
      <w:pPr>
        <w:spacing w:after="60" w:before="120"/>
        <w:jc w:val="left"/>
      </w:pPr>
      <w:r>
        <w:rPr>
          <w:rFonts w:ascii="Calibri" w:hAnsi="Calibri"/>
          <w:b/>
          <w:i w:val="0"/>
          <w:color w:val="0F2847"/>
          <w:sz w:val="17"/>
        </w:rPr>
        <w:t>How complaints arrive has shifted — and it matters for both access and routing:</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007"/>
        <w:gridCol w:w="2007"/>
        <w:gridCol w:w="2007"/>
        <w:gridCol w:w="2007"/>
        <w:gridCol w:w="2007"/>
      </w:tblGrid>
      <w:tr>
        <w:tc>
          <w:tcPr>
            <w:tcW w:type="dxa" w:w="2088"/>
            <w:shd w:fill="0E7C7B" w:val="clear"/>
            <w:tcMar>
              <w:top w:w="60" w:type="dxa"/>
              <w:bottom w:w="60" w:type="dxa"/>
              <w:left w:w="120" w:type="dxa"/>
              <w:right w:w="120" w:type="dxa"/>
            </w:tcMar>
            <w:vAlign w:val="center"/>
          </w:tcPr>
          <w:p>
            <w:pPr>
              <w:jc w:val="center"/>
            </w:pPr>
            <w:r>
              <w:rPr>
                <w:rFonts w:ascii="Calibri" w:hAnsi="Calibri"/>
                <w:b/>
                <w:color w:val="FFFFFF"/>
                <w:sz w:val="13"/>
              </w:rPr>
              <w:t>Channel</w:t>
            </w:r>
          </w:p>
        </w:tc>
        <w:tc>
          <w:tcPr>
            <w:tcW w:type="dxa" w:w="1224"/>
            <w:shd w:fill="0E7C7B" w:val="clear"/>
            <w:tcMar>
              <w:top w:w="60" w:type="dxa"/>
              <w:bottom w:w="60" w:type="dxa"/>
              <w:left w:w="120" w:type="dxa"/>
              <w:right w:w="120" w:type="dxa"/>
            </w:tcMar>
            <w:vAlign w:val="center"/>
          </w:tcPr>
          <w:p>
            <w:pPr>
              <w:jc w:val="center"/>
            </w:pPr>
            <w:r>
              <w:rPr>
                <w:rFonts w:ascii="Calibri" w:hAnsi="Calibri"/>
                <w:b/>
                <w:color w:val="FFFFFF"/>
                <w:sz w:val="13"/>
              </w:rPr>
              <w:t>2021–22</w:t>
            </w:r>
          </w:p>
        </w:tc>
        <w:tc>
          <w:tcPr>
            <w:tcW w:type="dxa" w:w="1224"/>
            <w:shd w:fill="0E7C7B" w:val="clear"/>
            <w:tcMar>
              <w:top w:w="60" w:type="dxa"/>
              <w:bottom w:w="60" w:type="dxa"/>
              <w:left w:w="120" w:type="dxa"/>
              <w:right w:w="120" w:type="dxa"/>
            </w:tcMar>
            <w:vAlign w:val="center"/>
          </w:tcPr>
          <w:p>
            <w:pPr>
              <w:jc w:val="center"/>
            </w:pPr>
            <w:r>
              <w:rPr>
                <w:rFonts w:ascii="Calibri" w:hAnsi="Calibri"/>
                <w:b/>
                <w:color w:val="FFFFFF"/>
                <w:sz w:val="13"/>
              </w:rPr>
              <w:t>2023–24</w:t>
            </w:r>
          </w:p>
        </w:tc>
        <w:tc>
          <w:tcPr>
            <w:tcW w:type="dxa" w:w="1224"/>
            <w:shd w:fill="0E7C7B" w:val="clear"/>
            <w:tcMar>
              <w:top w:w="60" w:type="dxa"/>
              <w:bottom w:w="60" w:type="dxa"/>
              <w:left w:w="120" w:type="dxa"/>
              <w:right w:w="120" w:type="dxa"/>
            </w:tcMar>
            <w:vAlign w:val="center"/>
          </w:tcPr>
          <w:p>
            <w:pPr>
              <w:jc w:val="center"/>
            </w:pPr>
            <w:r>
              <w:rPr>
                <w:rFonts w:ascii="Calibri" w:hAnsi="Calibri"/>
                <w:b/>
                <w:color w:val="FFFFFF"/>
                <w:sz w:val="13"/>
              </w:rPr>
              <w:t>2024–25</w:t>
            </w:r>
          </w:p>
        </w:tc>
        <w:tc>
          <w:tcPr>
            <w:tcW w:type="dxa" w:w="3672"/>
            <w:shd w:fill="0E7C7B" w:val="clear"/>
            <w:tcMar>
              <w:top w:w="60" w:type="dxa"/>
              <w:bottom w:w="60" w:type="dxa"/>
              <w:left w:w="120" w:type="dxa"/>
              <w:right w:w="120" w:type="dxa"/>
            </w:tcMar>
            <w:vAlign w:val="center"/>
          </w:tcPr>
          <w:p>
            <w:pPr>
              <w:jc w:val="center"/>
            </w:pPr>
            <w:r>
              <w:rPr>
                <w:rFonts w:ascii="Calibri" w:hAnsi="Calibri"/>
                <w:b/>
                <w:color w:val="FFFFFF"/>
                <w:sz w:val="13"/>
              </w:rPr>
              <w:t>What shifted</w:t>
            </w:r>
          </w:p>
        </w:tc>
      </w:tr>
      <w:tr>
        <w:tc>
          <w:tcPr>
            <w:tcW w:type="dxa" w:w="2007"/>
            <w:tcMar>
              <w:top w:w="55" w:type="dxa"/>
              <w:bottom w:w="55" w:type="dxa"/>
              <w:left w:w="120" w:type="dxa"/>
              <w:right w:w="120" w:type="dxa"/>
            </w:tcMar>
            <w:vAlign w:val="center"/>
          </w:tcPr>
          <w:p>
            <w:pPr>
              <w:jc w:val="left"/>
            </w:pPr>
            <w:r>
              <w:rPr>
                <w:rFonts w:ascii="Calibri" w:hAnsi="Calibri"/>
                <w:color w:val="3A4556"/>
                <w:sz w:val="14"/>
              </w:rPr>
              <w:t>Website</w:t>
            </w:r>
          </w:p>
        </w:tc>
        <w:tc>
          <w:tcPr>
            <w:tcW w:type="dxa" w:w="2007"/>
            <w:tcMar>
              <w:top w:w="55" w:type="dxa"/>
              <w:bottom w:w="55" w:type="dxa"/>
              <w:left w:w="120" w:type="dxa"/>
              <w:right w:w="120" w:type="dxa"/>
            </w:tcMar>
            <w:vAlign w:val="center"/>
          </w:tcPr>
          <w:p>
            <w:pPr>
              <w:jc w:val="center"/>
            </w:pPr>
            <w:r>
              <w:rPr>
                <w:rFonts w:ascii="Calibri" w:hAnsi="Calibri"/>
                <w:color w:val="3A4556"/>
                <w:sz w:val="14"/>
              </w:rPr>
              <w:t>32,790</w:t>
            </w:r>
          </w:p>
        </w:tc>
        <w:tc>
          <w:tcPr>
            <w:tcW w:type="dxa" w:w="2007"/>
            <w:tcMar>
              <w:top w:w="55" w:type="dxa"/>
              <w:bottom w:w="55" w:type="dxa"/>
              <w:left w:w="120" w:type="dxa"/>
              <w:right w:w="120" w:type="dxa"/>
            </w:tcMar>
            <w:vAlign w:val="center"/>
          </w:tcPr>
          <w:p>
            <w:pPr>
              <w:jc w:val="center"/>
            </w:pPr>
            <w:r>
              <w:rPr>
                <w:rFonts w:ascii="Calibri" w:hAnsi="Calibri"/>
                <w:color w:val="3A4556"/>
                <w:sz w:val="14"/>
              </w:rPr>
              <w:t>169,401</w:t>
            </w:r>
          </w:p>
        </w:tc>
        <w:tc>
          <w:tcPr>
            <w:tcW w:type="dxa" w:w="2007"/>
            <w:tcMar>
              <w:top w:w="55" w:type="dxa"/>
              <w:bottom w:w="55" w:type="dxa"/>
              <w:left w:w="120" w:type="dxa"/>
              <w:right w:w="120" w:type="dxa"/>
            </w:tcMar>
            <w:vAlign w:val="center"/>
          </w:tcPr>
          <w:p>
            <w:pPr>
              <w:jc w:val="center"/>
            </w:pPr>
            <w:r>
              <w:rPr>
                <w:rFonts w:ascii="Calibri" w:hAnsi="Calibri"/>
                <w:color w:val="3A4556"/>
                <w:sz w:val="14"/>
              </w:rPr>
              <w:t>439,320</w:t>
            </w:r>
          </w:p>
        </w:tc>
        <w:tc>
          <w:tcPr>
            <w:tcW w:type="dxa" w:w="2007"/>
            <w:tcMar>
              <w:top w:w="55" w:type="dxa"/>
              <w:bottom w:w="55" w:type="dxa"/>
              <w:left w:w="120" w:type="dxa"/>
              <w:right w:w="120" w:type="dxa"/>
            </w:tcMar>
            <w:vAlign w:val="center"/>
          </w:tcPr>
          <w:p>
            <w:pPr>
              <w:jc w:val="center"/>
            </w:pPr>
            <w:r>
              <w:rPr>
                <w:rFonts w:ascii="Calibri" w:hAnsi="Calibri"/>
                <w:color w:val="3A4556"/>
                <w:sz w:val="14"/>
              </w:rPr>
              <w:t>Online filing grew every year; share dipped when offline programmes expanded, then recovered.</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4"/>
              </w:rPr>
              <w:t>WhatsApp / Mobile app</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15,277</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30,399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76,580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Digital access broadening beyond the website.</w:t>
            </w:r>
          </w:p>
        </w:tc>
      </w:tr>
      <w:tr>
        <w:tc>
          <w:tcPr>
            <w:tcW w:type="dxa" w:w="2007"/>
            <w:tcMar>
              <w:top w:w="55" w:type="dxa"/>
              <w:bottom w:w="55" w:type="dxa"/>
              <w:left w:w="120" w:type="dxa"/>
              <w:right w:w="120" w:type="dxa"/>
            </w:tcMar>
            <w:vAlign w:val="center"/>
          </w:tcPr>
          <w:p>
            <w:pPr>
              <w:jc w:val="left"/>
            </w:pPr>
            <w:r>
              <w:rPr>
                <w:rFonts w:ascii="Calibri" w:hAnsi="Calibri"/>
                <w:color w:val="3A4556"/>
                <w:sz w:val="14"/>
              </w:rPr>
              <w:t>Physical hearing</w:t>
            </w:r>
          </w:p>
        </w:tc>
        <w:tc>
          <w:tcPr>
            <w:tcW w:type="dxa" w:w="2007"/>
            <w:tcMar>
              <w:top w:w="55" w:type="dxa"/>
              <w:bottom w:w="55" w:type="dxa"/>
              <w:left w:w="120" w:type="dxa"/>
              <w:right w:w="120" w:type="dxa"/>
            </w:tcMar>
            <w:vAlign w:val="center"/>
          </w:tcPr>
          <w:p>
            <w:pPr>
              <w:jc w:val="center"/>
            </w:pPr>
            <w:r>
              <w:rPr>
                <w:rFonts w:ascii="Calibri" w:hAnsi="Calibri"/>
                <w:color w:val="3A4556"/>
                <w:sz w:val="14"/>
              </w:rPr>
              <w:t>11,490</w:t>
            </w:r>
          </w:p>
        </w:tc>
        <w:tc>
          <w:tcPr>
            <w:tcW w:type="dxa" w:w="2007"/>
            <w:tcMar>
              <w:top w:w="55" w:type="dxa"/>
              <w:bottom w:w="55" w:type="dxa"/>
              <w:left w:w="120" w:type="dxa"/>
              <w:right w:w="120" w:type="dxa"/>
            </w:tcMar>
            <w:vAlign w:val="center"/>
          </w:tcPr>
          <w:p>
            <w:pPr>
              <w:jc w:val="center"/>
            </w:pPr>
            <w:r>
              <w:rPr>
                <w:rFonts w:ascii="Calibri" w:hAnsi="Calibri"/>
                <w:color w:val="3A4556"/>
                <w:sz w:val="14"/>
              </w:rPr>
              <w:t>36,907</w:t>
            </w:r>
          </w:p>
        </w:tc>
        <w:tc>
          <w:tcPr>
            <w:tcW w:type="dxa" w:w="2007"/>
            <w:tcMar>
              <w:top w:w="55" w:type="dxa"/>
              <w:bottom w:w="55" w:type="dxa"/>
              <w:left w:w="120" w:type="dxa"/>
              <w:right w:w="120" w:type="dxa"/>
            </w:tcMar>
            <w:vAlign w:val="center"/>
          </w:tcPr>
          <w:p>
            <w:pPr>
              <w:jc w:val="center"/>
            </w:pPr>
            <w:r>
              <w:rPr>
                <w:rFonts w:ascii="Calibri" w:hAnsi="Calibri"/>
                <w:color w:val="3A4556"/>
                <w:sz w:val="14"/>
              </w:rPr>
              <w:t>61,926</w:t>
            </w:r>
          </w:p>
        </w:tc>
        <w:tc>
          <w:tcPr>
            <w:tcW w:type="dxa" w:w="2007"/>
            <w:tcMar>
              <w:top w:w="55" w:type="dxa"/>
              <w:bottom w:w="55" w:type="dxa"/>
              <w:left w:w="120" w:type="dxa"/>
              <w:right w:w="120" w:type="dxa"/>
            </w:tcMar>
            <w:vAlign w:val="center"/>
          </w:tcPr>
          <w:p>
            <w:pPr>
              <w:jc w:val="center"/>
            </w:pPr>
            <w:r>
              <w:rPr>
                <w:rFonts w:ascii="Calibri" w:hAnsi="Calibri"/>
                <w:color w:val="3A4556"/>
                <w:sz w:val="14"/>
              </w:rPr>
              <w:t>Expanded in 2022–23 (DC/SP hearings).</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4"/>
              </w:rPr>
              <w:t>CMO District Visit</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91,235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Appears only in 2023–24 — four mode labels that year.</w:t>
            </w:r>
          </w:p>
        </w:tc>
      </w:tr>
      <w:tr>
        <w:tc>
          <w:tcPr>
            <w:tcW w:type="dxa" w:w="2007"/>
            <w:tcMar>
              <w:top w:w="55" w:type="dxa"/>
              <w:bottom w:w="55" w:type="dxa"/>
              <w:left w:w="120" w:type="dxa"/>
              <w:right w:w="120" w:type="dxa"/>
            </w:tcMar>
            <w:vAlign w:val="center"/>
          </w:tcPr>
          <w:p>
            <w:pPr>
              <w:jc w:val="left"/>
            </w:pPr>
            <w:r>
              <w:rPr>
                <w:rFonts w:ascii="Calibri" w:hAnsi="Calibri"/>
                <w:color w:val="3A4556"/>
                <w:sz w:val="14"/>
              </w:rPr>
              <w:t>Joint Hearing</w:t>
            </w:r>
          </w:p>
        </w:tc>
        <w:tc>
          <w:tcPr>
            <w:tcW w:type="dxa" w:w="2007"/>
            <w:tcMar>
              <w:top w:w="55" w:type="dxa"/>
              <w:bottom w:w="55" w:type="dxa"/>
              <w:left w:w="120" w:type="dxa"/>
              <w:right w:w="120" w:type="dxa"/>
            </w:tcMar>
            <w:vAlign w:val="center"/>
          </w:tcPr>
          <w:p>
            <w:pPr>
              <w:jc w:val="center"/>
            </w:pPr>
            <w:r>
              <w:rPr>
                <w:rFonts w:ascii="Calibri" w:hAnsi="Calibri"/>
                <w:color w:val="3A4556"/>
                <w:sz w:val="14"/>
              </w:rPr>
              <w:t>0</w:t>
            </w:r>
          </w:p>
        </w:tc>
        <w:tc>
          <w:tcPr>
            <w:tcW w:type="dxa" w:w="2007"/>
            <w:tcMar>
              <w:top w:w="55" w:type="dxa"/>
              <w:bottom w:w="55" w:type="dxa"/>
              <w:left w:w="120" w:type="dxa"/>
              <w:right w:w="120" w:type="dxa"/>
            </w:tcMar>
            <w:vAlign w:val="center"/>
          </w:tcPr>
          <w:p>
            <w:pPr>
              <w:jc w:val="center"/>
            </w:pPr>
            <w:r>
              <w:rPr>
                <w:rFonts w:ascii="Calibri" w:hAnsi="Calibri"/>
                <w:color w:val="3A4556"/>
                <w:sz w:val="14"/>
              </w:rPr>
              <w:t>0</w:t>
            </w:r>
          </w:p>
        </w:tc>
        <w:tc>
          <w:tcPr>
            <w:tcW w:type="dxa" w:w="2007"/>
            <w:tcMar>
              <w:top w:w="55" w:type="dxa"/>
              <w:bottom w:w="55" w:type="dxa"/>
              <w:left w:w="120" w:type="dxa"/>
              <w:right w:w="120" w:type="dxa"/>
            </w:tcMar>
            <w:vAlign w:val="center"/>
          </w:tcPr>
          <w:p>
            <w:pPr>
              <w:jc w:val="center"/>
            </w:pPr>
            <w:r>
              <w:rPr>
                <w:rFonts w:ascii="Calibri" w:hAnsi="Calibri"/>
                <w:color w:val="3A4556"/>
                <w:sz w:val="14"/>
              </w:rPr>
              <w:t>44,788</w:t>
            </w:r>
          </w:p>
        </w:tc>
        <w:tc>
          <w:tcPr>
            <w:tcW w:type="dxa" w:w="2007"/>
            <w:tcMar>
              <w:top w:w="55" w:type="dxa"/>
              <w:bottom w:w="55" w:type="dxa"/>
              <w:left w:w="120" w:type="dxa"/>
              <w:right w:w="120" w:type="dxa"/>
            </w:tcMar>
            <w:vAlign w:val="center"/>
          </w:tcPr>
          <w:p>
            <w:pPr>
              <w:jc w:val="center"/>
            </w:pPr>
            <w:r>
              <w:rPr>
                <w:rFonts w:ascii="Calibri" w:hAnsi="Calibri"/>
                <w:color w:val="3A4556"/>
                <w:sz w:val="14"/>
              </w:rPr>
              <w:t>New in 2024–25 — replaces CMO Visit as the offline driver.</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4"/>
              </w:rPr>
              <w:t>Online share</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79%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59%* (80% excl. CMO Visit)</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79%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4"/>
              </w:rPr>
              <w:t>Headline online/offline share is driven by programme expansion, not a reversal in citizen preference.</w:t>
            </w:r>
          </w:p>
        </w:tc>
      </w:tr>
    </w:tbl>
    <w:p>
      <w:pPr>
        <w:spacing w:before="160"/>
        <w:pBdr>
          <w:bottom w:val="single" w:sz="2.4" w:space="1" w:color="0E7C7B"/>
        </w:pBdr>
      </w:pPr>
      <w:r>
        <w:rPr>
          <w:rFonts w:ascii="Calibri" w:hAnsi="Calibri"/>
          <w:b/>
          <w:color w:val="0E7C7B"/>
          <w:sz w:val="14"/>
        </w:rPr>
        <w:t>2  —  WHAT WE BUILT</w:t>
      </w:r>
    </w:p>
    <w:p>
      <w:pPr>
        <w:pStyle w:val="Heading1"/>
      </w:pPr>
      <w:r>
        <w:t>The same workflow, now machine-readable — and governable</w:t>
      </w:r>
    </w:p>
    <w:p>
      <w:pPr>
        <w:spacing w:after="80" w:before="0"/>
        <w:jc w:val="left"/>
      </w:pPr>
      <w:r>
        <w:rPr>
          <w:rFonts w:ascii="Calibri" w:hAnsi="Calibri"/>
          <w:b w:val="0"/>
          <w:i w:val="0"/>
          <w:color w:val="3A4556"/>
          <w:sz w:val="17"/>
        </w:rPr>
        <w:t>We rebuilt the grievance workflow as a sequence of governed, measurable steps. The intended path extracts, redacts, triages, classifies, summarises and routes a filing, with a supervisor intelligence layer over governed redacted text. Most production inference is designed to remain on DPIC-controlled infrastructure. Sarvam is declared, audited and revocable with a local fallback; separately, a privacy-screened redacted sample was sent through hosted Codex for one-time development adjudication, not production.</w:t>
      </w:r>
    </w:p>
    <w:tbl>
      <w:tblPr>
        <w:tblW w:type="auto" w:w="0"/>
        <w:jc w:val="center"/>
        <w:tblLayout w:type="fixed"/>
        <w:tblLook w:firstColumn="1" w:firstRow="1" w:lastColumn="0" w:lastRow="0" w:noHBand="0" w:noVBand="1" w:val="04A0"/>
        <w:tblBorders>
          <w:top w:val="single" w:sz="3" w:space="0" w:color="FFFFFF"/>
          <w:left w:val="single" w:sz="3" w:space="0" w:color="FFFFFF"/>
          <w:bottom w:val="single" w:sz="3" w:space="0" w:color="FFFFFF"/>
          <w:right w:val="single" w:sz="3" w:space="0" w:color="FFFFFF"/>
          <w:insideH w:val="single" w:sz="3" w:space="0" w:color="FFFFFF"/>
          <w:insideV w:val="single" w:sz="3" w:space="0" w:color="FFFFFF"/>
        </w:tblBorders>
      </w:tblPr>
      <w:tblGrid>
        <w:gridCol w:w="1434"/>
        <w:gridCol w:w="1434"/>
        <w:gridCol w:w="1434"/>
        <w:gridCol w:w="1434"/>
        <w:gridCol w:w="1434"/>
        <w:gridCol w:w="1434"/>
        <w:gridCol w:w="1434"/>
      </w:tblGrid>
      <w:tr>
        <w:tc>
          <w:tcPr>
            <w:tcW w:type="dxa" w:w="1368"/>
            <w:shd w:fill="0F2847" w:val="clear"/>
            <w:tcMar>
              <w:top w:w="60" w:type="dxa"/>
              <w:bottom w:w="60" w:type="dxa"/>
              <w:left w:w="40" w:type="dxa"/>
              <w:right w:w="40" w:type="dxa"/>
            </w:tcMar>
            <w:vAlign w:val="center"/>
          </w:tcPr>
          <w:p>
            <w:pPr>
              <w:spacing w:after="40"/>
              <w:jc w:val="center"/>
            </w:pPr>
            <w:r>
              <w:rPr>
                <w:rFonts w:ascii="Calibri" w:hAnsi="Calibri"/>
                <w:b/>
                <w:color w:val="FFFFFF"/>
                <w:sz w:val="13"/>
              </w:rPr>
              <w:t>1</w:t>
              <w:br/>
              <w:t>EXTRACT</w:t>
            </w:r>
          </w:p>
          <w:p>
            <w:pPr>
              <w:spacing w:after="20"/>
              <w:jc w:val="center"/>
            </w:pPr>
            <w:r>
              <w:rPr>
                <w:rFonts w:ascii="Calibri" w:hAnsi="Calibri"/>
                <w:color w:val="FFFFFF"/>
                <w:sz w:val="12"/>
              </w:rPr>
              <w:t>Scan → text</w:t>
              <w:br/>
              <w:t>OCR</w:t>
              <w:br/>
              <w:t>pytesseract /</w:t>
              <w:br/>
              <w:t>DeepSeek-OCR</w:t>
            </w:r>
          </w:p>
        </w:tc>
        <w:tc>
          <w:tcPr>
            <w:tcW w:type="dxa" w:w="1368"/>
            <w:shd w:fill="0E7C7B" w:val="clear"/>
            <w:tcMar>
              <w:top w:w="60" w:type="dxa"/>
              <w:bottom w:w="60" w:type="dxa"/>
              <w:left w:w="40" w:type="dxa"/>
              <w:right w:w="40" w:type="dxa"/>
            </w:tcMar>
            <w:vAlign w:val="center"/>
          </w:tcPr>
          <w:p>
            <w:pPr>
              <w:spacing w:after="40"/>
              <w:jc w:val="center"/>
            </w:pPr>
            <w:r>
              <w:rPr>
                <w:rFonts w:ascii="Calibri" w:hAnsi="Calibri"/>
                <w:b/>
                <w:color w:val="FFFFFF"/>
                <w:sz w:val="13"/>
              </w:rPr>
              <w:t>2</w:t>
              <w:br/>
              <w:t>REDACT</w:t>
            </w:r>
          </w:p>
          <w:p>
            <w:pPr>
              <w:spacing w:after="20"/>
              <w:jc w:val="center"/>
            </w:pPr>
            <w:r>
              <w:rPr>
                <w:rFonts w:ascii="Calibri" w:hAnsi="Calibri"/>
                <w:color w:val="FFFFFF"/>
                <w:sz w:val="12"/>
              </w:rPr>
              <w:t>Remove PII</w:t>
              <w:br/>
              <w:t>Presidio</w:t>
              <w:br/>
              <w:t>PHONE/AADHAAR</w:t>
              <w:br/>
              <w:t>PAN/EMAIL/NAME</w:t>
            </w:r>
          </w:p>
        </w:tc>
        <w:tc>
          <w:tcPr>
            <w:tcW w:type="dxa" w:w="1368"/>
            <w:shd w:fill="B88A1E" w:val="clear"/>
            <w:tcMar>
              <w:top w:w="60" w:type="dxa"/>
              <w:bottom w:w="60" w:type="dxa"/>
              <w:left w:w="40" w:type="dxa"/>
              <w:right w:w="40" w:type="dxa"/>
            </w:tcMar>
            <w:vAlign w:val="center"/>
          </w:tcPr>
          <w:p>
            <w:pPr>
              <w:spacing w:after="40"/>
              <w:jc w:val="center"/>
            </w:pPr>
            <w:r>
              <w:rPr>
                <w:rFonts w:ascii="Calibri" w:hAnsi="Calibri"/>
                <w:b/>
                <w:color w:val="FFFFFF"/>
                <w:sz w:val="13"/>
              </w:rPr>
              <w:t>3</w:t>
              <w:br/>
              <w:t>TRIAGE</w:t>
            </w:r>
          </w:p>
          <w:p>
            <w:pPr>
              <w:spacing w:after="20"/>
              <w:jc w:val="center"/>
            </w:pPr>
            <w:r>
              <w:rPr>
                <w:rFonts w:ascii="Calibri" w:hAnsi="Calibri"/>
                <w:color w:val="FFFFFF"/>
                <w:sz w:val="12"/>
              </w:rPr>
              <w:t>Spam &amp; duplicate</w:t>
              <w:br/>
              <w:t>advisory only</w:t>
              <w:br/>
              <w:t>never blocks</w:t>
              <w:br/>
              <w:t>score + groups</w:t>
            </w:r>
          </w:p>
        </w:tc>
        <w:tc>
          <w:tcPr>
            <w:tcW w:type="dxa" w:w="1368"/>
            <w:shd w:fill="0F2847" w:val="clear"/>
            <w:tcMar>
              <w:top w:w="60" w:type="dxa"/>
              <w:bottom w:w="60" w:type="dxa"/>
              <w:left w:w="40" w:type="dxa"/>
              <w:right w:w="40" w:type="dxa"/>
            </w:tcMar>
            <w:vAlign w:val="center"/>
          </w:tcPr>
          <w:p>
            <w:pPr>
              <w:spacing w:after="40"/>
              <w:jc w:val="center"/>
            </w:pPr>
            <w:r>
              <w:rPr>
                <w:rFonts w:ascii="Calibri" w:hAnsi="Calibri"/>
                <w:b/>
                <w:color w:val="FFFFFF"/>
                <w:sz w:val="13"/>
              </w:rPr>
              <w:t>4</w:t>
              <w:br/>
              <w:t>CLASSIFY</w:t>
            </w:r>
          </w:p>
          <w:p>
            <w:pPr>
              <w:spacing w:after="20"/>
              <w:jc w:val="center"/>
            </w:pPr>
            <w:r>
              <w:rPr>
                <w:rFonts w:ascii="Calibri" w:hAnsi="Calibri"/>
                <w:color w:val="FFFFFF"/>
                <w:sz w:val="12"/>
              </w:rPr>
              <w:t>Category</w:t>
              <w:br/>
              <w:t>MuRIL + rules</w:t>
              <w:br/>
              <w:t>11 categories</w:t>
              <w:br/>
              <w:t>per-class report</w:t>
            </w:r>
          </w:p>
        </w:tc>
        <w:tc>
          <w:tcPr>
            <w:tcW w:type="dxa" w:w="1368"/>
            <w:shd w:fill="0E7C7B" w:val="clear"/>
            <w:tcMar>
              <w:top w:w="60" w:type="dxa"/>
              <w:bottom w:w="60" w:type="dxa"/>
              <w:left w:w="40" w:type="dxa"/>
              <w:right w:w="40" w:type="dxa"/>
            </w:tcMar>
            <w:vAlign w:val="center"/>
          </w:tcPr>
          <w:p>
            <w:pPr>
              <w:spacing w:after="40"/>
              <w:jc w:val="center"/>
            </w:pPr>
            <w:r>
              <w:rPr>
                <w:rFonts w:ascii="Calibri" w:hAnsi="Calibri"/>
                <w:b/>
                <w:color w:val="FFFFFF"/>
                <w:sz w:val="13"/>
              </w:rPr>
              <w:t>5</w:t>
              <w:br/>
              <w:t>SUMMARISE</w:t>
            </w:r>
          </w:p>
          <w:p>
            <w:pPr>
              <w:spacing w:after="20"/>
              <w:jc w:val="center"/>
            </w:pPr>
            <w:r>
              <w:rPr>
                <w:rFonts w:ascii="Calibri" w:hAnsi="Calibri"/>
                <w:color w:val="FFFFFF"/>
                <w:sz w:val="12"/>
              </w:rPr>
              <w:t>BART</w:t>
              <w:br/>
              <w:t>only letters/</w:t>
              <w:br/>
              <w:t>text pages</w:t>
              <w:br/>
              <w:t>1.9/3 useful</w:t>
            </w:r>
          </w:p>
        </w:tc>
        <w:tc>
          <w:tcPr>
            <w:tcW w:type="dxa" w:w="1368"/>
            <w:shd w:fill="0F2847" w:val="clear"/>
            <w:tcMar>
              <w:top w:w="60" w:type="dxa"/>
              <w:bottom w:w="60" w:type="dxa"/>
              <w:left w:w="40" w:type="dxa"/>
              <w:right w:w="40" w:type="dxa"/>
            </w:tcMar>
            <w:vAlign w:val="center"/>
          </w:tcPr>
          <w:p>
            <w:pPr>
              <w:spacing w:after="40"/>
              <w:jc w:val="center"/>
            </w:pPr>
            <w:r>
              <w:rPr>
                <w:rFonts w:ascii="Calibri" w:hAnsi="Calibri"/>
                <w:b/>
                <w:color w:val="FFFFFF"/>
                <w:sz w:val="13"/>
              </w:rPr>
              <w:t>6</w:t>
              <w:br/>
              <w:t>ROUTE</w:t>
            </w:r>
          </w:p>
          <w:p>
            <w:pPr>
              <w:spacing w:after="20"/>
              <w:jc w:val="center"/>
            </w:pPr>
            <w:r>
              <w:rPr>
                <w:rFonts w:ascii="Calibri" w:hAnsi="Calibri"/>
                <w:color w:val="FFFFFF"/>
                <w:sz w:val="12"/>
              </w:rPr>
              <w:t>Learned</w:t>
              <w:br/>
              <w:t>crosswalk</w:t>
              <w:br/>
              <w:t>+ rules</w:t>
              <w:br/>
              <w:t>learned→rules→</w:t>
              <w:br/>
              <w:t>fallback</w:t>
            </w:r>
          </w:p>
        </w:tc>
        <w:tc>
          <w:tcPr>
            <w:tcW w:type="dxa" w:w="1368"/>
            <w:shd w:fill="B88A1E" w:val="clear"/>
            <w:tcMar>
              <w:top w:w="60" w:type="dxa"/>
              <w:bottom w:w="60" w:type="dxa"/>
              <w:left w:w="40" w:type="dxa"/>
              <w:right w:w="40" w:type="dxa"/>
            </w:tcMar>
            <w:vAlign w:val="center"/>
          </w:tcPr>
          <w:p>
            <w:pPr>
              <w:spacing w:after="40"/>
              <w:jc w:val="center"/>
            </w:pPr>
            <w:r>
              <w:rPr>
                <w:rFonts w:ascii="Calibri" w:hAnsi="Calibri"/>
                <w:b/>
                <w:color w:val="FFFFFF"/>
                <w:sz w:val="13"/>
              </w:rPr>
              <w:t>7</w:t>
              <w:br/>
              <w:t>INTELLIGENCE</w:t>
            </w:r>
          </w:p>
          <w:p>
            <w:pPr>
              <w:spacing w:after="20"/>
              <w:jc w:val="center"/>
            </w:pPr>
            <w:r>
              <w:rPr>
                <w:rFonts w:ascii="Calibri" w:hAnsi="Calibri"/>
                <w:color w:val="FFFFFF"/>
                <w:sz w:val="12"/>
              </w:rPr>
              <w:t>Hotspots</w:t>
              <w:br/>
              <w:t>Spikes (3 nos)</w:t>
              <w:br/>
              <w:t>Workload</w:t>
              <w:br/>
              <w:t>Who complains</w:t>
            </w:r>
          </w:p>
        </w:tc>
      </w:tr>
    </w:tbl>
    <w:p>
      <w:pPr>
        <w:pStyle w:val="Caption"/>
        <w:spacing w:before="40" w:after="200"/>
        <w:jc w:val="center"/>
      </w:pPr>
      <w:r>
        <w:rPr>
          <w:rFonts w:ascii="Calibri" w:hAnsi="Calibri"/>
          <w:i/>
          <w:color w:val="6B7280"/>
          <w:sz w:val="14"/>
        </w:rPr>
        <w:t>Figure 1 — The seven functional steps. Steps 1–6 are implemented per-grievance stages, but the full scanned browser/model path is not yet verified; step 7 is corpus-level and some dedup-backed views still require integration. The triage contract is advisory and must never change submission status.</w:t>
      </w:r>
    </w:p>
    <w:tbl>
      <w:tblPr>
        <w:tblW w:type="auto" w:w="0"/>
        <w:jc w:val="center"/>
        <w:tblLayout w:type="fixed"/>
        <w:tblLook w:firstColumn="1" w:firstRow="1" w:lastColumn="0" w:lastRow="0" w:noHBand="0" w:noVBand="1" w:val="04A0"/>
        <w:tblBorders>
          <w:top w:val="single" w:sz="3" w:space="0" w:color="FFFFFF"/>
          <w:left w:val="single" w:sz="3" w:space="0" w:color="FFFFFF"/>
          <w:bottom w:val="single" w:sz="3" w:space="0" w:color="FFFFFF"/>
          <w:right w:val="single" w:sz="3" w:space="0" w:color="FFFFFF"/>
          <w:insideH w:val="single" w:sz="3" w:space="0" w:color="FFFFFF"/>
          <w:insideV w:val="single" w:sz="3" w:space="0" w:color="FFFFFF"/>
        </w:tblBorders>
      </w:tblPr>
      <w:tblGrid>
        <w:gridCol w:w="5018"/>
        <w:gridCol w:w="5018"/>
      </w:tblGrid>
      <w:tr>
        <w:tc>
          <w:tcPr>
            <w:tcW w:type="dxa" w:w="4824"/>
            <w:shd w:fill="F8FAFC" w:val="clear"/>
            <w:tcBorders>
              <w:top w:val="single" w:sz="3" w:space="0" w:color="E5E7EB"/>
              <w:left w:val="single" w:sz="3" w:space="0" w:color="E5E7EB"/>
              <w:bottom w:val="single" w:sz="3" w:space="0" w:color="E5E7EB"/>
              <w:right w:val="single" w:sz="3" w:space="0" w:color="E5E7EB"/>
            </w:tcBorders>
            <w:tcMar>
              <w:top w:w="80" w:type="dxa"/>
              <w:bottom w:w="80" w:type="dxa"/>
              <w:left w:w="100" w:type="dxa"/>
              <w:right w:w="100" w:type="dxa"/>
            </w:tcMar>
          </w:tcPr>
          <w:p>
            <w:pPr>
              <w:jc w:val="left"/>
            </w:pPr>
            <w:r>
              <w:rPr>
                <w:rFonts w:ascii="Calibri" w:hAnsi="Calibri"/>
                <w:b/>
                <w:color w:val="0F2847"/>
                <w:sz w:val="15"/>
              </w:rPr>
              <w:t>Live vs history — by design</w:t>
            </w:r>
          </w:p>
          <w:p>
            <w:r>
              <w:rPr>
                <w:rFonts w:ascii="Calibri" w:hAnsi="Calibri"/>
                <w:color w:val="3A4556"/>
                <w:sz w:val="14"/>
              </w:rPr>
              <w:t>A grievance you submit appears on its own page immediately (OLTP, Postgres). It appears in the browse/history list only after the next materialisation into the Parquet lake — a deliberate freshness gap. Demo history median 0.13 s over 1.37M rows.</w:t>
            </w:r>
          </w:p>
        </w:tc>
        <w:tc>
          <w:tcPr>
            <w:tcW w:type="dxa" w:w="4824"/>
            <w:shd w:fill="F8FAFC" w:val="clear"/>
            <w:tcBorders>
              <w:top w:val="single" w:sz="3" w:space="0" w:color="E5E7EB"/>
              <w:left w:val="single" w:sz="3" w:space="0" w:color="E5E7EB"/>
              <w:bottom w:val="single" w:sz="3" w:space="0" w:color="E5E7EB"/>
              <w:right w:val="single" w:sz="3" w:space="0" w:color="E5E7EB"/>
            </w:tcBorders>
            <w:tcMar>
              <w:top w:w="80" w:type="dxa"/>
              <w:bottom w:w="80" w:type="dxa"/>
              <w:left w:w="100" w:type="dxa"/>
              <w:right w:w="100" w:type="dxa"/>
            </w:tcMar>
          </w:tcPr>
          <w:p>
            <w:pPr>
              <w:jc w:val="left"/>
            </w:pPr>
            <w:r>
              <w:rPr>
                <w:rFonts w:ascii="Calibri" w:hAnsi="Calibri"/>
                <w:b/>
                <w:color w:val="0F2847"/>
                <w:sz w:val="15"/>
              </w:rPr>
              <w:t>Three storage layers, on purpose</w:t>
            </w:r>
          </w:p>
          <w:p>
            <w:r>
              <w:rPr>
                <w:rFonts w:ascii="Calibri" w:hAnsi="Calibri"/>
                <w:color w:val="3A4556"/>
                <w:sz w:val="14"/>
              </w:rPr>
              <w:t>OLTP (system of record) → Parquet lake (read-optimised, DuckDB/Polars) → pipeline artifact DB (per-run, resumable). The demo’s history and all analytics read the lake, never OLTP. Dedup index is the first corpus-level stage that breaks “per-run needs no state beyond its artifact DB”.</w:t>
            </w:r>
          </w:p>
        </w:tc>
      </w:tr>
    </w:tbl>
    <w:p>
      <w:pPr>
        <w:spacing w:after="80" w:before="80"/>
        <w:jc w:val="left"/>
      </w:pPr>
      <w:r>
        <w:rPr>
          <w:rFonts w:ascii="Calibri" w:hAnsi="Calibri"/>
          <w:b w:val="0"/>
          <w:i/>
          <w:color w:val="6B7280"/>
          <w:sz w:val="14"/>
        </w:rPr>
        <w:t>Trust boundary (plain language). Three tiers: same-host (Presidio, MuRIL, BART on the calling machine), dpic-infra (S3 documents, Postgres on the CPU box, GPU-box models — different machine, still DPIC-controlled), and authorised-external (Sarvam hosted API — third party, under a written MoU signed by the Principal/Additional Chief Secretary, IT Department). Exactly one module may make the external call; every such call is logged (ticket, stage, provider, model ID, bytes, time, authorisation ref); a kill-switch reverts to a local counterpart. Raw page text never leaves DPIC infra un-redacted by default.</w:t>
      </w:r>
    </w:p>
    <w:p>
      <w:pPr>
        <w:spacing w:before="160"/>
        <w:pBdr>
          <w:bottom w:val="single" w:sz="2.4" w:space="1" w:color="0E7C7B"/>
        </w:pBdr>
      </w:pPr>
      <w:r>
        <w:rPr>
          <w:rFonts w:ascii="Calibri" w:hAnsi="Calibri"/>
          <w:b/>
          <w:color w:val="0E7C7B"/>
          <w:sz w:val="14"/>
        </w:rPr>
        <w:t>3  —  DOCUMENT PROCESSING: FASTER AND MORE RELIABLE</w:t>
      </w:r>
    </w:p>
    <w:p>
      <w:pPr>
        <w:pStyle w:val="Heading1"/>
      </w:pPr>
      <w:r>
        <w:t>Faster and more reliable — what “automation” means for a scanned grievance</w:t>
      </w:r>
    </w:p>
    <w:p>
      <w:pPr>
        <w:spacing w:after="80" w:before="0"/>
        <w:jc w:val="left"/>
      </w:pPr>
      <w:r>
        <w:rPr>
          <w:rFonts w:ascii="Calibri" w:hAnsi="Calibri"/>
          <w:b w:val="0"/>
          <w:i w:val="0"/>
          <w:color w:val="3A4556"/>
          <w:sz w:val="17"/>
        </w:rPr>
        <w:t>The DSI Clinic built the first open-source pipeline on a 100,000-complaint sample (2025) — English-only, five stages, on an A100 GPU. We implemented six local stages plus triage, replaced the unrecoverable PII model with a Presidio rebuild, and added quality guards and typed API contracts. This is not yet a verified production deployment: one-pass integration, live interface wiring and AWS activation remain outstanding. Baselines below are historical reference, not thresholds.</w:t>
      </w:r>
    </w:p>
    <w:p>
      <w:r>
        <w:drawing>
          <wp:inline xmlns:a="http://schemas.openxmlformats.org/drawingml/2006/main" xmlns:pic="http://schemas.openxmlformats.org/drawingml/2006/picture">
            <wp:extent cx="6355080" cy="2230085"/>
            <wp:docPr id="1" name="Picture 1"/>
            <wp:cNvGraphicFramePr>
              <a:graphicFrameLocks noChangeAspect="1"/>
            </wp:cNvGraphicFramePr>
            <a:graphic>
              <a:graphicData uri="http://schemas.openxmlformats.org/drawingml/2006/picture">
                <pic:pic>
                  <pic:nvPicPr>
                    <pic:cNvPr id="0" name="fig_time_comparison.png"/>
                    <pic:cNvPicPr/>
                  </pic:nvPicPr>
                  <pic:blipFill>
                    <a:blip r:embed="rId10"/>
                    <a:stretch>
                      <a:fillRect/>
                    </a:stretch>
                  </pic:blipFill>
                  <pic:spPr>
                    <a:xfrm>
                      <a:off x="0" y="0"/>
                      <a:ext cx="6355080" cy="2230085"/>
                    </a:xfrm>
                    <a:prstGeom prst="rect"/>
                  </pic:spPr>
                </pic:pic>
              </a:graphicData>
            </a:graphic>
          </wp:inline>
        </w:drawing>
      </w:r>
    </w:p>
    <w:p>
      <w:pPr>
        <w:pStyle w:val="Caption"/>
        <w:spacing w:before="40" w:after="200"/>
        <w:jc w:val="center"/>
      </w:pPr>
      <w:r>
        <w:rPr>
          <w:rFonts w:ascii="Calibri" w:hAnsi="Calibri"/>
          <w:i/>
          <w:color w:val="6B7280"/>
          <w:sz w:val="14"/>
        </w:rPr>
        <w:t>Figure 2 — Two different clocks. The 1.7-day median is the observed administrative interval to first forward among about 30,000 forwarded complaints. In the CPU development harness, warm typed grievances had p50 0.133 s (n=40) and PDFs had p50 13.661 s (n=20). Technical processing speed is not officer time saved; that requires exposure logging and a controlled rollout.</w:t>
      </w:r>
    </w:p>
    <w:p>
      <w:pPr>
        <w:spacing w:after="60" w:before="80"/>
        <w:jc w:val="left"/>
      </w:pPr>
      <w:r>
        <w:rPr>
          <w:rFonts w:ascii="Calibri" w:hAnsi="Calibri"/>
          <w:b/>
          <w:i w:val="0"/>
          <w:color w:val="0F2847"/>
          <w:sz w:val="17"/>
        </w:rPr>
        <w:t>Stage by stage — before, after, and what it means:</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c>
          <w:tcPr>
            <w:tcW w:type="dxa" w:w="1800"/>
            <w:shd w:fill="0F2847" w:val="clear"/>
            <w:tcMar>
              <w:top w:w="60" w:type="dxa"/>
              <w:bottom w:w="60" w:type="dxa"/>
              <w:left w:w="120" w:type="dxa"/>
              <w:right w:w="120" w:type="dxa"/>
            </w:tcMar>
            <w:vAlign w:val="center"/>
          </w:tcPr>
          <w:p>
            <w:pPr>
              <w:jc w:val="center"/>
            </w:pPr>
            <w:r>
              <w:rPr>
                <w:rFonts w:ascii="Calibri" w:hAnsi="Calibri"/>
                <w:b/>
                <w:color w:val="FFFFFF"/>
                <w:sz w:val="12"/>
              </w:rPr>
              <w:t>Stage (what it does)</w:t>
            </w:r>
          </w:p>
        </w:tc>
        <w:tc>
          <w:tcPr>
            <w:tcW w:type="dxa" w:w="2808"/>
            <w:shd w:fill="0F2847" w:val="clear"/>
            <w:tcMar>
              <w:top w:w="60" w:type="dxa"/>
              <w:bottom w:w="60" w:type="dxa"/>
              <w:left w:w="120" w:type="dxa"/>
              <w:right w:w="120" w:type="dxa"/>
            </w:tcMar>
            <w:vAlign w:val="center"/>
          </w:tcPr>
          <w:p>
            <w:pPr>
              <w:jc w:val="center"/>
            </w:pPr>
            <w:r>
              <w:rPr>
                <w:rFonts w:ascii="Calibri" w:hAnsi="Calibri"/>
                <w:b/>
                <w:color w:val="FFFFFF"/>
                <w:sz w:val="12"/>
              </w:rPr>
              <w:t>Before  — DSI baseline (2025)</w:t>
              <w:br/>
              <w:t>Reference only</w:t>
            </w:r>
          </w:p>
        </w:tc>
        <w:tc>
          <w:tcPr>
            <w:tcW w:type="dxa" w:w="2808"/>
            <w:shd w:fill="0F2847" w:val="clear"/>
            <w:tcMar>
              <w:top w:w="60" w:type="dxa"/>
              <w:bottom w:w="60" w:type="dxa"/>
              <w:left w:w="120" w:type="dxa"/>
              <w:right w:w="120" w:type="dxa"/>
            </w:tcMar>
            <w:vAlign w:val="center"/>
          </w:tcPr>
          <w:p>
            <w:pPr>
              <w:jc w:val="center"/>
            </w:pPr>
            <w:r>
              <w:rPr>
                <w:rFonts w:ascii="Calibri" w:hAnsi="Calibri"/>
                <w:b/>
                <w:color w:val="FFFFFF"/>
                <w:sz w:val="12"/>
              </w:rPr>
              <w:t>After  — Janasunani 2.0 (Aug 2026)</w:t>
              <w:br/>
              <w:t>Measured</w:t>
            </w:r>
          </w:p>
        </w:tc>
        <w:tc>
          <w:tcPr>
            <w:tcW w:type="dxa" w:w="2664"/>
            <w:shd w:fill="0F2847" w:val="clear"/>
            <w:tcMar>
              <w:top w:w="60" w:type="dxa"/>
              <w:bottom w:w="60" w:type="dxa"/>
              <w:left w:w="120" w:type="dxa"/>
              <w:right w:w="120" w:type="dxa"/>
            </w:tcMar>
            <w:vAlign w:val="center"/>
          </w:tcPr>
          <w:p>
            <w:pPr>
              <w:jc w:val="center"/>
            </w:pPr>
            <w:r>
              <w:rPr>
                <w:rFonts w:ascii="Calibri" w:hAnsi="Calibri"/>
                <w:b/>
                <w:color w:val="FFFFFF"/>
                <w:sz w:val="12"/>
              </w:rPr>
              <w:t>In plain language</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Format &amp; language</w:t>
              <w:br/>
              <w:t>triage</w:t>
              <w:br/>
              <w:t>(decide what to process)</w:t>
            </w:r>
          </w:p>
        </w:tc>
        <w:tc>
          <w:tcPr>
            <w:tcW w:type="dxa" w:w="2509"/>
            <w:tcMar>
              <w:top w:w="55" w:type="dxa"/>
              <w:bottom w:w="55" w:type="dxa"/>
              <w:left w:w="120" w:type="dxa"/>
              <w:right w:w="120" w:type="dxa"/>
            </w:tcMar>
            <w:vAlign w:val="center"/>
          </w:tcPr>
          <w:p>
            <w:pPr>
              <w:jc w:val="center"/>
            </w:pPr>
            <w:r>
              <w:rPr>
                <w:rFonts w:ascii="Calibri" w:hAnsi="Calibri"/>
                <w:color w:val="3A4556"/>
                <w:sz w:val="13"/>
              </w:rPr>
              <w:t>XGBoost + OpenCV + SMOTE:</w:t>
              <w:br/>
              <w:t>75.7% avg accuracy</w:t>
              <w:br/>
              <w:t>(best 82.0%, macro-prec 72.9%)</w:t>
              <w:br/>
              <w:t>on 1,000 hand-labelled pages</w:t>
            </w:r>
          </w:p>
        </w:tc>
        <w:tc>
          <w:tcPr>
            <w:tcW w:type="dxa" w:w="2509"/>
            <w:tcMar>
              <w:top w:w="55" w:type="dxa"/>
              <w:bottom w:w="55" w:type="dxa"/>
              <w:left w:w="120" w:type="dxa"/>
              <w:right w:w="120" w:type="dxa"/>
            </w:tcMar>
            <w:vAlign w:val="center"/>
          </w:tcPr>
          <w:p>
            <w:pPr>
              <w:jc w:val="center"/>
            </w:pPr>
            <w:r>
              <w:rPr>
                <w:rFonts w:ascii="Calibri" w:hAnsi="Calibri"/>
                <w:color w:val="3A4556"/>
                <w:sz w:val="13"/>
              </w:rPr>
              <w:t>Same XGBoost model via DVC mirror; now the gate that saves compute — photos, blank pages, and low-information scans (€photographs, unreadable) are routed away before OCR.</w:t>
            </w:r>
          </w:p>
        </w:tc>
        <w:tc>
          <w:tcPr>
            <w:tcW w:type="dxa" w:w="2509"/>
            <w:tcMar>
              <w:top w:w="55" w:type="dxa"/>
              <w:bottom w:w="55" w:type="dxa"/>
              <w:left w:w="120" w:type="dxa"/>
              <w:right w:w="120" w:type="dxa"/>
            </w:tcMar>
            <w:vAlign w:val="center"/>
          </w:tcPr>
          <w:p>
            <w:pPr>
              <w:jc w:val="center"/>
            </w:pPr>
            <w:r>
              <w:rPr>
                <w:rFonts w:ascii="Calibri" w:hAnsi="Calibri"/>
                <w:color w:val="3A4556"/>
                <w:sz w:val="13"/>
              </w:rPr>
              <w:t>Prevents spending expensive OCR/PII/summarisation on pages that should be skipped. Early triage is also a cost control.</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Text extraction (OCR)</w:t>
              <w:br/>
              <w:t>(scan → readable text)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DeepSeek-OCR:</w:t>
              <w:br/>
              <w:t>77.89% pass all 3 heuristic gates</w:t>
              <w:br/>
              <w:t>(word-count ≥20 85.5% / alpha ≥0.5 84.0% / trigram ≤0.25 91.1%)</w:t>
              <w:br/>
              <w:t>on 96,469 English pages.</w:t>
              <w:br/>
              <w:t>No ground-truth transcription.</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Two backends:</w:t>
              <w:br/>
              <w:t>• pytesseract (CPU, needs tesseract + ori traineddata)</w:t>
              <w:br/>
              <w:t>• DeepSeek-OCR (GPU, run locally).</w:t>
              <w:br/>
              <w:t>New guard: repetition-collapse detector (trigram share &gt;0.5, 20-word floor) generalises DSI’s single-word-loop rule; collapsed pages go to unreadable_pages, not downstream.</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About 77.9% of historical English pages passed three plausibility heuristics. Without hand transcription, that is not evidence that four in five pages were read correctly. Pages that fail the repetition guard are quarantined for review; OCR accuracy remains unmeasured.</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PII redaction</w:t>
              <w:br/>
              <w:t>(remove personal information</w:t>
              <w:br/>
              <w:t>before any analysis)</w:t>
            </w:r>
          </w:p>
        </w:tc>
        <w:tc>
          <w:tcPr>
            <w:tcW w:type="dxa" w:w="2509"/>
            <w:tcMar>
              <w:top w:w="55" w:type="dxa"/>
              <w:bottom w:w="55" w:type="dxa"/>
              <w:left w:w="120" w:type="dxa"/>
              <w:right w:w="120" w:type="dxa"/>
            </w:tcMar>
            <w:vAlign w:val="center"/>
          </w:tcPr>
          <w:p>
            <w:pPr>
              <w:jc w:val="center"/>
            </w:pPr>
            <w:r>
              <w:rPr>
                <w:rFonts w:ascii="Calibri" w:hAnsi="Calibri"/>
                <w:color w:val="3A4556"/>
                <w:sz w:val="13"/>
              </w:rPr>
              <w:t>RoBERTa BIO token classifier</w:t>
              <w:br/>
              <w:t>on 106 sentences / 2,126 tokens:</w:t>
              <w:br/>
              <w:t>80.56% any-overlap (typed-untyped)</w:t>
              <w:br/>
              <w:t>50.00% exact-span</w:t>
              <w:br/>
              <w:t>(B-PII F1 0.929, I-PII 0.730)</w:t>
            </w:r>
          </w:p>
        </w:tc>
        <w:tc>
          <w:tcPr>
            <w:tcW w:type="dxa" w:w="2509"/>
            <w:tcMar>
              <w:top w:w="55" w:type="dxa"/>
              <w:bottom w:w="55" w:type="dxa"/>
              <w:left w:w="120" w:type="dxa"/>
              <w:right w:w="120" w:type="dxa"/>
            </w:tcMar>
            <w:vAlign w:val="center"/>
          </w:tcPr>
          <w:p>
            <w:pPr>
              <w:jc w:val="center"/>
            </w:pPr>
            <w:r>
              <w:rPr>
                <w:rFonts w:ascii="Calibri" w:hAnsi="Calibri"/>
                <w:color w:val="3A4556"/>
                <w:sz w:val="13"/>
              </w:rPr>
              <w:t>Presidio rebuild (fully in-process). Tracked development scorecard: 480 scored spans, 49 excluded by policy; overlap recall 77.9%, exact recall 55.0%, coverage-overlap 78.3%. PHONE 82.8%; AADHAAR 85.7%; EMAIL 75.0%; NAME 77.7%. All records are in the unknown language bucket; precision is not adjudicated.</w:t>
            </w:r>
          </w:p>
        </w:tc>
        <w:tc>
          <w:tcPr>
            <w:tcW w:type="dxa" w:w="2509"/>
            <w:tcMar>
              <w:top w:w="55" w:type="dxa"/>
              <w:bottom w:w="55" w:type="dxa"/>
              <w:left w:w="120" w:type="dxa"/>
              <w:right w:w="120" w:type="dxa"/>
            </w:tcMar>
            <w:vAlign w:val="center"/>
          </w:tcPr>
          <w:p>
            <w:pPr>
              <w:jc w:val="center"/>
            </w:pPr>
            <w:r>
              <w:rPr>
                <w:rFonts w:ascii="Calibri" w:hAnsi="Calibri"/>
                <w:color w:val="3A4556"/>
                <w:sz w:val="13"/>
              </w:rPr>
              <w:t>The headline 77.9% is set by names (404 of 480 spans). DELIVERY’s pre-fix 44% for names came from English NER alone; the current 77.7% reflects an Indian-surname gazetteer + ALL-CAPS softening (#92/#184) that recovered 53 of 228 misses. Bank-account / scheme-ID recognisers exist but have no labels in this gold — their evidence is the corpus scan. Gold is small; a few pages move the number.</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Page-type filter</w:t>
              <w:br/>
              <w:t>(keep letters, skip IDs/bills)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ViT family on 1,500 pages (70/30):</w:t>
              <w:br/>
              <w:t>ViT best — 67% accuracy</w:t>
              <w:br/>
              <w:t>(macro-F1 0.62)</w:t>
              <w:br/>
              <w:t>Letter F1 0.79, Text-only 0.70</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Same ViT via DVC mirror.</w:t>
              <w:br/>
              <w:t>Now the signal/noise gate before summarisation and categorisation:</w:t>
              <w:br/>
              <w:t>Text-only 1.9/3 usefulness, Letters 1.3/3 → summarised; Bills 0.40, IDs 0.45 → skipped.</w:t>
              <w:br/>
              <w:t>Upload with no grievance-bearing page returns HTTP 422 (the gate working).</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Historical usefulness scores motivated skipping IDs and bills before summary generation. They do not establish attachment prevalence, current summary factuality or that the retained subset is officer-useful; those claims need a governed paired review.</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Summarisation</w:t>
              <w:br/>
              <w:t>(brief the officer)</w:t>
            </w:r>
          </w:p>
        </w:tc>
        <w:tc>
          <w:tcPr>
            <w:tcW w:type="dxa" w:w="2509"/>
            <w:tcMar>
              <w:top w:w="55" w:type="dxa"/>
              <w:bottom w:w="55" w:type="dxa"/>
              <w:left w:w="120" w:type="dxa"/>
              <w:right w:w="120" w:type="dxa"/>
            </w:tcMar>
            <w:vAlign w:val="center"/>
          </w:tcPr>
          <w:p>
            <w:pPr>
              <w:jc w:val="center"/>
            </w:pPr>
            <w:r>
              <w:rPr>
                <w:rFonts w:ascii="Calibri" w:hAnsi="Calibri"/>
                <w:color w:val="3A4556"/>
                <w:sz w:val="13"/>
              </w:rPr>
              <w:t>BART on 500 pages, blinded 0–3 usefulness:</w:t>
              <w:br/>
              <w:t>Text-only 1.9 (above 1.0 = useful),</w:t>
              <w:br/>
              <w:t>Letters ~1.3, Forms ~0.85,</w:t>
              <w:br/>
              <w:t>Bills ~0.35–0.40, IDs ~0.45–0.50</w:t>
            </w:r>
          </w:p>
        </w:tc>
        <w:tc>
          <w:tcPr>
            <w:tcW w:type="dxa" w:w="2509"/>
            <w:tcMar>
              <w:top w:w="55" w:type="dxa"/>
              <w:bottom w:w="55" w:type="dxa"/>
              <w:left w:w="120" w:type="dxa"/>
              <w:right w:w="120" w:type="dxa"/>
            </w:tcMar>
            <w:vAlign w:val="center"/>
          </w:tcPr>
          <w:p>
            <w:pPr>
              <w:jc w:val="center"/>
            </w:pPr>
            <w:r>
              <w:rPr>
                <w:rFonts w:ascii="Calibri" w:hAnsi="Calibri"/>
                <w:color w:val="3A4556"/>
                <w:sz w:val="13"/>
              </w:rPr>
              <w:t>BART incumbent (facebook/bart-large-cnn family, ~1.6 GB). It receives grievance text plus redacted letter/text pages. Historical usefulness scores guided page filtering; there is no current factuality/usefulness scorecard. Serving now requires a pinned local release/DVC artifact; the public model ID is available only through an explicit development opt-in.</w:t>
            </w:r>
          </w:p>
        </w:tc>
        <w:tc>
          <w:tcPr>
            <w:tcW w:type="dxa" w:w="2509"/>
            <w:tcMar>
              <w:top w:w="55" w:type="dxa"/>
              <w:bottom w:w="55" w:type="dxa"/>
              <w:left w:w="120" w:type="dxa"/>
              <w:right w:w="120" w:type="dxa"/>
            </w:tcMar>
            <w:vAlign w:val="center"/>
          </w:tcPr>
          <w:p>
            <w:pPr>
              <w:jc w:val="center"/>
            </w:pPr>
            <w:r>
              <w:rPr>
                <w:rFonts w:ascii="Calibri" w:hAnsi="Calibri"/>
                <w:color w:val="3A4556"/>
                <w:sz w:val="13"/>
              </w:rPr>
              <w:t>The page gate avoids known low-value ID/bill summaries. It does not establish that the remaining summary is accurate or officer-useful; critical-fact recall, unsupported facts, PII leakage, edit burden, and correct abstention still need adjudication.</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Categorisation</w:t>
              <w:br/>
              <w:t>(suggest what the</w:t>
              <w:br/>
              <w:t>complaint is about)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MuRIL fine-tuned on 6,598,</w:t>
              <w:br/>
              <w:t>tested on 65,999:</w:t>
              <w:br/>
              <w:t>71.04% accuracy</w:t>
              <w:br/>
              <w:t>Range: Police 0.85 F1,</w:t>
              <w:br/>
              <w:t>Housing 0.80, Social Welfare 0.51</w:t>
              <w:br/>
              <w:t>(recall 0.3936 on Social Welfare)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MuRIL incumbent via DVC mirror. Feature = grievance text + redacted page text; current serving is English-gated. The 71.04% figure is a historical typed-subject benchmark, not a new scanned/redacted production evaluation. The new group-disjoint harness is ready, but governed gold is not yet frozen.</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Category suggestions can rescue uninformative intake fields, but no automatic assignment is justified. Report accepted rescue, top-k, per-class, calibration, abstention and language/source slices on the same frozen grievances before promotion.</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Runtime</w:t>
              <w:br/>
              <w:t>(end-to-end)</w:t>
            </w:r>
          </w:p>
        </w:tc>
        <w:tc>
          <w:tcPr>
            <w:tcW w:type="dxa" w:w="2509"/>
            <w:tcMar>
              <w:top w:w="55" w:type="dxa"/>
              <w:bottom w:w="55" w:type="dxa"/>
              <w:left w:w="120" w:type="dxa"/>
              <w:right w:w="120" w:type="dxa"/>
            </w:tcMar>
            <w:vAlign w:val="center"/>
          </w:tcPr>
          <w:p>
            <w:pPr>
              <w:jc w:val="center"/>
            </w:pPr>
            <w:r>
              <w:rPr>
                <w:rFonts w:ascii="Calibri" w:hAnsi="Calibri"/>
                <w:color w:val="3A4556"/>
                <w:sz w:val="13"/>
              </w:rPr>
              <w:t>Per-500-token on A100:</w:t>
              <w:br/>
              <w:t>Format 4.53 s / OCR 18.86 s /</w:t>
              <w:br/>
              <w:t>PII 4.67 s / Page-type 2.49 s /</w:t>
              <w:br/>
              <w:t>Summariser 1.84 s / Categoriser 2.82 s</w:t>
              <w:br/>
              <w:t>Short doc &lt;1 min, long (8,871 tok) ~6 min (OCR 3m20s)</w:t>
            </w:r>
          </w:p>
        </w:tc>
        <w:tc>
          <w:tcPr>
            <w:tcW w:type="dxa" w:w="2509"/>
            <w:tcMar>
              <w:top w:w="55" w:type="dxa"/>
              <w:bottom w:w="55" w:type="dxa"/>
              <w:left w:w="120" w:type="dxa"/>
              <w:right w:w="120" w:type="dxa"/>
            </w:tcMar>
            <w:vAlign w:val="center"/>
          </w:tcPr>
          <w:p>
            <w:pPr>
              <w:jc w:val="center"/>
            </w:pPr>
            <w:r>
              <w:rPr>
                <w:rFonts w:ascii="Calibri" w:hAnsi="Calibri"/>
                <w:color w:val="3A4556"/>
                <w:sz w:val="13"/>
              </w:rPr>
              <w:t>Tracked CPU development harness: 90/90 attempts completed, 0 failed; 60 warm measurements. Overall mean 4.487 s, p50 0.139 s, p90 14.348 s, p95 14.883 s. Text mean/p50 0.109/0.133 s (n=40); PDF 13.244/13.661 s (n=20). Startup 6.468 s.</w:t>
            </w:r>
          </w:p>
        </w:tc>
        <w:tc>
          <w:tcPr>
            <w:tcW w:type="dxa" w:w="2509"/>
            <w:tcMar>
              <w:top w:w="55" w:type="dxa"/>
              <w:bottom w:w="55" w:type="dxa"/>
              <w:left w:w="120" w:type="dxa"/>
              <w:right w:w="120" w:type="dxa"/>
            </w:tcMar>
            <w:vAlign w:val="center"/>
          </w:tcPr>
          <w:p>
            <w:pPr>
              <w:jc w:val="center"/>
            </w:pPr>
            <w:r>
              <w:rPr>
                <w:rFonts w:ascii="Calibri" w:hAnsi="Calibri"/>
                <w:color w:val="3A4556"/>
                <w:sz w:val="13"/>
              </w:rPr>
              <w:t>These are sequential synthetic development timings, split by input path. They are not officer handling time, time to first action, or a release-host service-level claim.</w:t>
            </w:r>
          </w:p>
        </w:tc>
      </w:tr>
    </w:tbl>
    <w:p>
      <w:pPr>
        <w:pStyle w:val="Caption"/>
        <w:spacing w:before="40" w:after="200"/>
        <w:jc w:val="center"/>
      </w:pPr>
      <w:r>
        <w:rPr>
          <w:rFonts w:ascii="Calibri" w:hAnsi="Calibri"/>
          <w:i/>
          <w:color w:val="6B7280"/>
          <w:sz w:val="14"/>
        </w:rPr>
        <w:t>Table 2 — Document processing: baseline vs current, with plain-language meaning. DSI baselines are frozen historical reference from Full Technical Report DPIC.pdf (§Model provenance, dsi_baselines.py reference_only=True) — never a threshold. Current PII is English-only; Odia/romanized remain unmeasured (no labelled set).</w:t>
      </w:r>
    </w:p>
    <w:p>
      <w:r>
        <w:drawing>
          <wp:inline xmlns:a="http://schemas.openxmlformats.org/drawingml/2006/main" xmlns:pic="http://schemas.openxmlformats.org/drawingml/2006/picture">
            <wp:extent cx="6355080" cy="2897169"/>
            <wp:docPr id="2" name="Picture 2"/>
            <wp:cNvGraphicFramePr>
              <a:graphicFrameLocks noChangeAspect="1"/>
            </wp:cNvGraphicFramePr>
            <a:graphic>
              <a:graphicData uri="http://schemas.openxmlformats.org/drawingml/2006/picture">
                <pic:pic>
                  <pic:nvPicPr>
                    <pic:cNvPr id="0" name="fig_pii.png"/>
                    <pic:cNvPicPr/>
                  </pic:nvPicPr>
                  <pic:blipFill>
                    <a:blip r:embed="rId11"/>
                    <a:stretch>
                      <a:fillRect/>
                    </a:stretch>
                  </pic:blipFill>
                  <pic:spPr>
                    <a:xfrm>
                      <a:off x="0" y="0"/>
                      <a:ext cx="6355080" cy="2897169"/>
                    </a:xfrm>
                    <a:prstGeom prst="rect"/>
                  </pic:spPr>
                </pic:pic>
              </a:graphicData>
            </a:graphic>
          </wp:inline>
        </w:drawing>
      </w:r>
    </w:p>
    <w:p>
      <w:pPr>
        <w:pStyle w:val="Caption"/>
        <w:spacing w:before="40" w:after="200"/>
        <w:jc w:val="center"/>
      </w:pPr>
      <w:r>
        <w:rPr>
          <w:rFonts w:ascii="Calibri" w:hAnsi="Calibri"/>
          <w:i/>
          <w:color w:val="6B7280"/>
          <w:sz w:val="14"/>
        </w:rPr>
        <w:t>Figure 3 — PII redaction per entity (typed spans). Headline is missed-PII rate = 1 − overlap recall; false negatives matter more than F1 because a leaked phone number is not offset by many correct “not-PII” tokens. The DSI line is untyped any-overlap on a different, smaller sample — shown for context, not as a target to beat.</w:t>
      </w:r>
    </w:p>
    <w:p>
      <w:pPr>
        <w:spacing w:after="40" w:before="80"/>
        <w:jc w:val="left"/>
      </w:pPr>
      <w:r>
        <w:rPr>
          <w:rFonts w:ascii="Calibri" w:hAnsi="Calibri"/>
          <w:b/>
          <w:i w:val="0"/>
          <w:color w:val="0F2847"/>
          <w:sz w:val="17"/>
        </w:rPr>
        <w:t>The name gap — found and closed:</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c>
          <w:tcPr>
            <w:tcW w:type="dxa" w:w="2448"/>
            <w:shd w:fill="0E7C7B" w:val="clear"/>
            <w:tcMar>
              <w:top w:w="60" w:type="dxa"/>
              <w:bottom w:w="60" w:type="dxa"/>
              <w:left w:w="120" w:type="dxa"/>
              <w:right w:w="120" w:type="dxa"/>
            </w:tcMar>
            <w:vAlign w:val="center"/>
          </w:tcPr>
          <w:p>
            <w:pPr>
              <w:jc w:val="center"/>
            </w:pPr>
            <w:r>
              <w:rPr>
                <w:rFonts w:ascii="Calibri" w:hAnsi="Calibri"/>
                <w:b/>
                <w:color w:val="FFFFFF"/>
                <w:sz w:val="13"/>
              </w:rPr>
              <w:t>Probe (40 names × 4 framings)</w:t>
            </w:r>
          </w:p>
        </w:tc>
        <w:tc>
          <w:tcPr>
            <w:tcW w:type="dxa" w:w="2088"/>
            <w:shd w:fill="0E7C7B" w:val="clear"/>
            <w:tcMar>
              <w:top w:w="60" w:type="dxa"/>
              <w:bottom w:w="60" w:type="dxa"/>
              <w:left w:w="120" w:type="dxa"/>
              <w:right w:w="120" w:type="dxa"/>
            </w:tcMar>
            <w:vAlign w:val="center"/>
          </w:tcPr>
          <w:p>
            <w:pPr>
              <w:jc w:val="center"/>
            </w:pPr>
            <w:r>
              <w:rPr>
                <w:rFonts w:ascii="Calibri" w:hAnsi="Calibri"/>
                <w:b/>
                <w:color w:val="FFFFFF"/>
                <w:sz w:val="13"/>
              </w:rPr>
              <w:t>Before fix — English NER only</w:t>
            </w:r>
          </w:p>
        </w:tc>
        <w:tc>
          <w:tcPr>
            <w:tcW w:type="dxa" w:w="2232"/>
            <w:shd w:fill="0E7C7B" w:val="clear"/>
            <w:tcMar>
              <w:top w:w="60" w:type="dxa"/>
              <w:bottom w:w="60" w:type="dxa"/>
              <w:left w:w="120" w:type="dxa"/>
              <w:right w:w="120" w:type="dxa"/>
            </w:tcMar>
            <w:vAlign w:val="center"/>
          </w:tcPr>
          <w:p>
            <w:pPr>
              <w:jc w:val="center"/>
            </w:pPr>
            <w:r>
              <w:rPr>
                <w:rFonts w:ascii="Calibri" w:hAnsi="Calibri"/>
                <w:b/>
                <w:color w:val="FFFFFF"/>
                <w:sz w:val="13"/>
              </w:rPr>
              <w:t>After fix — gazetteer + ALL-CAPS softening</w:t>
            </w:r>
          </w:p>
        </w:tc>
        <w:tc>
          <w:tcPr>
            <w:tcW w:type="dxa" w:w="3312"/>
            <w:shd w:fill="0E7C7B" w:val="clear"/>
            <w:tcMar>
              <w:top w:w="60" w:type="dxa"/>
              <w:bottom w:w="60" w:type="dxa"/>
              <w:left w:w="120" w:type="dxa"/>
              <w:right w:w="120" w:type="dxa"/>
            </w:tcMar>
            <w:vAlign w:val="center"/>
          </w:tcPr>
          <w:p>
            <w:pPr>
              <w:jc w:val="center"/>
            </w:pPr>
            <w:r>
              <w:rPr>
                <w:rFonts w:ascii="Calibri" w:hAnsi="Calibri"/>
                <w:b/>
                <w:color w:val="FFFFFF"/>
                <w:sz w:val="13"/>
              </w:rPr>
              <w:t>Implication</w:t>
            </w:r>
          </w:p>
        </w:tc>
      </w:tr>
      <w:tr>
        <w:tc>
          <w:tcPr>
            <w:tcW w:type="dxa" w:w="2509"/>
            <w:tcMar>
              <w:top w:w="55" w:type="dxa"/>
              <w:bottom w:w="55" w:type="dxa"/>
              <w:left w:w="120" w:type="dxa"/>
              <w:right w:w="120" w:type="dxa"/>
            </w:tcMar>
            <w:vAlign w:val="center"/>
          </w:tcPr>
          <w:p>
            <w:pPr>
              <w:jc w:val="left"/>
            </w:pPr>
            <w:r>
              <w:rPr>
                <w:rFonts w:ascii="Calibri" w:hAnsi="Calibri"/>
                <w:color w:val="3A4556"/>
                <w:sz w:val="14"/>
              </w:rPr>
              <w:t>Fully redacted (every token of the name covered)</w:t>
            </w:r>
          </w:p>
        </w:tc>
        <w:tc>
          <w:tcPr>
            <w:tcW w:type="dxa" w:w="2509"/>
            <w:tcMar>
              <w:top w:w="55" w:type="dxa"/>
              <w:bottom w:w="55" w:type="dxa"/>
              <w:left w:w="120" w:type="dxa"/>
              <w:right w:w="120" w:type="dxa"/>
            </w:tcMar>
            <w:vAlign w:val="center"/>
          </w:tcPr>
          <w:p>
            <w:pPr>
              <w:jc w:val="center"/>
            </w:pPr>
            <w:r>
              <w:rPr>
                <w:rFonts w:ascii="Calibri" w:hAnsi="Calibri"/>
                <w:color w:val="3A4556"/>
                <w:sz w:val="14"/>
              </w:rPr>
              <w:t>52% (21/40)</w:t>
            </w:r>
          </w:p>
        </w:tc>
        <w:tc>
          <w:tcPr>
            <w:tcW w:type="dxa" w:w="2509"/>
            <w:tcMar>
              <w:top w:w="55" w:type="dxa"/>
              <w:bottom w:w="55" w:type="dxa"/>
              <w:left w:w="120" w:type="dxa"/>
              <w:right w:w="120" w:type="dxa"/>
            </w:tcMar>
            <w:vAlign w:val="center"/>
          </w:tcPr>
          <w:p>
            <w:pPr>
              <w:jc w:val="center"/>
            </w:pPr>
            <w:r>
              <w:rPr>
                <w:rFonts w:ascii="Calibri" w:hAnsi="Calibri"/>
                <w:color w:val="3A4556"/>
                <w:sz w:val="14"/>
              </w:rPr>
              <w:t>100% (50/50 across 5 framings)</w:t>
            </w:r>
          </w:p>
        </w:tc>
        <w:tc>
          <w:tcPr>
            <w:tcW w:type="dxa" w:w="2509"/>
            <w:tcMar>
              <w:top w:w="55" w:type="dxa"/>
              <w:bottom w:w="55" w:type="dxa"/>
              <w:left w:w="120" w:type="dxa"/>
              <w:right w:w="120" w:type="dxa"/>
            </w:tcMar>
            <w:vAlign w:val="center"/>
          </w:tcPr>
          <w:p>
            <w:pPr>
              <w:jc w:val="center"/>
            </w:pPr>
            <w:r>
              <w:rPr>
                <w:rFonts w:ascii="Calibri" w:hAnsi="Calibri"/>
                <w:color w:val="3A4556"/>
                <w:sz w:val="14"/>
              </w:rPr>
              <w:t>Odia/Indian names such as “Sujata Mohanty” were missed where “John Smith” in the same sentence was caught — en_core_web_sm is trained on English news.</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4"/>
              </w:rPr>
              <w:t>Partially redacted (surname only, given name exposed)</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5% (2/40)</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0%</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A recogniser that yields the whole name, not the surname alone, closes the boundary-completeness gap (I-PII recall was 0.575 in the DSI baseline).</w:t>
            </w:r>
          </w:p>
        </w:tc>
      </w:tr>
      <w:tr>
        <w:tc>
          <w:tcPr>
            <w:tcW w:type="dxa" w:w="2509"/>
            <w:tcMar>
              <w:top w:w="55" w:type="dxa"/>
              <w:bottom w:w="55" w:type="dxa"/>
              <w:left w:w="120" w:type="dxa"/>
              <w:right w:w="120" w:type="dxa"/>
            </w:tcMar>
            <w:vAlign w:val="center"/>
          </w:tcPr>
          <w:p>
            <w:pPr>
              <w:jc w:val="left"/>
            </w:pPr>
            <w:r>
              <w:rPr>
                <w:rFonts w:ascii="Calibri" w:hAnsi="Calibri"/>
                <w:color w:val="3A4556"/>
                <w:sz w:val="14"/>
              </w:rPr>
              <w:t>Missed entirely</w:t>
            </w:r>
          </w:p>
        </w:tc>
        <w:tc>
          <w:tcPr>
            <w:tcW w:type="dxa" w:w="2509"/>
            <w:tcMar>
              <w:top w:w="55" w:type="dxa"/>
              <w:bottom w:w="55" w:type="dxa"/>
              <w:left w:w="120" w:type="dxa"/>
              <w:right w:w="120" w:type="dxa"/>
            </w:tcMar>
            <w:vAlign w:val="center"/>
          </w:tcPr>
          <w:p>
            <w:pPr>
              <w:jc w:val="center"/>
            </w:pPr>
            <w:r>
              <w:rPr>
                <w:rFonts w:ascii="Calibri" w:hAnsi="Calibri"/>
                <w:color w:val="3A4556"/>
                <w:sz w:val="14"/>
              </w:rPr>
              <w:t>42% (17/40)</w:t>
            </w:r>
          </w:p>
        </w:tc>
        <w:tc>
          <w:tcPr>
            <w:tcW w:type="dxa" w:w="2509"/>
            <w:tcMar>
              <w:top w:w="55" w:type="dxa"/>
              <w:bottom w:w="55" w:type="dxa"/>
              <w:left w:w="120" w:type="dxa"/>
              <w:right w:w="120" w:type="dxa"/>
            </w:tcMar>
            <w:vAlign w:val="center"/>
          </w:tcPr>
          <w:p>
            <w:pPr>
              <w:jc w:val="center"/>
            </w:pPr>
            <w:r>
              <w:rPr>
                <w:rFonts w:ascii="Calibri" w:hAnsi="Calibri"/>
                <w:color w:val="3A4556"/>
                <w:sz w:val="14"/>
              </w:rPr>
              <w:t>0%</w:t>
            </w:r>
          </w:p>
        </w:tc>
        <w:tc>
          <w:tcPr>
            <w:tcW w:type="dxa" w:w="2509"/>
            <w:tcMar>
              <w:top w:w="55" w:type="dxa"/>
              <w:bottom w:w="55" w:type="dxa"/>
              <w:left w:w="120" w:type="dxa"/>
              <w:right w:w="120" w:type="dxa"/>
            </w:tcMar>
            <w:vAlign w:val="center"/>
          </w:tcPr>
          <w:p>
            <w:pPr>
              <w:jc w:val="center"/>
            </w:pPr>
            <w:r>
              <w:rPr>
                <w:rFonts w:ascii="Calibri" w:hAnsi="Calibri"/>
                <w:color w:val="3A4556"/>
                <w:sz w:val="14"/>
              </w:rPr>
              <w:t>48% any-leak before → 0% after on synthetic probes. Probes are a floor on a known failure mode, not a coverage claim; gold remains the release-critical measure.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4"/>
              </w:rPr>
              <w:t>False positives (non-names left intact)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0/9 realistic sentences (places, offices, scheme names)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4"/>
              </w:rPr>
              <w:t>Precision guard: “the road from Sambalpur to Bargarh” and “Pradhan Mantri Awas Yojana” are not redacted — over-redaction removes what the officer needs.</w:t>
            </w:r>
          </w:p>
        </w:tc>
      </w:tr>
    </w:tbl>
    <w:tbl>
      <w:tblPr>
        <w:tblW w:type="auto" w:w="0"/>
        <w:jc w:val="center"/>
        <w:tblLook w:firstColumn="1" w:firstRow="1" w:lastColumn="0" w:lastRow="0" w:noHBand="0" w:noVBand="1" w:val="04A0"/>
      </w:tblPr>
      <w:tblGrid>
        <w:gridCol w:w="10037"/>
      </w:tblGrid>
      <w:tr>
        <w:tc>
          <w:tcPr>
            <w:tcW w:type="dxa" w:w="10037"/>
            <w:shd w:fill="FFFBEB" w:val="clear"/>
            <w:tcBorders>
              <w:top w:val="single" w:sz="3" w:space="0" w:color="E5E7EB"/>
              <w:right w:val="single" w:sz="3" w:space="0" w:color="E5E7EB"/>
              <w:bottom w:val="single" w:sz="3" w:space="0" w:color="E5E7EB"/>
              <w:left w:val="single" w:sz="12" w:space="8" w:color="B88A1E"/>
            </w:tcBorders>
            <w:tcMar>
              <w:top w:w="70" w:type="dxa"/>
              <w:bottom w:w="70" w:type="dxa"/>
              <w:left w:w="140" w:type="dxa"/>
              <w:right w:w="140" w:type="dxa"/>
            </w:tcMar>
          </w:tcPr>
          <w:p>
            <w:pPr>
              <w:jc w:val="left"/>
            </w:pPr>
            <w:r>
              <w:rPr>
                <w:b/>
                <w:color w:val="B88A1E"/>
                <w:sz w:val="17"/>
              </w:rPr>
              <w:t xml:space="preserve">⚠  </w:t>
            </w:r>
            <w:r>
              <w:rPr>
                <w:rFonts w:ascii="Calibri" w:hAnsi="Calibri"/>
                <w:color w:val="1F2A37"/>
                <w:sz w:val="15"/>
              </w:rPr>
              <w:t>What the PII numbers can and cannot support. The per-entity table (89 pages) is the release-critical missed-PII rate — but it is small, so a few pages move it, and it cannot see bank-account / scheme-ID classes that have no labels. The corpus scan (55,544) holds at scale but only checks the four shape classes we know how to grep (phone, Aadhaar, PAN, non-gov email); it cannot see a name a human would catch. Report both together — they are complementary, not alternative.</w:t>
            </w:r>
          </w:p>
        </w:tc>
      </w:tr>
    </w:tbl>
    <w:p>
      <w:pPr>
        <w:spacing w:before="160"/>
        <w:pBdr>
          <w:bottom w:val="single" w:sz="2.4" w:space="1" w:color="0E7C7B"/>
        </w:pBdr>
      </w:pPr>
      <w:r>
        <w:rPr>
          <w:rFonts w:ascii="Calibri" w:hAnsi="Calibri"/>
          <w:b/>
          <w:color w:val="0E7C7B"/>
          <w:sz w:val="14"/>
        </w:rPr>
        <w:t>4  —  KEEPING THE QUEUE CLEAN: SPAM AND DUPLICATES</w:t>
      </w:r>
    </w:p>
    <w:p>
      <w:pPr>
        <w:pStyle w:val="Heading1"/>
      </w:pPr>
      <w:r>
        <w:t>A cleaner queue — telling low-signal, repeat, and routing failures apart</w:t>
      </w:r>
    </w:p>
    <w:p>
      <w:pPr>
        <w:spacing w:after="80" w:before="0"/>
        <w:jc w:val="left"/>
      </w:pPr>
      <w:r>
        <w:rPr>
          <w:rFonts w:ascii="Calibri" w:hAnsi="Calibri"/>
          <w:b w:val="0"/>
          <w:i w:val="0"/>
          <w:color w:val="3A4556"/>
          <w:sz w:val="17"/>
        </w:rPr>
        <w:t>Janasunani’s discard reasons conflate four different operational problems. Treating every discard as “spam” — or every repeat as “duplicate” — hides the action each queue needs. The system now separates three families that were previously one bucket, and groups duplicate filings as one problem with a citizen count.</w:t>
      </w:r>
    </w:p>
    <w:p>
      <w:pPr>
        <w:spacing w:after="60" w:before="80"/>
        <w:jc w:val="left"/>
      </w:pPr>
      <w:r>
        <w:rPr>
          <w:rFonts w:ascii="Calibri" w:hAnsi="Calibri"/>
          <w:b/>
          <w:i w:val="0"/>
          <w:color w:val="0F2847"/>
          <w:sz w:val="17"/>
        </w:rPr>
        <w:t>Eight officer-template families — and which one the new tools address:</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007"/>
        <w:gridCol w:w="2007"/>
        <w:gridCol w:w="2007"/>
        <w:gridCol w:w="2007"/>
        <w:gridCol w:w="2007"/>
      </w:tblGrid>
      <w:tr>
        <w:tc>
          <w:tcPr>
            <w:tcW w:type="dxa" w:w="2736"/>
            <w:shd w:fill="0F2847" w:val="clear"/>
            <w:tcMar>
              <w:top w:w="60" w:type="dxa"/>
              <w:bottom w:w="60" w:type="dxa"/>
              <w:left w:w="120" w:type="dxa"/>
              <w:right w:w="120" w:type="dxa"/>
            </w:tcMar>
            <w:vAlign w:val="center"/>
          </w:tcPr>
          <w:p>
            <w:pPr>
              <w:jc w:val="center"/>
            </w:pPr>
            <w:r>
              <w:rPr>
                <w:rFonts w:ascii="Calibri" w:hAnsi="Calibri"/>
                <w:b/>
                <w:color w:val="FFFFFF"/>
                <w:sz w:val="12"/>
              </w:rPr>
              <w:t>Family (officer template)</w:t>
            </w:r>
          </w:p>
        </w:tc>
        <w:tc>
          <w:tcPr>
            <w:tcW w:type="dxa" w:w="1296"/>
            <w:shd w:fill="0F2847" w:val="clear"/>
            <w:tcMar>
              <w:top w:w="60" w:type="dxa"/>
              <w:bottom w:w="60" w:type="dxa"/>
              <w:left w:w="120" w:type="dxa"/>
              <w:right w:w="120" w:type="dxa"/>
            </w:tcMar>
            <w:vAlign w:val="center"/>
          </w:tcPr>
          <w:p>
            <w:pPr>
              <w:jc w:val="center"/>
            </w:pPr>
            <w:r>
              <w:rPr>
                <w:rFonts w:ascii="Calibri" w:hAnsi="Calibri"/>
                <w:b/>
                <w:color w:val="FFFFFF"/>
                <w:sz w:val="12"/>
              </w:rPr>
              <w:t>Action rows</w:t>
              <w:br/>
              <w:t>(current snapshot)</w:t>
            </w:r>
          </w:p>
        </w:tc>
        <w:tc>
          <w:tcPr>
            <w:tcW w:type="dxa" w:w="1152"/>
            <w:shd w:fill="0F2847" w:val="clear"/>
            <w:tcMar>
              <w:top w:w="60" w:type="dxa"/>
              <w:bottom w:w="60" w:type="dxa"/>
              <w:left w:w="120" w:type="dxa"/>
              <w:right w:w="120" w:type="dxa"/>
            </w:tcMar>
            <w:vAlign w:val="center"/>
          </w:tcPr>
          <w:p>
            <w:pPr>
              <w:jc w:val="center"/>
            </w:pPr>
            <w:r>
              <w:rPr>
                <w:rFonts w:ascii="Calibri" w:hAnsi="Calibri"/>
                <w:b/>
                <w:color w:val="FFFFFF"/>
                <w:sz w:val="12"/>
              </w:rPr>
              <w:t>Earlier ref.</w:t>
            </w:r>
          </w:p>
        </w:tc>
        <w:tc>
          <w:tcPr>
            <w:tcW w:type="dxa" w:w="936"/>
            <w:shd w:fill="0F2847" w:val="clear"/>
            <w:tcMar>
              <w:top w:w="60" w:type="dxa"/>
              <w:bottom w:w="60" w:type="dxa"/>
              <w:left w:w="120" w:type="dxa"/>
              <w:right w:w="120" w:type="dxa"/>
            </w:tcMar>
            <w:vAlign w:val="center"/>
          </w:tcPr>
          <w:p>
            <w:pPr>
              <w:jc w:val="center"/>
            </w:pPr>
            <w:r>
              <w:rPr>
                <w:rFonts w:ascii="Calibri" w:hAnsi="Calibri"/>
                <w:b/>
                <w:color w:val="FFFFFF"/>
                <w:sz w:val="12"/>
              </w:rPr>
              <w:t>Change</w:t>
            </w:r>
          </w:p>
        </w:tc>
        <w:tc>
          <w:tcPr>
            <w:tcW w:type="dxa" w:w="3312"/>
            <w:shd w:fill="0F2847" w:val="clear"/>
            <w:tcMar>
              <w:top w:w="60" w:type="dxa"/>
              <w:bottom w:w="60" w:type="dxa"/>
              <w:left w:w="120" w:type="dxa"/>
              <w:right w:w="120" w:type="dxa"/>
            </w:tcMar>
            <w:vAlign w:val="center"/>
          </w:tcPr>
          <w:p>
            <w:pPr>
              <w:jc w:val="center"/>
            </w:pPr>
            <w:r>
              <w:rPr>
                <w:rFonts w:ascii="Calibri" w:hAnsi="Calibri"/>
                <w:b/>
                <w:color w:val="FFFFFF"/>
                <w:sz w:val="12"/>
              </w:rPr>
              <w:t>New handling</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Details inadequate</w:t>
            </w:r>
          </w:p>
        </w:tc>
        <w:tc>
          <w:tcPr>
            <w:tcW w:type="dxa" w:w="2007"/>
            <w:tcMar>
              <w:top w:w="55" w:type="dxa"/>
              <w:bottom w:w="55" w:type="dxa"/>
              <w:left w:w="120" w:type="dxa"/>
              <w:right w:w="120" w:type="dxa"/>
            </w:tcMar>
            <w:vAlign w:val="center"/>
          </w:tcPr>
          <w:p>
            <w:pPr>
              <w:jc w:val="center"/>
            </w:pPr>
            <w:r>
              <w:rPr>
                <w:rFonts w:ascii="Calibri" w:hAnsi="Calibri"/>
                <w:color w:val="3A4556"/>
                <w:sz w:val="13"/>
              </w:rPr>
              <w:t>39,964</w:t>
            </w:r>
          </w:p>
        </w:tc>
        <w:tc>
          <w:tcPr>
            <w:tcW w:type="dxa" w:w="2007"/>
            <w:tcMar>
              <w:top w:w="55" w:type="dxa"/>
              <w:bottom w:w="55" w:type="dxa"/>
              <w:left w:w="120" w:type="dxa"/>
              <w:right w:w="120" w:type="dxa"/>
            </w:tcMar>
            <w:vAlign w:val="center"/>
          </w:tcPr>
          <w:p>
            <w:pPr>
              <w:jc w:val="center"/>
            </w:pPr>
            <w:r>
              <w:rPr>
                <w:rFonts w:ascii="Calibri" w:hAnsi="Calibri"/>
                <w:color w:val="3A4556"/>
                <w:sz w:val="13"/>
              </w:rPr>
              <w:t>39,943</w:t>
            </w:r>
          </w:p>
        </w:tc>
        <w:tc>
          <w:tcPr>
            <w:tcW w:type="dxa" w:w="2007"/>
            <w:tcMar>
              <w:top w:w="55" w:type="dxa"/>
              <w:bottom w:w="55" w:type="dxa"/>
              <w:left w:w="120" w:type="dxa"/>
              <w:right w:w="120" w:type="dxa"/>
            </w:tcMar>
            <w:vAlign w:val="center"/>
          </w:tcPr>
          <w:p>
            <w:pPr>
              <w:jc w:val="center"/>
            </w:pPr>
            <w:r>
              <w:rPr>
                <w:rFonts w:ascii="Calibri" w:hAnsi="Calibri"/>
                <w:color w:val="3A4556"/>
                <w:sz w:val="13"/>
              </w:rPr>
              <w:t>+21</w:t>
            </w:r>
          </w:p>
        </w:tc>
        <w:tc>
          <w:tcPr>
            <w:tcW w:type="dxa" w:w="2007"/>
            <w:tcMar>
              <w:top w:w="55" w:type="dxa"/>
              <w:bottom w:w="55" w:type="dxa"/>
              <w:left w:w="120" w:type="dxa"/>
              <w:right w:w="120" w:type="dxa"/>
            </w:tcMar>
            <w:vAlign w:val="center"/>
          </w:tcPr>
          <w:p>
            <w:pPr>
              <w:jc w:val="center"/>
            </w:pPr>
            <w:r>
              <w:rPr>
                <w:rFonts w:ascii="Calibri" w:hAnsi="Calibri"/>
                <w:color w:val="3A4556"/>
                <w:sz w:val="13"/>
              </w:rPr>
              <w:t>SPAM scorer — low-signal flag (advisory)</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3"/>
              </w:rPr>
              <w:t>Documents not attached</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29,029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29,029</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Completeness check — route to request documents</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Case already taken up / taken up earlier</w:t>
            </w:r>
          </w:p>
        </w:tc>
        <w:tc>
          <w:tcPr>
            <w:tcW w:type="dxa" w:w="2007"/>
            <w:tcMar>
              <w:top w:w="55" w:type="dxa"/>
              <w:bottom w:w="55" w:type="dxa"/>
              <w:left w:w="120" w:type="dxa"/>
              <w:right w:w="120" w:type="dxa"/>
            </w:tcMar>
            <w:vAlign w:val="center"/>
          </w:tcPr>
          <w:p>
            <w:pPr>
              <w:jc w:val="center"/>
            </w:pPr>
            <w:r>
              <w:rPr>
                <w:rFonts w:ascii="Calibri" w:hAnsi="Calibri"/>
                <w:color w:val="3A4556"/>
                <w:sz w:val="13"/>
              </w:rPr>
              <w:t>21,117</w:t>
            </w:r>
          </w:p>
        </w:tc>
        <w:tc>
          <w:tcPr>
            <w:tcW w:type="dxa" w:w="2007"/>
            <w:tcMar>
              <w:top w:w="55" w:type="dxa"/>
              <w:bottom w:w="55" w:type="dxa"/>
              <w:left w:w="120" w:type="dxa"/>
              <w:right w:w="120" w:type="dxa"/>
            </w:tcMar>
            <w:vAlign w:val="center"/>
          </w:tcPr>
          <w:p>
            <w:pPr>
              <w:jc w:val="center"/>
            </w:pPr>
            <w:r>
              <w:rPr>
                <w:rFonts w:ascii="Calibri" w:hAnsi="Calibri"/>
                <w:color w:val="3A4556"/>
                <w:sz w:val="13"/>
              </w:rPr>
              <w:t>19,904</w:t>
            </w:r>
          </w:p>
        </w:tc>
        <w:tc>
          <w:tcPr>
            <w:tcW w:type="dxa" w:w="2007"/>
            <w:tcMar>
              <w:top w:w="55" w:type="dxa"/>
              <w:bottom w:w="55" w:type="dxa"/>
              <w:left w:w="120" w:type="dxa"/>
              <w:right w:w="120" w:type="dxa"/>
            </w:tcMar>
            <w:vAlign w:val="center"/>
          </w:tcPr>
          <w:p>
            <w:pPr>
              <w:jc w:val="center"/>
            </w:pPr>
            <w:r>
              <w:rPr>
                <w:rFonts w:ascii="Calibri" w:hAnsi="Calibri"/>
                <w:color w:val="3A4556"/>
                <w:sz w:val="13"/>
              </w:rPr>
              <w:t>+1,213</w:t>
            </w:r>
          </w:p>
        </w:tc>
        <w:tc>
          <w:tcPr>
            <w:tcW w:type="dxa" w:w="2007"/>
            <w:tcMar>
              <w:top w:w="55" w:type="dxa"/>
              <w:bottom w:w="55" w:type="dxa"/>
              <w:left w:w="120" w:type="dxa"/>
              <w:right w:w="120" w:type="dxa"/>
            </w:tcMar>
            <w:vAlign w:val="center"/>
          </w:tcPr>
          <w:p>
            <w:pPr>
              <w:jc w:val="center"/>
            </w:pPr>
            <w:r>
              <w:rPr>
                <w:rFonts w:ascii="Calibri" w:hAnsi="Calibri"/>
                <w:color w:val="3A4556"/>
                <w:sz w:val="13"/>
              </w:rPr>
              <w:t>DEDUP — duplicate group (reviewable increment beyond 37,299 baseline)</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3"/>
              </w:rPr>
              <w:t>No specific grievance</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16,375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16,340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+35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SPAM scorer — low-signal flag (advisory)</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Duplicate copy</w:t>
            </w:r>
          </w:p>
        </w:tc>
        <w:tc>
          <w:tcPr>
            <w:tcW w:type="dxa" w:w="2007"/>
            <w:tcMar>
              <w:top w:w="55" w:type="dxa"/>
              <w:bottom w:w="55" w:type="dxa"/>
              <w:left w:w="120" w:type="dxa"/>
              <w:right w:w="120" w:type="dxa"/>
            </w:tcMar>
            <w:vAlign w:val="center"/>
          </w:tcPr>
          <w:p>
            <w:pPr>
              <w:jc w:val="center"/>
            </w:pPr>
            <w:r>
              <w:rPr>
                <w:rFonts w:ascii="Calibri" w:hAnsi="Calibri"/>
                <w:color w:val="3A4556"/>
                <w:sz w:val="13"/>
              </w:rPr>
              <w:t>16,182</w:t>
            </w:r>
          </w:p>
        </w:tc>
        <w:tc>
          <w:tcPr>
            <w:tcW w:type="dxa" w:w="2007"/>
            <w:tcMar>
              <w:top w:w="55" w:type="dxa"/>
              <w:bottom w:w="55" w:type="dxa"/>
              <w:left w:w="120" w:type="dxa"/>
              <w:right w:w="120" w:type="dxa"/>
            </w:tcMar>
            <w:vAlign w:val="center"/>
          </w:tcPr>
          <w:p>
            <w:pPr>
              <w:jc w:val="center"/>
            </w:pPr>
            <w:r>
              <w:rPr>
                <w:rFonts w:ascii="Calibri" w:hAnsi="Calibri"/>
                <w:color w:val="3A4556"/>
                <w:sz w:val="13"/>
              </w:rPr>
              <w:t>14,767</w:t>
            </w:r>
          </w:p>
        </w:tc>
        <w:tc>
          <w:tcPr>
            <w:tcW w:type="dxa" w:w="2007"/>
            <w:tcMar>
              <w:top w:w="55" w:type="dxa"/>
              <w:bottom w:w="55" w:type="dxa"/>
              <w:left w:w="120" w:type="dxa"/>
              <w:right w:w="120" w:type="dxa"/>
            </w:tcMar>
            <w:vAlign w:val="center"/>
          </w:tcPr>
          <w:p>
            <w:pPr>
              <w:jc w:val="center"/>
            </w:pPr>
            <w:r>
              <w:rPr>
                <w:rFonts w:ascii="Calibri" w:hAnsi="Calibri"/>
                <w:color w:val="3A4556"/>
                <w:sz w:val="13"/>
              </w:rPr>
              <w:t>+1,415</w:t>
            </w:r>
          </w:p>
        </w:tc>
        <w:tc>
          <w:tcPr>
            <w:tcW w:type="dxa" w:w="2007"/>
            <w:tcMar>
              <w:top w:w="55" w:type="dxa"/>
              <w:bottom w:w="55" w:type="dxa"/>
              <w:left w:w="120" w:type="dxa"/>
              <w:right w:w="120" w:type="dxa"/>
            </w:tcMar>
            <w:vAlign w:val="center"/>
          </w:tcPr>
          <w:p>
            <w:pPr>
              <w:jc w:val="center"/>
            </w:pPr>
            <w:r>
              <w:rPr>
                <w:rFonts w:ascii="Calibri" w:hAnsi="Calibri"/>
                <w:color w:val="3A4556"/>
                <w:sz w:val="13"/>
              </w:rPr>
              <w:t>DEDUP — duplicate group</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3"/>
              </w:rPr>
              <w:t>Needs a policy decision first</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9,125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9,090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+35</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Policy queue — not spam, not duplicate</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Outside grievance cell’s purview</w:t>
            </w:r>
          </w:p>
        </w:tc>
        <w:tc>
          <w:tcPr>
            <w:tcW w:type="dxa" w:w="2007"/>
            <w:tcMar>
              <w:top w:w="55" w:type="dxa"/>
              <w:bottom w:w="55" w:type="dxa"/>
              <w:left w:w="120" w:type="dxa"/>
              <w:right w:w="120" w:type="dxa"/>
            </w:tcMar>
            <w:vAlign w:val="center"/>
          </w:tcPr>
          <w:p>
            <w:pPr>
              <w:jc w:val="center"/>
            </w:pPr>
            <w:r>
              <w:rPr>
                <w:rFonts w:ascii="Calibri" w:hAnsi="Calibri"/>
                <w:color w:val="3A4556"/>
                <w:sz w:val="13"/>
              </w:rPr>
              <w:t>8,472</w:t>
            </w:r>
          </w:p>
        </w:tc>
        <w:tc>
          <w:tcPr>
            <w:tcW w:type="dxa" w:w="2007"/>
            <w:tcMar>
              <w:top w:w="55" w:type="dxa"/>
              <w:bottom w:w="55" w:type="dxa"/>
              <w:left w:w="120" w:type="dxa"/>
              <w:right w:w="120" w:type="dxa"/>
            </w:tcMar>
            <w:vAlign w:val="center"/>
          </w:tcPr>
          <w:p>
            <w:pPr>
              <w:jc w:val="center"/>
            </w:pPr>
            <w:r>
              <w:rPr>
                <w:rFonts w:ascii="Calibri" w:hAnsi="Calibri"/>
                <w:color w:val="3A4556"/>
                <w:sz w:val="13"/>
              </w:rPr>
              <w:t>8,455</w:t>
            </w:r>
          </w:p>
        </w:tc>
        <w:tc>
          <w:tcPr>
            <w:tcW w:type="dxa" w:w="2007"/>
            <w:tcMar>
              <w:top w:w="55" w:type="dxa"/>
              <w:bottom w:w="55" w:type="dxa"/>
              <w:left w:w="120" w:type="dxa"/>
              <w:right w:w="120" w:type="dxa"/>
            </w:tcMar>
            <w:vAlign w:val="center"/>
          </w:tcPr>
          <w:p>
            <w:pPr>
              <w:jc w:val="center"/>
            </w:pPr>
            <w:r>
              <w:rPr>
                <w:rFonts w:ascii="Calibri" w:hAnsi="Calibri"/>
                <w:color w:val="3A4556"/>
                <w:sz w:val="13"/>
              </w:rPr>
              <w:t>+17</w:t>
            </w:r>
          </w:p>
        </w:tc>
        <w:tc>
          <w:tcPr>
            <w:tcW w:type="dxa" w:w="2007"/>
            <w:tcMar>
              <w:top w:w="55" w:type="dxa"/>
              <w:bottom w:w="55" w:type="dxa"/>
              <w:left w:w="120" w:type="dxa"/>
              <w:right w:w="120" w:type="dxa"/>
            </w:tcMar>
            <w:vAlign w:val="center"/>
          </w:tcPr>
          <w:p>
            <w:pPr>
              <w:jc w:val="center"/>
            </w:pPr>
            <w:r>
              <w:rPr>
                <w:rFonts w:ascii="Calibri" w:hAnsi="Calibri"/>
                <w:color w:val="3A4556"/>
                <w:sz w:val="13"/>
              </w:rPr>
              <w:t>ROUTING — crosswalk + rules; 8,472 is the out-of-purview baseline</w:t>
            </w:r>
          </w:p>
        </w:tc>
      </w:tr>
      <w:tr>
        <w:tc>
          <w:tcPr>
            <w:tcW w:type="dxa" w:w="2007"/>
            <w:tcMar>
              <w:top w:w="55" w:type="dxa"/>
              <w:bottom w:w="55" w:type="dxa"/>
              <w:left w:w="120" w:type="dxa"/>
              <w:right w:w="120" w:type="dxa"/>
            </w:tcMar>
            <w:vAlign w:val="center"/>
            <w:shd w:fill="F8FAFC" w:val="clear"/>
          </w:tcPr>
          <w:p>
            <w:pPr>
              <w:jc w:val="left"/>
            </w:pPr>
            <w:r>
              <w:rPr>
                <w:rFonts w:ascii="Calibri" w:hAnsi="Calibri"/>
                <w:color w:val="3A4556"/>
                <w:sz w:val="13"/>
              </w:rPr>
              <w:t>Address not given</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4,114</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4,110</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+4</w:t>
            </w:r>
          </w:p>
        </w:tc>
        <w:tc>
          <w:tcPr>
            <w:tcW w:type="dxa" w:w="2007"/>
            <w:tcMar>
              <w:top w:w="55" w:type="dxa"/>
              <w:bottom w:w="55" w:type="dxa"/>
              <w:left w:w="120" w:type="dxa"/>
              <w:right w:w="120" w:type="dxa"/>
            </w:tcMar>
            <w:vAlign w:val="center"/>
            <w:shd w:fill="F8FAFC" w:val="clear"/>
          </w:tcPr>
          <w:p>
            <w:pPr>
              <w:jc w:val="center"/>
            </w:pPr>
            <w:r>
              <w:rPr>
                <w:rFonts w:ascii="Calibri" w:hAnsi="Calibri"/>
                <w:color w:val="3A4556"/>
                <w:sz w:val="13"/>
              </w:rPr>
              <w:t>Completeness check — request address</w:t>
            </w:r>
          </w:p>
        </w:tc>
      </w:tr>
      <w:tr>
        <w:tc>
          <w:tcPr>
            <w:tcW w:type="dxa" w:w="2007"/>
            <w:tcMar>
              <w:top w:w="55" w:type="dxa"/>
              <w:bottom w:w="55" w:type="dxa"/>
              <w:left w:w="120" w:type="dxa"/>
              <w:right w:w="120" w:type="dxa"/>
            </w:tcMar>
            <w:vAlign w:val="center"/>
          </w:tcPr>
          <w:p>
            <w:pPr>
              <w:jc w:val="left"/>
            </w:pPr>
            <w:r>
              <w:rPr>
                <w:rFonts w:ascii="Calibri" w:hAnsi="Calibri"/>
                <w:color w:val="3A4556"/>
                <w:sz w:val="13"/>
              </w:rPr>
              <w:t>Officer-confirmed duplicates (two families combined)</w:t>
            </w:r>
          </w:p>
        </w:tc>
        <w:tc>
          <w:tcPr>
            <w:tcW w:type="dxa" w:w="2007"/>
            <w:tcMar>
              <w:top w:w="55" w:type="dxa"/>
              <w:bottom w:w="55" w:type="dxa"/>
              <w:left w:w="120" w:type="dxa"/>
              <w:right w:w="120" w:type="dxa"/>
            </w:tcMar>
            <w:vAlign w:val="center"/>
          </w:tcPr>
          <w:p>
            <w:pPr>
              <w:jc w:val="center"/>
            </w:pPr>
            <w:r>
              <w:rPr>
                <w:rFonts w:ascii="Calibri" w:hAnsi="Calibri"/>
                <w:color w:val="3A4556"/>
                <w:sz w:val="13"/>
              </w:rPr>
              <w:t>37,299</w:t>
            </w:r>
          </w:p>
        </w:tc>
        <w:tc>
          <w:tcPr>
            <w:tcW w:type="dxa" w:w="2007"/>
            <w:tcMar>
              <w:top w:w="55" w:type="dxa"/>
              <w:bottom w:w="55" w:type="dxa"/>
              <w:left w:w="120" w:type="dxa"/>
              <w:right w:w="120" w:type="dxa"/>
            </w:tcMar>
            <w:vAlign w:val="center"/>
          </w:tcPr>
          <w:p>
            <w:pPr>
              <w:jc w:val="center"/>
            </w:pPr>
            <w:r>
              <w:rPr>
                <w:rFonts w:ascii="Calibri" w:hAnsi="Calibri"/>
                <w:color w:val="3A4556"/>
                <w:sz w:val="13"/>
              </w:rPr>
              <w:t>34,671</w:t>
            </w:r>
          </w:p>
        </w:tc>
        <w:tc>
          <w:tcPr>
            <w:tcW w:type="dxa" w:w="2007"/>
            <w:tcMar>
              <w:top w:w="55" w:type="dxa"/>
              <w:bottom w:w="55" w:type="dxa"/>
              <w:left w:w="120" w:type="dxa"/>
              <w:right w:w="120" w:type="dxa"/>
            </w:tcMar>
            <w:vAlign w:val="center"/>
          </w:tcPr>
          <w:p>
            <w:pPr>
              <w:jc w:val="center"/>
            </w:pPr>
            <w:r>
              <w:rPr>
                <w:rFonts w:ascii="Calibri" w:hAnsi="Calibri"/>
                <w:color w:val="3A4556"/>
                <w:sz w:val="13"/>
              </w:rPr>
              <w:t>+2,628</w:t>
            </w:r>
          </w:p>
        </w:tc>
        <w:tc>
          <w:tcPr>
            <w:tcW w:type="dxa" w:w="2007"/>
            <w:tcMar>
              <w:top w:w="55" w:type="dxa"/>
              <w:bottom w:w="55" w:type="dxa"/>
              <w:left w:w="120" w:type="dxa"/>
              <w:right w:w="120" w:type="dxa"/>
            </w:tcMar>
            <w:vAlign w:val="center"/>
          </w:tcPr>
          <w:p>
            <w:pPr>
              <w:jc w:val="center"/>
            </w:pPr>
            <w:r>
              <w:rPr>
                <w:rFonts w:ascii="Calibri" w:hAnsi="Calibri"/>
                <w:color w:val="3A4556"/>
                <w:sz w:val="13"/>
              </w:rPr>
              <w:t>Baseline for what manual process already catches; automation reports only the additional reviewable matches</w:t>
            </w:r>
          </w:p>
        </w:tc>
      </w:tr>
    </w:tbl>
    <w:p>
      <w:pPr>
        <w:pStyle w:val="Caption"/>
        <w:spacing w:before="40" w:after="200"/>
        <w:jc w:val="center"/>
      </w:pPr>
      <w:r>
        <w:rPr>
          <w:rFonts w:ascii="Calibri" w:hAnsi="Calibri"/>
          <w:i/>
          <w:color w:val="6B7280"/>
          <w:sz w:val="14"/>
        </w:rPr>
        <w:t>Table 3 — Discard families: why “discarded” meant four different things. Only two families map to spam; two map to duplicates; the rest are completeness/routing/policy. Sources: FINDINGS.md Insight 3 &amp; 4; analytics note Table 2.4.</w:t>
      </w:r>
    </w:p>
    <w:p>
      <w:pPr>
        <w:spacing w:after="80" w:before="0"/>
        <w:jc w:val="left"/>
      </w:pPr>
      <w:r>
        <w:rPr>
          <w:rFonts w:ascii="Calibri" w:hAnsi="Calibri"/>
          <w:b w:val="0"/>
          <w:i w:val="0"/>
          <w:color w:val="3A4556"/>
          <w:sz w:val="16"/>
        </w:rPr>
        <w:t>Low-signal review is not a block. The evaluation taxonomy separates actionable, underspecified, irrelevant, outside-purview and policy-blocked cases; only advisory review or abstention is permitted and officers decide. Administrative templates provide 106,683 non-conflicting train-only weak labels, not adjudicated truth. A separate binary development benchmark is not compatible with the five-class serving slot and produced no deployable artifact. Office variation fails the pooling gate (maximum total-variation distance 0.522), so no PPV, false-positive rate or production threshold is approved until a stratified officer-adjudicated validation/test set exists.</w:t>
      </w:r>
    </w:p>
    <w:p>
      <w:pPr>
        <w:spacing w:after="60" w:before="120"/>
        <w:jc w:val="left"/>
      </w:pPr>
      <w:r>
        <w:rPr>
          <w:rFonts w:ascii="Calibri" w:hAnsi="Calibri"/>
          <w:b/>
          <w:i w:val="0"/>
          <w:color w:val="0F2847"/>
          <w:sz w:val="17"/>
        </w:rPr>
        <w:t>Duplicates — from filings to problems to citizens:</w:t>
      </w:r>
    </w:p>
    <w:p>
      <w:pPr>
        <w:spacing w:after="80" w:before="0"/>
        <w:jc w:val="left"/>
      </w:pPr>
      <w:r>
        <w:rPr>
          <w:rFonts w:ascii="Calibri" w:hAnsi="Calibri"/>
          <w:b w:val="0"/>
          <w:i w:val="0"/>
          <w:color w:val="3A4556"/>
          <w:sz w:val="16"/>
        </w:rPr>
        <w:t>Sambalpur/2024 (DEMO_SLICE — 55,544 complaints with grievance text, fixed 07 Aug 2026, Ganjam 46,678; Balangir 38,248) was redacted (55,544/55,544), indexed (MinHash/LSH, salted contact hashes — a hash is still personal data, so the index is dpic-infra, access-controlled), and grouped. Wall clock on the 2-vCPU CPU box: ~57 min; 16,138,623 comparison pairs; 310 large buckets; provenance complete (source_snapshot_id sha256:a7a0…).</w:t>
      </w:r>
    </w:p>
    <w:p>
      <w:r>
        <w:drawing>
          <wp:inline xmlns:a="http://schemas.openxmlformats.org/drawingml/2006/main" xmlns:pic="http://schemas.openxmlformats.org/drawingml/2006/picture">
            <wp:extent cx="6355080" cy="2106142"/>
            <wp:docPr id="3" name="Picture 3"/>
            <wp:cNvGraphicFramePr>
              <a:graphicFrameLocks noChangeAspect="1"/>
            </wp:cNvGraphicFramePr>
            <a:graphic>
              <a:graphicData uri="http://schemas.openxmlformats.org/drawingml/2006/picture">
                <pic:pic>
                  <pic:nvPicPr>
                    <pic:cNvPr id="0" name="fig_dedup.png"/>
                    <pic:cNvPicPr/>
                  </pic:nvPicPr>
                  <pic:blipFill>
                    <a:blip r:embed="rId12"/>
                    <a:stretch>
                      <a:fillRect/>
                    </a:stretch>
                  </pic:blipFill>
                  <pic:spPr>
                    <a:xfrm>
                      <a:off x="0" y="0"/>
                      <a:ext cx="6355080" cy="2106142"/>
                    </a:xfrm>
                    <a:prstGeom prst="rect"/>
                  </pic:spPr>
                </pic:pic>
              </a:graphicData>
            </a:graphic>
          </wp:inline>
        </w:drawing>
      </w:r>
    </w:p>
    <w:p>
      <w:pPr>
        <w:pStyle w:val="Caption"/>
        <w:spacing w:before="40" w:after="200"/>
        <w:jc w:val="center"/>
      </w:pPr>
      <w:r>
        <w:rPr>
          <w:rFonts w:ascii="Calibri" w:hAnsi="Calibri"/>
          <w:i/>
          <w:color w:val="6B7280"/>
          <w:sz w:val="14"/>
        </w:rPr>
        <w:t>Figure 4 — Filings vs distinct citizens: why the third number matters. Left: one citizen filed 26,203 times (47% of the slice) — not a campaign. Middle/right: ~90% of filings in each campaign group are distinct citizens — a coordinated road complaint. Campaign badge must key off signatory count, not filings.</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c>
          <w:tcPr>
            <w:tcW w:type="dxa" w:w="3024"/>
            <w:shd w:fill="0E7C7B" w:val="clear"/>
            <w:tcMar>
              <w:top w:w="60" w:type="dxa"/>
              <w:bottom w:w="60" w:type="dxa"/>
              <w:left w:w="120" w:type="dxa"/>
              <w:right w:w="120" w:type="dxa"/>
            </w:tcMar>
            <w:vAlign w:val="center"/>
          </w:tcPr>
          <w:p>
            <w:pPr>
              <w:jc w:val="center"/>
            </w:pPr>
            <w:r>
              <w:rPr>
                <w:rFonts w:ascii="Calibri" w:hAnsi="Calibri"/>
                <w:b/>
                <w:color w:val="FFFFFF"/>
                <w:sz w:val="13"/>
              </w:rPr>
              <w:t>Metric (Sambalpur/2024, production)</w:t>
            </w:r>
          </w:p>
        </w:tc>
        <w:tc>
          <w:tcPr>
            <w:tcW w:type="dxa" w:w="1872"/>
            <w:shd w:fill="0E7C7B" w:val="clear"/>
            <w:tcMar>
              <w:top w:w="60" w:type="dxa"/>
              <w:bottom w:w="60" w:type="dxa"/>
              <w:left w:w="120" w:type="dxa"/>
              <w:right w:w="120" w:type="dxa"/>
            </w:tcMar>
            <w:vAlign w:val="center"/>
          </w:tcPr>
          <w:p>
            <w:pPr>
              <w:jc w:val="center"/>
            </w:pPr>
            <w:r>
              <w:rPr>
                <w:rFonts w:ascii="Calibri" w:hAnsi="Calibri"/>
                <w:b/>
                <w:color w:val="FFFFFF"/>
                <w:sz w:val="13"/>
              </w:rPr>
              <w:t>Count</w:t>
            </w:r>
          </w:p>
        </w:tc>
        <w:tc>
          <w:tcPr>
            <w:tcW w:type="dxa" w:w="4536"/>
            <w:shd w:fill="0E7C7B" w:val="clear"/>
            <w:tcMar>
              <w:top w:w="60" w:type="dxa"/>
              <w:bottom w:w="60" w:type="dxa"/>
              <w:left w:w="120" w:type="dxa"/>
              <w:right w:w="120" w:type="dxa"/>
            </w:tcMar>
            <w:vAlign w:val="center"/>
          </w:tcPr>
          <w:p>
            <w:pPr>
              <w:jc w:val="center"/>
            </w:pPr>
            <w:r>
              <w:rPr>
                <w:rFonts w:ascii="Calibri" w:hAnsi="Calibri"/>
                <w:b/>
                <w:color w:val="FFFFFF"/>
                <w:sz w:val="13"/>
              </w:rPr>
              <w:t>What it means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Filings indexed (with redacted text)</w:t>
            </w:r>
          </w:p>
        </w:tc>
        <w:tc>
          <w:tcPr>
            <w:tcW w:type="dxa" w:w="3346"/>
            <w:tcMar>
              <w:top w:w="55" w:type="dxa"/>
              <w:bottom w:w="55" w:type="dxa"/>
              <w:left w:w="120" w:type="dxa"/>
              <w:right w:w="120" w:type="dxa"/>
            </w:tcMar>
            <w:vAlign w:val="center"/>
          </w:tcPr>
          <w:p>
            <w:pPr>
              <w:jc w:val="center"/>
            </w:pPr>
            <w:r>
              <w:rPr>
                <w:rFonts w:ascii="Calibri" w:hAnsi="Calibri"/>
                <w:color w:val="3A4556"/>
                <w:sz w:val="14"/>
              </w:rPr>
              <w:t>55,544 / 55,544</w:t>
            </w:r>
          </w:p>
        </w:tc>
        <w:tc>
          <w:tcPr>
            <w:tcW w:type="dxa" w:w="3346"/>
            <w:tcMar>
              <w:top w:w="55" w:type="dxa"/>
              <w:bottom w:w="55" w:type="dxa"/>
              <w:left w:w="120" w:type="dxa"/>
              <w:right w:w="120" w:type="dxa"/>
            </w:tcMar>
            <w:vAlign w:val="center"/>
          </w:tcPr>
          <w:p>
            <w:pPr>
              <w:jc w:val="center"/>
            </w:pPr>
            <w:r>
              <w:rPr>
                <w:rFonts w:ascii="Calibri" w:hAnsi="Calibri"/>
                <w:color w:val="3A4556"/>
                <w:sz w:val="14"/>
              </w:rPr>
              <w:t>No filing is left without a redacted copy before dedup runs — redaction is step 0, not an afterthought.</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Distinct problems (clusters)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10,963</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55,544 / 10,963 = 5.07 filings per inferred problem, or 80.3% fewer problem-units than filings. These are reviewable inferred groups, not adjudicated ground truth.</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Distinct citizens (signatories)</w:t>
            </w:r>
          </w:p>
        </w:tc>
        <w:tc>
          <w:tcPr>
            <w:tcW w:type="dxa" w:w="3346"/>
            <w:tcMar>
              <w:top w:w="55" w:type="dxa"/>
              <w:bottom w:w="55" w:type="dxa"/>
              <w:left w:w="120" w:type="dxa"/>
              <w:right w:w="120" w:type="dxa"/>
            </w:tcMar>
            <w:vAlign w:val="center"/>
          </w:tcPr>
          <w:p>
            <w:pPr>
              <w:jc w:val="center"/>
            </w:pPr>
            <w:r>
              <w:rPr>
                <w:rFonts w:ascii="Calibri" w:hAnsi="Calibri"/>
                <w:color w:val="3A4556"/>
                <w:sz w:val="14"/>
              </w:rPr>
              <w:t>8,560</w:t>
            </w:r>
          </w:p>
        </w:tc>
        <w:tc>
          <w:tcPr>
            <w:tcW w:type="dxa" w:w="3346"/>
            <w:tcMar>
              <w:top w:w="55" w:type="dxa"/>
              <w:bottom w:w="55" w:type="dxa"/>
              <w:left w:w="120" w:type="dxa"/>
              <w:right w:w="120" w:type="dxa"/>
            </w:tcMar>
            <w:vAlign w:val="center"/>
          </w:tcPr>
          <w:p>
            <w:pPr>
              <w:jc w:val="center"/>
            </w:pPr>
            <w:r>
              <w:rPr>
                <w:rFonts w:ascii="Calibri" w:hAnsi="Calibri"/>
                <w:color w:val="3A4556"/>
                <w:sz w:val="14"/>
              </w:rPr>
              <w:t>About 1.28 filings per citizen on average; but the average hides the two cases above.</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Groups with &gt;1 member</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1,794</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Groups worth reviewing; the rest are singletons.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Largest group</w:t>
            </w:r>
          </w:p>
        </w:tc>
        <w:tc>
          <w:tcPr>
            <w:tcW w:type="dxa" w:w="3346"/>
            <w:tcMar>
              <w:top w:w="55" w:type="dxa"/>
              <w:bottom w:w="55" w:type="dxa"/>
              <w:left w:w="120" w:type="dxa"/>
              <w:right w:w="120" w:type="dxa"/>
            </w:tcMar>
            <w:vAlign w:val="center"/>
          </w:tcPr>
          <w:p>
            <w:pPr>
              <w:jc w:val="center"/>
            </w:pPr>
            <w:r>
              <w:rPr>
                <w:rFonts w:ascii="Calibri" w:hAnsi="Calibri"/>
                <w:color w:val="3A4556"/>
                <w:sz w:val="14"/>
              </w:rPr>
              <w:t>26,203 (1 signatory)</w:t>
            </w:r>
          </w:p>
        </w:tc>
        <w:tc>
          <w:tcPr>
            <w:tcW w:type="dxa" w:w="3346"/>
            <w:tcMar>
              <w:top w:w="55" w:type="dxa"/>
              <w:bottom w:w="55" w:type="dxa"/>
              <w:left w:w="120" w:type="dxa"/>
              <w:right w:w="120" w:type="dxa"/>
            </w:tcMar>
            <w:vAlign w:val="center"/>
          </w:tcPr>
          <w:p>
            <w:pPr>
              <w:jc w:val="center"/>
            </w:pPr>
            <w:r>
              <w:rPr>
                <w:rFonts w:ascii="Calibri" w:hAnsi="Calibri"/>
                <w:color w:val="3A4556"/>
                <w:sz w:val="14"/>
              </w:rPr>
              <w:t>The single-filer repeat — officer-confirmed duplicate baseline would have caught this as a label, but not its scale or that it is not a campaign.</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Comparison pairs / large buckets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16,138,623 / 310</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LSH bucketing makes 55k-scale comparison tractable on a 2-vCPU box; brute-force would be ~1.5B pairs.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Provenance (source_name / snapshot_id)</w:t>
            </w:r>
          </w:p>
        </w:tc>
        <w:tc>
          <w:tcPr>
            <w:tcW w:type="dxa" w:w="3346"/>
            <w:tcMar>
              <w:top w:w="55" w:type="dxa"/>
              <w:bottom w:w="55" w:type="dxa"/>
              <w:left w:w="120" w:type="dxa"/>
              <w:right w:w="120" w:type="dxa"/>
            </w:tcMar>
            <w:vAlign w:val="center"/>
          </w:tcPr>
          <w:p>
            <w:pPr>
              <w:jc w:val="center"/>
            </w:pPr>
            <w:r>
              <w:rPr>
                <w:rFonts w:ascii="Calibri" w:hAnsi="Calibri"/>
                <w:color w:val="3A4556"/>
                <w:sz w:val="14"/>
              </w:rPr>
              <w:t>55,544 / 55,544 present</w:t>
            </w:r>
          </w:p>
        </w:tc>
        <w:tc>
          <w:tcPr>
            <w:tcW w:type="dxa" w:w="3346"/>
            <w:tcMar>
              <w:top w:w="55" w:type="dxa"/>
              <w:bottom w:w="55" w:type="dxa"/>
              <w:left w:w="120" w:type="dxa"/>
              <w:right w:w="120" w:type="dxa"/>
            </w:tcMar>
            <w:vAlign w:val="center"/>
          </w:tcPr>
          <w:p>
            <w:pPr>
              <w:jc w:val="center"/>
            </w:pPr>
            <w:r>
              <w:rPr>
                <w:rFonts w:ascii="Calibri" w:hAnsi="Calibri"/>
                <w:color w:val="3A4556"/>
                <w:sz w:val="14"/>
              </w:rPr>
              <w:t>Every group carries the digest of the exact lake slice it was built from; a lake re-materialisation that does not match causes a loud failure rather than a silently mixed count (#137).</w:t>
            </w:r>
          </w:p>
        </w:tc>
      </w:tr>
    </w:tbl>
    <w:tbl>
      <w:tblPr>
        <w:tblW w:type="auto" w:w="0"/>
        <w:jc w:val="center"/>
        <w:tblLook w:firstColumn="1" w:firstRow="1" w:lastColumn="0" w:lastRow="0" w:noHBand="0" w:noVBand="1" w:val="04A0"/>
      </w:tblPr>
      <w:tblGrid>
        <w:gridCol w:w="10037"/>
      </w:tblGrid>
      <w:tr>
        <w:tc>
          <w:tcPr>
            <w:tcW w:type="dxa" w:w="10037"/>
            <w:shd w:fill="F8FAFC" w:val="clear"/>
            <w:tcBorders>
              <w:top w:val="single" w:sz="3" w:space="0" w:color="E5E7EB"/>
              <w:right w:val="single" w:sz="3" w:space="0" w:color="E5E7EB"/>
              <w:bottom w:val="single" w:sz="3" w:space="0" w:color="E5E7EB"/>
              <w:left w:val="single" w:sz="12" w:space="8" w:color="0F2847"/>
            </w:tcBorders>
            <w:tcMar>
              <w:top w:w="70" w:type="dxa"/>
              <w:bottom w:w="70" w:type="dxa"/>
              <w:left w:w="140" w:type="dxa"/>
              <w:right w:w="140" w:type="dxa"/>
            </w:tcMar>
          </w:tcPr>
          <w:p>
            <w:pPr>
              <w:jc w:val="left"/>
            </w:pPr>
            <w:r>
              <w:rPr>
                <w:b/>
                <w:color w:val="0F2847"/>
                <w:sz w:val="17"/>
              </w:rPr>
              <w:t xml:space="preserve">ⓘ  </w:t>
            </w:r>
            <w:r>
              <w:rPr>
                <w:rFonts w:ascii="Calibri" w:hAnsi="Calibri"/>
                <w:color w:val="1F2A37"/>
                <w:sz w:val="15"/>
              </w:rPr>
              <w:t>Officer labels are validation, not ground truth. The 37,299 officer-confirmed duplicate rows (taken-up + duplicate-copy) are what the manual process already catches — useful for measuring recall on a held-out sample, not a complete census of duplicates. The number that matters for automation is the additional reviewable increment beyond that baseline — reported separately and not yet claimed for August.</w:t>
            </w:r>
          </w:p>
        </w:tc>
      </w:tr>
    </w:tbl>
    <w:p>
      <w:pPr>
        <w:spacing w:before="160"/>
        <w:pBdr>
          <w:bottom w:val="single" w:sz="2.4" w:space="1" w:color="0E7C7B"/>
        </w:pBdr>
      </w:pPr>
      <w:r>
        <w:rPr>
          <w:rFonts w:ascii="Calibri" w:hAnsi="Calibri"/>
          <w:b/>
          <w:color w:val="0E7C7B"/>
          <w:sz w:val="14"/>
        </w:rPr>
        <w:t>5  —  WHAT ARE PEOPLE COMPLAINING ABOUT</w:t>
      </w:r>
    </w:p>
    <w:p>
      <w:pPr>
        <w:pStyle w:val="Heading1"/>
      </w:pPr>
      <w:r>
        <w:t>From counting complaints to understanding problems — hotspots, spikes, and workload</w:t>
      </w:r>
    </w:p>
    <w:p>
      <w:pPr>
        <w:spacing w:after="80" w:before="0"/>
        <w:jc w:val="left"/>
      </w:pPr>
      <w:r>
        <w:rPr>
          <w:rFonts w:ascii="Calibri" w:hAnsi="Calibri"/>
          <w:b w:val="0"/>
          <w:i w:val="0"/>
          <w:color w:val="3A4556"/>
          <w:sz w:val="17"/>
        </w:rPr>
        <w:t>The existing dashboards answer “how many complaints?” quickly and well. The intelligence layer answers three questions they cannot: where is pressure building faster than the state trend, what is the pressure about (in the citizen’s own words), and whether a surge is one road or two hundred unrelated problems. All three read only the corpus that has already been redacted — historical grievance is passed through the same PII step as scanned documents before any matching or grouping runs; derived signatures and vectors stay dpic-infra, under the same access rules as the raw lake.</w:t>
      </w:r>
    </w:p>
    <w:p>
      <w:pPr>
        <w:pStyle w:val="Heading2"/>
      </w:pPr>
      <w:r>
        <w:t>Geographic monitoring — governed counts first, rates later</w:t>
      </w:r>
    </w:p>
    <w:p>
      <w:pPr>
        <w:spacing w:after="80" w:before="0"/>
        <w:jc w:val="left"/>
      </w:pPr>
      <w:r>
        <w:rPr>
          <w:rFonts w:ascii="Calibri" w:hAnsi="Calibri"/>
          <w:b w:val="0"/>
          <w:i w:val="0"/>
          <w:color w:val="3A4556"/>
          <w:sz w:val="16"/>
        </w:rPr>
        <w:t>Headline filing counts are not complaint rates. Until a current, documented population or programme-eligibility denominator is governed, the first release will show privacy-safe filing counts, inferred-problem counts and distinct-signatory counts without ranking districts by incidence. Comparisons over time use each geography’s own historical baseline and always state the period and denominator.</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c>
          <w:tcPr>
            <w:tcW w:type="dxa" w:w="2592"/>
            <w:shd w:fill="0F2847" w:val="clear"/>
            <w:tcMar>
              <w:top w:w="60" w:type="dxa"/>
              <w:bottom w:w="60" w:type="dxa"/>
              <w:left w:w="120" w:type="dxa"/>
              <w:right w:w="120" w:type="dxa"/>
            </w:tcMar>
            <w:vAlign w:val="center"/>
          </w:tcPr>
          <w:p>
            <w:pPr>
              <w:jc w:val="center"/>
            </w:pPr>
            <w:r>
              <w:rPr>
                <w:rFonts w:ascii="Calibri" w:hAnsi="Calibri"/>
                <w:b/>
                <w:color w:val="FFFFFF"/>
                <w:sz w:val="13"/>
              </w:rPr>
              <w:t>What the map shows (2024–25, excl. discards)</w:t>
            </w:r>
          </w:p>
        </w:tc>
        <w:tc>
          <w:tcPr>
            <w:tcW w:type="dxa" w:w="3600"/>
            <w:shd w:fill="0F2847" w:val="clear"/>
            <w:tcMar>
              <w:top w:w="60" w:type="dxa"/>
              <w:bottom w:w="60" w:type="dxa"/>
              <w:left w:w="120" w:type="dxa"/>
              <w:right w:w="120" w:type="dxa"/>
            </w:tcMar>
            <w:vAlign w:val="center"/>
          </w:tcPr>
          <w:p>
            <w:pPr>
              <w:jc w:val="center"/>
            </w:pPr>
            <w:r>
              <w:rPr>
                <w:rFonts w:ascii="Calibri" w:hAnsi="Calibri"/>
                <w:b/>
                <w:color w:val="FFFFFF"/>
                <w:sz w:val="13"/>
              </w:rPr>
              <w:t>Reading the map</w:t>
            </w:r>
          </w:p>
        </w:tc>
        <w:tc>
          <w:tcPr>
            <w:tcW w:type="dxa" w:w="3240"/>
            <w:shd w:fill="0F2847" w:val="clear"/>
            <w:tcMar>
              <w:top w:w="60" w:type="dxa"/>
              <w:bottom w:w="60" w:type="dxa"/>
              <w:left w:w="120" w:type="dxa"/>
              <w:right w:w="120" w:type="dxa"/>
            </w:tcMar>
            <w:vAlign w:val="center"/>
          </w:tcPr>
          <w:p>
            <w:pPr>
              <w:jc w:val="center"/>
            </w:pPr>
            <w:r>
              <w:rPr>
                <w:rFonts w:ascii="Calibri" w:hAnsi="Calibri"/>
                <w:b/>
                <w:color w:val="FFFFFF"/>
                <w:sz w:val="13"/>
              </w:rPr>
              <w:t>Why counts need context</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Filing counts by district and block — descriptive workload only; not incidence or need.</w:t>
            </w:r>
          </w:p>
        </w:tc>
        <w:tc>
          <w:tcPr>
            <w:tcW w:type="dxa" w:w="3346"/>
            <w:tcMar>
              <w:top w:w="55" w:type="dxa"/>
              <w:bottom w:w="55" w:type="dxa"/>
              <w:left w:w="120" w:type="dxa"/>
              <w:right w:w="120" w:type="dxa"/>
            </w:tcMar>
            <w:vAlign w:val="center"/>
          </w:tcPr>
          <w:p>
            <w:pPr>
              <w:jc w:val="center"/>
            </w:pPr>
            <w:r>
              <w:rPr>
                <w:rFonts w:ascii="Calibri" w:hAnsi="Calibri"/>
                <w:color w:val="3A4556"/>
                <w:sz w:val="14"/>
              </w:rPr>
              <w:t>Counts can locate workload and unusual changes within a geography, but they do not support fair rate comparisons across differently sized populations.</w:t>
            </w:r>
          </w:p>
        </w:tc>
        <w:tc>
          <w:tcPr>
            <w:tcW w:type="dxa" w:w="3346"/>
            <w:tcMar>
              <w:top w:w="55" w:type="dxa"/>
              <w:bottom w:w="55" w:type="dxa"/>
              <w:left w:w="120" w:type="dxa"/>
              <w:right w:w="120" w:type="dxa"/>
            </w:tcMar>
            <w:vAlign w:val="center"/>
          </w:tcPr>
          <w:p>
            <w:pPr>
              <w:jc w:val="center"/>
            </w:pPr>
            <w:r>
              <w:rPr>
                <w:rFonts w:ascii="Calibri" w:hAnsi="Calibri"/>
                <w:color w:val="3A4556"/>
                <w:sz w:val="14"/>
              </w:rPr>
              <w:t>The first map release will not rank districts by per-capita or per-eligible rates until a current, documented denominator is governed.</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Distinct signatories and inferred problems — reported beside filing counts.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Two districts can have the same complaint count for different reasons — many citizens vs few citizens filing often.</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Separating petitioners from filings distinguishes broad-based demand from repeat-filing concentration.</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Complaints per petitioner — Subarnapur ≈1.18 (many people, each once — textbook genuine demand), Sambalpur 2.19 (highest in state, few people, filing often).</w:t>
            </w:r>
          </w:p>
        </w:tc>
        <w:tc>
          <w:tcPr>
            <w:tcW w:type="dxa" w:w="3346"/>
            <w:tcMar>
              <w:top w:w="55" w:type="dxa"/>
              <w:bottom w:w="55" w:type="dxa"/>
              <w:left w:w="120" w:type="dxa"/>
              <w:right w:w="120" w:type="dxa"/>
            </w:tcMar>
            <w:vAlign w:val="center"/>
          </w:tcPr>
          <w:p>
            <w:pPr>
              <w:jc w:val="center"/>
            </w:pPr>
            <w:r>
              <w:rPr>
                <w:rFonts w:ascii="Calibri" w:hAnsi="Calibri"/>
                <w:color w:val="3A4556"/>
                <w:sz w:val="14"/>
              </w:rPr>
              <w:t>Even after removing discards, a residual concentration signal remains in Sambalpur.</w:t>
            </w:r>
          </w:p>
        </w:tc>
        <w:tc>
          <w:tcPr>
            <w:tcW w:type="dxa" w:w="3346"/>
            <w:tcMar>
              <w:top w:w="55" w:type="dxa"/>
              <w:bottom w:w="55" w:type="dxa"/>
              <w:left w:w="120" w:type="dxa"/>
              <w:right w:w="120" w:type="dxa"/>
            </w:tcMar>
            <w:vAlign w:val="center"/>
          </w:tcPr>
          <w:p>
            <w:pPr>
              <w:jc w:val="center"/>
            </w:pPr>
            <w:r>
              <w:rPr>
                <w:rFonts w:ascii="Calibri" w:hAnsi="Calibri"/>
                <w:color w:val="3A4556"/>
                <w:sz w:val="14"/>
              </w:rPr>
              <w:t>A filing count alone cannot tell you whether to investigate broad service-delivery demand or a small set of repeat filers.</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Rural Housing + PMAY filing volume — descriptive counts, with period and suppression status.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Grievance volume is a near-real-time PMAY implementation monitor by district — when Rural Housing spikes, expect a survey, list, or payment bottleneck to investigate.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Two housing labels that grew by ~147k year-on-year (Rural Housing 83k→168k, PMAY 26k→89k) dominate the geography.</w:t>
            </w:r>
          </w:p>
        </w:tc>
      </w:tr>
    </w:tbl>
    <w:p>
      <w:pPr>
        <w:spacing w:after="80" w:before="0"/>
        <w:jc w:val="left"/>
      </w:pPr>
      <w:r>
        <w:rPr>
          <w:rFonts w:ascii="Calibri" w:hAnsi="Calibri"/>
          <w:b w:val="0"/>
          <w:i/>
          <w:color w:val="6B7280"/>
          <w:sz w:val="15"/>
        </w:rPr>
        <w:t>The operational use is change detection: flag a district or block whose filing count rises unusually relative to its own history, then inspect whether the change reflects many signatories, repeat filing or inferred problem clusters. Cross-district rate comparisons remain disabled until a governed denominator exists; district-to-block drilldown follows only after the boundary crosswalk is deterministic.</w:t>
      </w:r>
    </w:p>
    <w:p>
      <w:pPr>
        <w:pStyle w:val="Heading2"/>
      </w:pPr>
      <w:r>
        <w:t>Spikes with the cause attached — the three-number contract</w:t>
      </w:r>
    </w:p>
    <w:p>
      <w:pPr>
        <w:spacing w:after="80" w:before="0"/>
        <w:jc w:val="left"/>
      </w:pPr>
      <w:r>
        <w:rPr>
          <w:rFonts w:ascii="Calibri" w:hAnsi="Calibri"/>
          <w:b w:val="0"/>
          <w:i w:val="0"/>
          <w:color w:val="3A4556"/>
          <w:sz w:val="16"/>
        </w:rPr>
        <w:t>A rise in filings can mean 400 citizens about one road, or 200 unrelated problems. Those need opposite responses and are identical in a dashboard count. Detecting the spike is ordinary (EWMA over category × district × week, flagged when filings ≥2× trailing 8-week mean and ≥1.5× same week last year — seasonality matters, so comparison is July–June year-over-year, not month-over-month). The hard part — and the capability — is decomposing the spike into three numbers: filings / distinct problems (dedup clusters) / distinct citizens (signatories). A campaign is not a false spike and is never suppressed; it is labelled by which measure drove it.</w:t>
      </w:r>
    </w:p>
    <w:p>
      <w:r>
        <w:drawing>
          <wp:inline xmlns:a="http://schemas.openxmlformats.org/drawingml/2006/main" xmlns:pic="http://schemas.openxmlformats.org/drawingml/2006/picture">
            <wp:extent cx="6355080" cy="1676642"/>
            <wp:docPr id="4" name="Picture 4"/>
            <wp:cNvGraphicFramePr>
              <a:graphicFrameLocks noChangeAspect="1"/>
            </wp:cNvGraphicFramePr>
            <a:graphic>
              <a:graphicData uri="http://schemas.openxmlformats.org/drawingml/2006/picture">
                <pic:pic>
                  <pic:nvPicPr>
                    <pic:cNvPr id="0" name="fig_spike.png"/>
                    <pic:cNvPicPr/>
                  </pic:nvPicPr>
                  <pic:blipFill>
                    <a:blip r:embed="rId13"/>
                    <a:stretch>
                      <a:fillRect/>
                    </a:stretch>
                  </pic:blipFill>
                  <pic:spPr>
                    <a:xfrm>
                      <a:off x="0" y="0"/>
                      <a:ext cx="6355080" cy="1676642"/>
                    </a:xfrm>
                    <a:prstGeom prst="rect"/>
                  </pic:spPr>
                </pic:pic>
              </a:graphicData>
            </a:graphic>
          </wp:inline>
        </w:drawing>
      </w:r>
    </w:p>
    <w:p>
      <w:pPr>
        <w:pStyle w:val="Caption"/>
        <w:spacing w:before="40" w:after="200"/>
        <w:jc w:val="center"/>
      </w:pPr>
      <w:r>
        <w:rPr>
          <w:rFonts w:ascii="Calibri" w:hAnsi="Calibri"/>
          <w:i/>
          <w:color w:val="6B7280"/>
          <w:sz w:val="14"/>
        </w:rPr>
        <w:t>Figure 5 — The spike concept. Top: detection is ordinary. Bottom: decomposition (filings / problems / citizens) requires the dedup index — collapsing 480 filings from 410 citizens about one road to “1” would destroy the signal government needs to see.</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c>
          <w:tcPr>
            <w:tcW w:type="dxa" w:w="2664"/>
            <w:shd w:fill="0E7C7B" w:val="clear"/>
            <w:tcMar>
              <w:top w:w="60" w:type="dxa"/>
              <w:bottom w:w="60" w:type="dxa"/>
              <w:left w:w="120" w:type="dxa"/>
              <w:right w:w="120" w:type="dxa"/>
            </w:tcMar>
            <w:vAlign w:val="center"/>
          </w:tcPr>
          <w:p>
            <w:pPr>
              <w:jc w:val="center"/>
            </w:pPr>
            <w:r>
              <w:rPr>
                <w:rFonts w:ascii="Calibri" w:hAnsi="Calibri"/>
                <w:b/>
                <w:color w:val="FFFFFF"/>
                <w:sz w:val="13"/>
              </w:rPr>
              <w:t>Spike fact (current lake, 1.37M complaints)</w:t>
            </w:r>
          </w:p>
        </w:tc>
        <w:tc>
          <w:tcPr>
            <w:tcW w:type="dxa" w:w="1944"/>
            <w:shd w:fill="0E7C7B" w:val="clear"/>
            <w:tcMar>
              <w:top w:w="60" w:type="dxa"/>
              <w:bottom w:w="60" w:type="dxa"/>
              <w:left w:w="120" w:type="dxa"/>
              <w:right w:w="120" w:type="dxa"/>
            </w:tcMar>
            <w:vAlign w:val="center"/>
          </w:tcPr>
          <w:p>
            <w:pPr>
              <w:jc w:val="center"/>
            </w:pPr>
            <w:r>
              <w:rPr>
                <w:rFonts w:ascii="Calibri" w:hAnsi="Calibri"/>
                <w:b/>
                <w:color w:val="FFFFFF"/>
                <w:sz w:val="13"/>
              </w:rPr>
              <w:t>Measured</w:t>
            </w:r>
          </w:p>
        </w:tc>
        <w:tc>
          <w:tcPr>
            <w:tcW w:type="dxa" w:w="4824"/>
            <w:shd w:fill="0E7C7B" w:val="clear"/>
            <w:tcMar>
              <w:top w:w="60" w:type="dxa"/>
              <w:bottom w:w="60" w:type="dxa"/>
              <w:left w:w="120" w:type="dxa"/>
              <w:right w:w="120" w:type="dxa"/>
            </w:tcMar>
            <w:vAlign w:val="center"/>
          </w:tcPr>
          <w:p>
            <w:pPr>
              <w:jc w:val="center"/>
            </w:pPr>
            <w:r>
              <w:rPr>
                <w:rFonts w:ascii="Calibri" w:hAnsi="Calibri"/>
                <w:b/>
                <w:color w:val="FFFFFF"/>
                <w:sz w:val="13"/>
              </w:rPr>
              <w:t>Officer implication</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Candidate spikes found (category × district × week)</w:t>
            </w:r>
          </w:p>
        </w:tc>
        <w:tc>
          <w:tcPr>
            <w:tcW w:type="dxa" w:w="3346"/>
            <w:tcMar>
              <w:top w:w="55" w:type="dxa"/>
              <w:bottom w:w="55" w:type="dxa"/>
              <w:left w:w="120" w:type="dxa"/>
              <w:right w:w="120" w:type="dxa"/>
            </w:tcMar>
            <w:vAlign w:val="center"/>
          </w:tcPr>
          <w:p>
            <w:pPr>
              <w:jc w:val="center"/>
            </w:pPr>
            <w:r>
              <w:rPr>
                <w:rFonts w:ascii="Calibri" w:hAnsi="Calibri"/>
                <w:color w:val="3A4556"/>
                <w:sz w:val="14"/>
              </w:rPr>
              <w:t>11,935</w:t>
            </w:r>
          </w:p>
        </w:tc>
        <w:tc>
          <w:tcPr>
            <w:tcW w:type="dxa" w:w="3346"/>
            <w:tcMar>
              <w:top w:w="55" w:type="dxa"/>
              <w:bottom w:w="55" w:type="dxa"/>
              <w:left w:w="120" w:type="dxa"/>
              <w:right w:w="120" w:type="dxa"/>
            </w:tcMar>
            <w:vAlign w:val="center"/>
          </w:tcPr>
          <w:p>
            <w:pPr>
              <w:jc w:val="center"/>
            </w:pPr>
            <w:r>
              <w:rPr>
                <w:rFonts w:ascii="Calibri" w:hAnsi="Calibri"/>
                <w:color w:val="3A4556"/>
                <w:sz w:val="14"/>
              </w:rPr>
              <w:t>Most spikes are not reportable — the panel surfaces only the top candidates by lift; the rest are noise until decomposed.</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Largest lift observed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833.8× — Infrastructure × Bargarh, week 2023-07-17: 2,144 filings vs trailing mean 2</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A real event, not a data artefact — the same week last year and the trailing mean both diverge, so it survives both gates.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Decomposition columns in mart</w:t>
            </w:r>
          </w:p>
        </w:tc>
        <w:tc>
          <w:tcPr>
            <w:tcW w:type="dxa" w:w="3346"/>
            <w:tcMar>
              <w:top w:w="55" w:type="dxa"/>
              <w:bottom w:w="55" w:type="dxa"/>
              <w:left w:w="120" w:type="dxa"/>
              <w:right w:w="120" w:type="dxa"/>
            </w:tcMar>
            <w:vAlign w:val="center"/>
          </w:tcPr>
          <w:p>
            <w:pPr>
              <w:jc w:val="center"/>
            </w:pPr>
            <w:r>
              <w:rPr>
                <w:rFonts w:ascii="Calibri" w:hAnsi="Calibri"/>
                <w:color w:val="3A4556"/>
                <w:sz w:val="14"/>
              </w:rPr>
              <w:t>filings / distinct_clusters / distinct_signatories — but NULL as “pending dedup index” until the index join is wired</w:t>
            </w:r>
          </w:p>
        </w:tc>
        <w:tc>
          <w:tcPr>
            <w:tcW w:type="dxa" w:w="3346"/>
            <w:tcMar>
              <w:top w:w="55" w:type="dxa"/>
              <w:bottom w:w="55" w:type="dxa"/>
              <w:left w:w="120" w:type="dxa"/>
              <w:right w:w="120" w:type="dxa"/>
            </w:tcMar>
            <w:vAlign w:val="center"/>
          </w:tcPr>
          <w:p>
            <w:pPr>
              <w:jc w:val="center"/>
            </w:pPr>
            <w:r>
              <w:rPr>
                <w:rFonts w:ascii="Calibri" w:hAnsi="Calibri"/>
                <w:color w:val="3A4556"/>
                <w:sz w:val="14"/>
              </w:rPr>
              <w:t>Spike.sql currently hardcodes NULL for clusters (#78) — so the three-number panel shows “Unavailable*” for clusters/citizens rather than a wrong number. The contract is enforced even when the data is not yet joined.</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One worked example (top candidate) — when wired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e.g., Rural Housing × Sambalpur, week W: 480 filings / 12 problems / 410 citizens → campaign about a concentrated issue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Response: one coordinated field follow-up (survey/list/payment) — not 480 parallel enquiries. A diffuse spike (480 filings / 260 problems / 400 citizens) would instead need triage and routing.</w:t>
            </w:r>
          </w:p>
        </w:tc>
      </w:tr>
    </w:tbl>
    <w:p>
      <w:pPr>
        <w:spacing w:after="80" w:before="0"/>
        <w:jc w:val="left"/>
      </w:pPr>
      <w:r>
        <w:rPr>
          <w:rFonts w:ascii="Calibri" w:hAnsi="Calibri"/>
          <w:b w:val="0"/>
          <w:i w:val="0"/>
          <w:color w:val="3A4556"/>
          <w:sz w:val="16"/>
        </w:rPr>
        <w:t>Duplicate-adjusted workload — the same three numbers, without a spike. For Sambalpur/2024: 55,544 filings → 10,963 inferred problems → 8,560 distinct signatories: 5.07 filings per inferred problem, or 80.3% fewer problem-units than filings. This is a reviewable operational view, not ground-truth workload. Workload and spike share the same dedup digest, and serving refuses a mixed snapshot (#137).</w:t>
      </w:r>
    </w:p>
    <w:p>
      <w:pPr>
        <w:pStyle w:val="Heading2"/>
      </w:pPr>
      <w:r>
        <w:t>Deeper cuts — local themes, block-level variation, and where time is lost</w:t>
      </w:r>
    </w:p>
    <w:p>
      <w:pPr>
        <w:spacing w:after="80" w:before="0"/>
        <w:jc w:val="left"/>
      </w:pPr>
      <w:r>
        <w:rPr>
          <w:rFonts w:ascii="Calibri" w:hAnsi="Calibri"/>
          <w:b w:val="0"/>
          <w:i w:val="0"/>
          <w:color w:val="3A4556"/>
          <w:sz w:val="16"/>
        </w:rPr>
        <w:t>Local issue themes. Complaints are grouped by what they are about (TF-IDF clustering over redacted text, one category at a time) and then filtered to themes that are both concentrated in one district and rising over time. Concentrated + rising is the alert worth acting on. Example: within Rural Housing, sub-themes such as construction quality vs beneficiary targeting vs land records vs procedural delay are indistinguishable in the category label but separable in text — if the text is redacted first. The demo shows themes for one category as a worked example; at full scale this is per-category, per-district.</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c>
          <w:tcPr>
            <w:tcW w:type="dxa" w:w="2304"/>
            <w:shd w:fill="0F2847" w:val="clear"/>
            <w:tcMar>
              <w:top w:w="60" w:type="dxa"/>
              <w:bottom w:w="60" w:type="dxa"/>
              <w:left w:w="120" w:type="dxa"/>
              <w:right w:w="120" w:type="dxa"/>
            </w:tcMar>
            <w:vAlign w:val="center"/>
          </w:tcPr>
          <w:p>
            <w:pPr>
              <w:jc w:val="center"/>
            </w:pPr>
            <w:r>
              <w:rPr>
                <w:rFonts w:ascii="Calibri" w:hAnsi="Calibri"/>
                <w:b/>
                <w:color w:val="FFFFFF"/>
                <w:sz w:val="13"/>
              </w:rPr>
              <w:t>Diagnostic</w:t>
            </w:r>
          </w:p>
        </w:tc>
        <w:tc>
          <w:tcPr>
            <w:tcW w:type="dxa" w:w="3744"/>
            <w:shd w:fill="0F2847" w:val="clear"/>
            <w:tcMar>
              <w:top w:w="60" w:type="dxa"/>
              <w:bottom w:w="60" w:type="dxa"/>
              <w:left w:w="120" w:type="dxa"/>
              <w:right w:w="120" w:type="dxa"/>
            </w:tcMar>
            <w:vAlign w:val="center"/>
          </w:tcPr>
          <w:p>
            <w:pPr>
              <w:jc w:val="center"/>
            </w:pPr>
            <w:r>
              <w:rPr>
                <w:rFonts w:ascii="Calibri" w:hAnsi="Calibri"/>
                <w:b/>
                <w:color w:val="FFFFFF"/>
                <w:sz w:val="13"/>
              </w:rPr>
              <w:t>Finding</w:t>
            </w:r>
          </w:p>
        </w:tc>
        <w:tc>
          <w:tcPr>
            <w:tcW w:type="dxa" w:w="3384"/>
            <w:shd w:fill="0F2847" w:val="clear"/>
            <w:tcMar>
              <w:top w:w="60" w:type="dxa"/>
              <w:bottom w:w="60" w:type="dxa"/>
              <w:left w:w="120" w:type="dxa"/>
              <w:right w:w="120" w:type="dxa"/>
            </w:tcMar>
            <w:vAlign w:val="center"/>
          </w:tcPr>
          <w:p>
            <w:pPr>
              <w:jc w:val="center"/>
            </w:pPr>
            <w:r>
              <w:rPr>
                <w:rFonts w:ascii="Calibri" w:hAnsi="Calibri"/>
                <w:b/>
                <w:color w:val="FFFFFF"/>
                <w:sz w:val="13"/>
              </w:rPr>
              <w:t>Why it matters more than a district dashboard</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Block vs district — where disposal time actually varies</w:t>
            </w:r>
          </w:p>
        </w:tc>
        <w:tc>
          <w:tcPr>
            <w:tcW w:type="dxa" w:w="3346"/>
            <w:tcMar>
              <w:top w:w="55" w:type="dxa"/>
              <w:bottom w:w="55" w:type="dxa"/>
              <w:left w:w="120" w:type="dxa"/>
              <w:right w:w="120" w:type="dxa"/>
            </w:tcMar>
            <w:vAlign w:val="center"/>
          </w:tcPr>
          <w:p>
            <w:pPr>
              <w:jc w:val="center"/>
            </w:pPr>
            <w:r>
              <w:rPr>
                <w:rFonts w:ascii="Calibri" w:hAnsi="Calibri"/>
                <w:color w:val="3A4556"/>
                <w:sz w:val="14"/>
              </w:rPr>
              <w:t>Formula: disposal time ~ filing week + office type + online/offline + gender + geography. Knowing district adds +5.7 pp to variation explained; knowing block adds +12.2 pp (more than twice as much). Range: ~476 days block-to-block vs ~62 days district-to-district.</w:t>
            </w:r>
          </w:p>
        </w:tc>
        <w:tc>
          <w:tcPr>
            <w:tcW w:type="dxa" w:w="3346"/>
            <w:tcMar>
              <w:top w:w="55" w:type="dxa"/>
              <w:bottom w:w="55" w:type="dxa"/>
              <w:left w:w="120" w:type="dxa"/>
              <w:right w:w="120" w:type="dxa"/>
            </w:tcMar>
            <w:vAlign w:val="center"/>
          </w:tcPr>
          <w:p>
            <w:pPr>
              <w:jc w:val="center"/>
            </w:pPr>
            <w:r>
              <w:rPr>
                <w:rFonts w:ascii="Calibri" w:hAnsi="Calibri"/>
                <w:color w:val="3A4556"/>
                <w:sz w:val="14"/>
              </w:rPr>
              <w:t>A district dashboard can make a severely delayed district appear average if its slow blocks are averaged together with its faster ones. Monitor at district, diagnose at block.</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Online vs offline on disposal speed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Adjusted difference &lt;2–3 days, small and unstable — not a first-order policy lever.</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Channel choice affects who can file, not how fast a filed case resolves.</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Gender on disposal speed</w:t>
            </w:r>
          </w:p>
        </w:tc>
        <w:tc>
          <w:tcPr>
            <w:tcW w:type="dxa" w:w="3346"/>
            <w:tcMar>
              <w:top w:w="55" w:type="dxa"/>
              <w:bottom w:w="55" w:type="dxa"/>
              <w:left w:w="120" w:type="dxa"/>
              <w:right w:w="120" w:type="dxa"/>
            </w:tcMar>
            <w:vAlign w:val="center"/>
          </w:tcPr>
          <w:p>
            <w:pPr>
              <w:jc w:val="center"/>
            </w:pPr>
            <w:r>
              <w:rPr>
                <w:rFonts w:ascii="Calibri" w:hAnsi="Calibri"/>
                <w:color w:val="3A4556"/>
                <w:sz w:val="14"/>
              </w:rPr>
              <w:t>Women’s complaints resolve ~2 days faster on average after accounting for block/office/complaint characteristics — too small to drive separate policy, but worth tracking.</w:t>
            </w:r>
          </w:p>
        </w:tc>
        <w:tc>
          <w:tcPr>
            <w:tcW w:type="dxa" w:w="3346"/>
            <w:tcMar>
              <w:top w:w="55" w:type="dxa"/>
              <w:bottom w:w="55" w:type="dxa"/>
              <w:left w:w="120" w:type="dxa"/>
              <w:right w:w="120" w:type="dxa"/>
            </w:tcMar>
            <w:vAlign w:val="center"/>
          </w:tcPr>
          <w:p>
            <w:pPr>
              <w:jc w:val="center"/>
            </w:pPr>
            <w:r>
              <w:rPr>
                <w:rFonts w:ascii="Calibri" w:hAnsi="Calibri"/>
                <w:color w:val="3A4556"/>
                <w:sz w:val="14"/>
              </w:rPr>
              <w:t>The larger gender story is filing composition (next section), not speed.</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Overall improvement</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System-wide disposed median fell ~52 days between July 2024 and June 2025, after accounting for block/office/complaint mix — a genuine operational improvement at rising volume.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Not attributable to a single intervention — but the measurement is now auditable per block and per month.</w:t>
            </w:r>
          </w:p>
        </w:tc>
      </w:tr>
    </w:tbl>
    <w:tbl>
      <w:tblPr>
        <w:tblW w:type="auto" w:w="0"/>
        <w:jc w:val="center"/>
        <w:tblLook w:firstColumn="1" w:firstRow="1" w:lastColumn="0" w:lastRow="0" w:noHBand="0" w:noVBand="1" w:val="04A0"/>
      </w:tblPr>
      <w:tblGrid>
        <w:gridCol w:w="10037"/>
      </w:tblGrid>
      <w:tr>
        <w:tc>
          <w:tcPr>
            <w:tcW w:type="dxa" w:w="10037"/>
            <w:shd w:fill="FFFBEB" w:val="clear"/>
            <w:tcBorders>
              <w:top w:val="single" w:sz="3" w:space="0" w:color="E5E7EB"/>
              <w:right w:val="single" w:sz="3" w:space="0" w:color="E5E7EB"/>
              <w:bottom w:val="single" w:sz="3" w:space="0" w:color="E5E7EB"/>
              <w:left w:val="single" w:sz="12" w:space="8" w:color="B88A1E"/>
            </w:tcBorders>
            <w:tcMar>
              <w:top w:w="70" w:type="dxa"/>
              <w:bottom w:w="70" w:type="dxa"/>
              <w:left w:w="140" w:type="dxa"/>
              <w:right w:w="140" w:type="dxa"/>
            </w:tcMar>
          </w:tcPr>
          <w:p>
            <w:pPr>
              <w:jc w:val="left"/>
            </w:pPr>
            <w:r>
              <w:rPr>
                <w:b/>
                <w:color w:val="B88A1E"/>
                <w:sz w:val="17"/>
              </w:rPr>
              <w:t>⚠  Eligibility denominators remain the highest-priority external data to acquire. A block with 200 housing complaints among 1,000 eligible households is a different fact from 200 among 10,000. Until current beneficiary lists are linked, documented and governed, the UI and report must not publish per-capita or per-eligible rates.</w:t>
            </w:r>
            <w:r>
              <w:rPr>
                <w:rFonts w:ascii="Calibri" w:hAnsi="Calibri"/>
                <w:color w:val="1F2A37"/>
                <w:sz w:val="15"/>
              </w:rPr>
            </w:r>
          </w:p>
        </w:tc>
      </w:tr>
    </w:tbl>
    <w:p>
      <w:pPr>
        <w:spacing w:before="160"/>
        <w:pBdr>
          <w:bottom w:val="single" w:sz="2.4" w:space="1" w:color="0E7C7B"/>
        </w:pBdr>
      </w:pPr>
      <w:r>
        <w:rPr>
          <w:rFonts w:ascii="Calibri" w:hAnsi="Calibri"/>
          <w:b/>
          <w:color w:val="0E7C7B"/>
          <w:sz w:val="14"/>
        </w:rPr>
        <w:t>6  —  WHO IS COMPLAINING</w:t>
      </w:r>
    </w:p>
    <w:p>
      <w:pPr>
        <w:pStyle w:val="Heading1"/>
      </w:pPr>
      <w:r>
        <w:t>Who the system serves — and how that is changing</w:t>
      </w:r>
    </w:p>
    <w:p>
      <w:pPr>
        <w:spacing w:after="80" w:before="0"/>
        <w:jc w:val="left"/>
      </w:pPr>
      <w:r>
        <w:rPr>
          <w:rFonts w:ascii="Calibri" w:hAnsi="Calibri"/>
          <w:b w:val="0"/>
          <w:i w:val="0"/>
          <w:color w:val="3A4556"/>
          <w:sz w:val="17"/>
        </w:rPr>
        <w:t>Complaint volume is not a neutral count — a surge driven by many citizens each filing once is a different governance fact from a surge driven by a few citizens filing repeatedly. The same is true for channel (online vs offline), gender, and geography. The intelligence layer makes the “who” as visible as the “what”.</w:t>
      </w:r>
    </w:p>
    <w:p>
      <w:r>
        <w:drawing>
          <wp:inline xmlns:a="http://schemas.openxmlformats.org/drawingml/2006/main" xmlns:pic="http://schemas.openxmlformats.org/drawingml/2006/picture">
            <wp:extent cx="6355080" cy="2078372"/>
            <wp:docPr id="5" name="Picture 5"/>
            <wp:cNvGraphicFramePr>
              <a:graphicFrameLocks noChangeAspect="1"/>
            </wp:cNvGraphicFramePr>
            <a:graphic>
              <a:graphicData uri="http://schemas.openxmlformats.org/drawingml/2006/picture">
                <pic:pic>
                  <pic:nvPicPr>
                    <pic:cNvPr id="0" name="fig_gender.png"/>
                    <pic:cNvPicPr/>
                  </pic:nvPicPr>
                  <pic:blipFill>
                    <a:blip r:embed="rId14"/>
                    <a:stretch>
                      <a:fillRect/>
                    </a:stretch>
                  </pic:blipFill>
                  <pic:spPr>
                    <a:xfrm>
                      <a:off x="0" y="0"/>
                      <a:ext cx="6355080" cy="2078372"/>
                    </a:xfrm>
                    <a:prstGeom prst="rect"/>
                  </pic:spPr>
                </pic:pic>
              </a:graphicData>
            </a:graphic>
          </wp:inline>
        </w:drawing>
      </w:r>
    </w:p>
    <w:p>
      <w:pPr>
        <w:pStyle w:val="Caption"/>
        <w:spacing w:before="40" w:after="200"/>
        <w:jc w:val="center"/>
      </w:pPr>
      <w:r>
        <w:rPr>
          <w:rFonts w:ascii="Calibri" w:hAnsi="Calibri"/>
          <w:i/>
          <w:color w:val="6B7280"/>
          <w:sz w:val="14"/>
        </w:rPr>
        <w:t>Figure 6 — Petitioner gender composition (petitioner-level, not complaint counts). Female share rose from 30% to 46% in three years — a steady rise, not a single-year jump. “Other” includes unspecified / not-disclosed.</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c>
          <w:tcPr>
            <w:tcW w:type="dxa" w:w="1944"/>
            <w:shd w:fill="0F2847" w:val="clear"/>
            <w:tcMar>
              <w:top w:w="60" w:type="dxa"/>
              <w:bottom w:w="60" w:type="dxa"/>
              <w:left w:w="120" w:type="dxa"/>
              <w:right w:w="120" w:type="dxa"/>
            </w:tcMar>
            <w:vAlign w:val="center"/>
          </w:tcPr>
          <w:p>
            <w:pPr>
              <w:jc w:val="center"/>
            </w:pPr>
            <w:r>
              <w:rPr>
                <w:rFonts w:ascii="Calibri" w:hAnsi="Calibri"/>
                <w:b/>
                <w:color w:val="FFFFFF"/>
                <w:sz w:val="12"/>
              </w:rPr>
              <w:t>Who / how — dimension</w:t>
            </w:r>
          </w:p>
        </w:tc>
        <w:tc>
          <w:tcPr>
            <w:tcW w:type="dxa" w:w="3384"/>
            <w:shd w:fill="0F2847" w:val="clear"/>
            <w:tcMar>
              <w:top w:w="60" w:type="dxa"/>
              <w:bottom w:w="60" w:type="dxa"/>
              <w:left w:w="120" w:type="dxa"/>
              <w:right w:w="120" w:type="dxa"/>
            </w:tcMar>
            <w:vAlign w:val="center"/>
          </w:tcPr>
          <w:p>
            <w:pPr>
              <w:jc w:val="center"/>
            </w:pPr>
            <w:r>
              <w:rPr>
                <w:rFonts w:ascii="Calibri" w:hAnsi="Calibri"/>
                <w:b/>
                <w:color w:val="FFFFFF"/>
                <w:sz w:val="12"/>
              </w:rPr>
              <w:t>What the data shows</w:t>
            </w:r>
          </w:p>
        </w:tc>
        <w:tc>
          <w:tcPr>
            <w:tcW w:type="dxa" w:w="4104"/>
            <w:shd w:fill="0F2847" w:val="clear"/>
            <w:tcMar>
              <w:top w:w="60" w:type="dxa"/>
              <w:bottom w:w="60" w:type="dxa"/>
              <w:left w:w="120" w:type="dxa"/>
              <w:right w:w="120" w:type="dxa"/>
            </w:tcMar>
            <w:vAlign w:val="center"/>
          </w:tcPr>
          <w:p>
            <w:pPr>
              <w:jc w:val="center"/>
            </w:pPr>
            <w:r>
              <w:rPr>
                <w:rFonts w:ascii="Calibri" w:hAnsi="Calibri"/>
                <w:b/>
                <w:color w:val="FFFFFF"/>
                <w:sz w:val="12"/>
              </w:rPr>
              <w:t>What it implies for design</w:t>
            </w:r>
          </w:p>
        </w:tc>
      </w:tr>
      <w:tr>
        <w:tc>
          <w:tcPr>
            <w:tcW w:type="dxa" w:w="3346"/>
            <w:tcMar>
              <w:top w:w="55" w:type="dxa"/>
              <w:bottom w:w="55" w:type="dxa"/>
              <w:left w:w="120" w:type="dxa"/>
              <w:right w:w="120" w:type="dxa"/>
            </w:tcMar>
            <w:vAlign w:val="center"/>
          </w:tcPr>
          <w:p>
            <w:pPr>
              <w:jc w:val="left"/>
            </w:pPr>
            <w:r>
              <w:rPr>
                <w:rFonts w:ascii="Calibri" w:hAnsi="Calibri"/>
                <w:color w:val="3A4556"/>
                <w:sz w:val="13"/>
              </w:rPr>
              <w:t>Repeat filing vs broad access</w:t>
            </w:r>
          </w:p>
        </w:tc>
        <w:tc>
          <w:tcPr>
            <w:tcW w:type="dxa" w:w="3346"/>
            <w:tcMar>
              <w:top w:w="55" w:type="dxa"/>
              <w:bottom w:w="55" w:type="dxa"/>
              <w:left w:w="120" w:type="dxa"/>
              <w:right w:w="120" w:type="dxa"/>
            </w:tcMar>
            <w:vAlign w:val="center"/>
          </w:tcPr>
          <w:p>
            <w:pPr>
              <w:jc w:val="center"/>
            </w:pPr>
            <w:r>
              <w:rPr>
                <w:rFonts w:ascii="Calibri" w:hAnsi="Calibri"/>
                <w:color w:val="3A4556"/>
                <w:sz w:val="13"/>
              </w:rPr>
              <w:t>88% file exactly once (median 1, mean 1.43, 95th percentile 2). The surge is driven by more citizens entering the system — not the same citizens filing more often. Maximum observed: one constructed ID with ~12k filings.</w:t>
            </w:r>
          </w:p>
        </w:tc>
        <w:tc>
          <w:tcPr>
            <w:tcW w:type="dxa" w:w="3346"/>
            <w:tcMar>
              <w:top w:w="55" w:type="dxa"/>
              <w:bottom w:w="55" w:type="dxa"/>
              <w:left w:w="120" w:type="dxa"/>
              <w:right w:w="120" w:type="dxa"/>
            </w:tcMar>
            <w:vAlign w:val="center"/>
          </w:tcPr>
          <w:p>
            <w:pPr>
              <w:jc w:val="center"/>
            </w:pPr>
            <w:r>
              <w:rPr>
                <w:rFonts w:ascii="Calibri" w:hAnsi="Calibri"/>
                <w:color w:val="3A4556"/>
                <w:sz w:val="13"/>
              </w:rPr>
              <w:t>Access is broadening, not concentrating. The exception (single-filer with many filings, e.g., 26k in Sambalpur/2024) is visible in dedup groups — so high-complaint districts can be checked for repeat-filer artefacts before they are mistaken for service-delivery crises.</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3"/>
              </w:rPr>
              <w:t>Gender — the headline shift</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Female: 30% (21–22) → 33% → 37% → 46% (24–25). Male: 53% → 50% → 45% → 40%. Female petitioner count +125% (23–24 to 24–25) vs male +59%.</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The system is approaching gender parity among petitioners — a monitoring claim worth surfacing to reviewers, with the caveat that “benefit” is officer-assessed, not citizen-reported.</w:t>
            </w:r>
          </w:p>
        </w:tc>
      </w:tr>
      <w:tr>
        <w:tc>
          <w:tcPr>
            <w:tcW w:type="dxa" w:w="3346"/>
            <w:tcMar>
              <w:top w:w="55" w:type="dxa"/>
              <w:bottom w:w="55" w:type="dxa"/>
              <w:left w:w="120" w:type="dxa"/>
              <w:right w:w="120" w:type="dxa"/>
            </w:tcMar>
            <w:vAlign w:val="center"/>
          </w:tcPr>
          <w:p>
            <w:pPr>
              <w:jc w:val="left"/>
            </w:pPr>
            <w:r>
              <w:rPr>
                <w:rFonts w:ascii="Calibri" w:hAnsi="Calibri"/>
                <w:color w:val="3A4556"/>
                <w:sz w:val="13"/>
              </w:rPr>
              <w:t>Gender × channel — the surprise</w:t>
            </w:r>
          </w:p>
        </w:tc>
        <w:tc>
          <w:tcPr>
            <w:tcW w:type="dxa" w:w="3346"/>
            <w:tcMar>
              <w:top w:w="55" w:type="dxa"/>
              <w:bottom w:w="55" w:type="dxa"/>
              <w:left w:w="120" w:type="dxa"/>
              <w:right w:w="120" w:type="dxa"/>
            </w:tcMar>
            <w:vAlign w:val="center"/>
          </w:tcPr>
          <w:p>
            <w:pPr>
              <w:jc w:val="center"/>
            </w:pPr>
            <w:r>
              <w:rPr>
                <w:rFonts w:ascii="Calibri" w:hAnsi="Calibri"/>
                <w:color w:val="3A4556"/>
                <w:sz w:val="13"/>
              </w:rPr>
              <w:t>Female online petitioners = 38% of all petitioners (largest gender-mode cell, 2024–25). Within gender, 83% of women filed online vs 57% of men. “Other” gender: 92% online.</w:t>
            </w:r>
          </w:p>
        </w:tc>
        <w:tc>
          <w:tcPr>
            <w:tcW w:type="dxa" w:w="3346"/>
            <w:tcMar>
              <w:top w:w="55" w:type="dxa"/>
              <w:bottom w:w="55" w:type="dxa"/>
              <w:left w:w="120" w:type="dxa"/>
              <w:right w:w="120" w:type="dxa"/>
            </w:tcMar>
            <w:vAlign w:val="center"/>
          </w:tcPr>
          <w:p>
            <w:pPr>
              <w:jc w:val="center"/>
            </w:pPr>
            <w:r>
              <w:rPr>
                <w:rFonts w:ascii="Calibri" w:hAnsi="Calibri"/>
                <w:color w:val="3A4556"/>
                <w:sz w:val="13"/>
              </w:rPr>
              <w:t>The assumption that online is less accessible to women does not hold here at the gross filing rate. Investment in online help, form simplicity, and language support for the women-online majority matters more than adding offline camps for this group.</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3"/>
              </w:rPr>
              <w:t>Channel overall</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Online 79% (543,890) in 2024–25 — same as 2021–22 after correcting for CMO District Visit. WhatsApp + mobile app = 76,580 in 24–25 (up from 15k in 21–22). Discards concentrate online: &gt;99% of NaN/discarded in spike months were online.</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Online completeness checks (duplicate detection, jurisdictional filtering, address/mode validation) reduce intake burden far more than in-person screening — because the discard problem is almost entirely online.</w:t>
            </w:r>
          </w:p>
        </w:tc>
      </w:tr>
      <w:tr>
        <w:tc>
          <w:tcPr>
            <w:tcW w:type="dxa" w:w="3346"/>
            <w:tcMar>
              <w:top w:w="55" w:type="dxa"/>
              <w:bottom w:w="55" w:type="dxa"/>
              <w:left w:w="120" w:type="dxa"/>
              <w:right w:w="120" w:type="dxa"/>
            </w:tcMar>
            <w:vAlign w:val="center"/>
          </w:tcPr>
          <w:p>
            <w:pPr>
              <w:jc w:val="left"/>
            </w:pPr>
            <w:r>
              <w:rPr>
                <w:rFonts w:ascii="Calibri" w:hAnsi="Calibri"/>
                <w:color w:val="3A4556"/>
                <w:sz w:val="13"/>
              </w:rPr>
              <w:t>Geography — rural / urban and district texture</w:t>
            </w:r>
          </w:p>
        </w:tc>
        <w:tc>
          <w:tcPr>
            <w:tcW w:type="dxa" w:w="3346"/>
            <w:tcMar>
              <w:top w:w="55" w:type="dxa"/>
              <w:bottom w:w="55" w:type="dxa"/>
              <w:left w:w="120" w:type="dxa"/>
              <w:right w:w="120" w:type="dxa"/>
            </w:tcMar>
            <w:vAlign w:val="center"/>
          </w:tcPr>
          <w:p>
            <w:pPr>
              <w:jc w:val="center"/>
            </w:pPr>
            <w:r>
              <w:rPr>
                <w:rFonts w:ascii="Calibri" w:hAnsi="Calibri"/>
                <w:color w:val="3A4556"/>
                <w:sz w:val="13"/>
              </w:rPr>
              <w:t>No hard rural/urban flag exists in the structured record. District and block fields can support privacy-safe raw aggregates after deterministic boundary reconciliation, but they do not identify rurality or incidence. Distinct-signatory and filings-per-signatory measures can describe repeat concentration without inventing a population denominator.</w:t>
            </w:r>
          </w:p>
        </w:tc>
        <w:tc>
          <w:tcPr>
            <w:tcW w:type="dxa" w:w="3346"/>
            <w:tcMar>
              <w:top w:w="55" w:type="dxa"/>
              <w:bottom w:w="55" w:type="dxa"/>
              <w:left w:w="120" w:type="dxa"/>
              <w:right w:w="120" w:type="dxa"/>
            </w:tcMar>
            <w:vAlign w:val="center"/>
          </w:tcPr>
          <w:p>
            <w:pPr>
              <w:jc w:val="center"/>
            </w:pPr>
            <w:r>
              <w:rPr>
                <w:rFonts w:ascii="Calibri" w:hAnsi="Calibri"/>
                <w:color w:val="3A4556"/>
                <w:sz w:val="13"/>
              </w:rPr>
              <w:t>In housing-heavy districts, rural-urban can be inferred from block composition and from scheme eligibility (PMAY is rural-housing), but a direct rural/urban petition curve requires linking to census SECC or rural/urban block lists — not yet available as a structured denominator. We do not invent it.</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3"/>
              </w:rPr>
              <w:t>Disadvantaged groups — what we can and cannot show</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No structured caste / category / disability / BPL field exists in the complaint record as extracted. The record contains petitioner_name, district, block, and free-text grievance — so any disadvantaged-group lens must be derived from text (with PII removed) or by linking to external beneficiary lists, not from a checkbox in Janasunani.</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3"/>
              </w:rPr>
              <w:t>Two honest paths: (a) text-derived themes (e.g., pension — OAP/ODP/MBPY/WP — as a proxy for vulnerable complainants, but pensions are only 1% of filings so it is weak) and (b) external linkage — PMAY SECC / pension rolls / ration-card lists by block — to compute complaint rates per eligible disadvantaged household. The second is the credible path; the first is reported with that caveat. We do not present a “disadvantaged-group share” without one of them.</w:t>
            </w:r>
          </w:p>
        </w:tc>
      </w:tr>
      <w:tr>
        <w:tc>
          <w:tcPr>
            <w:tcW w:type="dxa" w:w="3346"/>
            <w:tcMar>
              <w:top w:w="55" w:type="dxa"/>
              <w:bottom w:w="55" w:type="dxa"/>
              <w:left w:w="120" w:type="dxa"/>
              <w:right w:w="120" w:type="dxa"/>
            </w:tcMar>
            <w:vAlign w:val="center"/>
          </w:tcPr>
          <w:p>
            <w:pPr>
              <w:jc w:val="left"/>
            </w:pPr>
            <w:r>
              <w:rPr>
                <w:rFonts w:ascii="Calibri" w:hAnsi="Calibri"/>
                <w:color w:val="3A4556"/>
                <w:sz w:val="13"/>
              </w:rPr>
              <w:t>Age / literacy / connectivity proxies</w:t>
            </w:r>
          </w:p>
        </w:tc>
        <w:tc>
          <w:tcPr>
            <w:tcW w:type="dxa" w:w="3346"/>
            <w:tcMar>
              <w:top w:w="55" w:type="dxa"/>
              <w:bottom w:w="55" w:type="dxa"/>
              <w:left w:w="120" w:type="dxa"/>
              <w:right w:w="120" w:type="dxa"/>
            </w:tcMar>
            <w:vAlign w:val="center"/>
          </w:tcPr>
          <w:p>
            <w:pPr>
              <w:jc w:val="center"/>
            </w:pPr>
            <w:r>
              <w:rPr>
                <w:rFonts w:ascii="Calibri" w:hAnsi="Calibri"/>
                <w:color w:val="3A4556"/>
                <w:sz w:val="13"/>
              </w:rPr>
              <w:t>Not directly captured. Filing mode and text length are the only available proxies: in-person filings average 5.7 words (officer-transcribed short), website 68.8 words, non-English text 78.6 words vs English 36.1.</w:t>
            </w:r>
          </w:p>
        </w:tc>
        <w:tc>
          <w:tcPr>
            <w:tcW w:type="dxa" w:w="3346"/>
            <w:tcMar>
              <w:top w:w="55" w:type="dxa"/>
              <w:bottom w:w="55" w:type="dxa"/>
              <w:left w:w="120" w:type="dxa"/>
              <w:right w:w="120" w:type="dxa"/>
            </w:tcMar>
            <w:vAlign w:val="center"/>
          </w:tcPr>
          <w:p>
            <w:pPr>
              <w:jc w:val="center"/>
            </w:pPr>
            <w:r>
              <w:rPr>
                <w:rFonts w:ascii="Calibri" w:hAnsi="Calibri"/>
                <w:color w:val="3A4556"/>
                <w:sz w:val="13"/>
              </w:rPr>
              <w:t>A channel-and-length split is not a disadvantaged-group metric — it is a data-quality note: in-person grievances often do not contain substantive free text, so text-based analysis (themes, duplicate matching) is systematically weaker for that channel.</w:t>
            </w:r>
          </w:p>
        </w:tc>
      </w:tr>
    </w:tbl>
    <w:tbl>
      <w:tblPr>
        <w:tblW w:type="auto" w:w="0"/>
        <w:jc w:val="center"/>
        <w:tblLook w:firstColumn="1" w:firstRow="1" w:lastColumn="0" w:lastRow="0" w:noHBand="0" w:noVBand="1" w:val="04A0"/>
      </w:tblPr>
      <w:tblGrid>
        <w:gridCol w:w="10037"/>
      </w:tblGrid>
      <w:tr>
        <w:tc>
          <w:tcPr>
            <w:tcW w:type="dxa" w:w="10037"/>
            <w:shd w:fill="FFFBEB" w:val="clear"/>
            <w:tcBorders>
              <w:top w:val="single" w:sz="3" w:space="0" w:color="E5E7EB"/>
              <w:right w:val="single" w:sz="3" w:space="0" w:color="E5E7EB"/>
              <w:bottom w:val="single" w:sz="3" w:space="0" w:color="E5E7EB"/>
              <w:left w:val="single" w:sz="12" w:space="8" w:color="B88A1E"/>
            </w:tcBorders>
            <w:tcMar>
              <w:top w:w="70" w:type="dxa"/>
              <w:bottom w:w="70" w:type="dxa"/>
              <w:left w:w="140" w:type="dxa"/>
              <w:right w:w="140" w:type="dxa"/>
            </w:tcMar>
          </w:tcPr>
          <w:p>
            <w:pPr>
              <w:jc w:val="left"/>
            </w:pPr>
            <w:r>
              <w:rPr>
                <w:b/>
                <w:color w:val="B88A1E"/>
                <w:sz w:val="17"/>
              </w:rPr>
              <w:t>⚠  On rural/urban and disadvantaged groups — a candour note for reviewers. The complaint record does not contain a rural/urban flag or a caste/category field. The first map release may show privacy-safe district and block counts after deterministic boundary reconciliation, but it will not show per-capita rates, rural-versus-urban shares or SC/ST shares. Those claims require current, documented census, SECC or beneficiary denominators and approved linkage. We mark them as ‘needs linkage’ rather than filling the gap with a guess.</w:t>
            </w:r>
            <w:r>
              <w:rPr>
                <w:rFonts w:ascii="Calibri" w:hAnsi="Calibri"/>
                <w:color w:val="1F2A37"/>
                <w:sz w:val="15"/>
              </w:rPr>
            </w:r>
          </w:p>
        </w:tc>
      </w:tr>
    </w:tbl>
    <w:p>
      <w:pPr>
        <w:spacing w:before="160"/>
        <w:pBdr>
          <w:bottom w:val="single" w:sz="2.4" w:space="1" w:color="0E7C7B"/>
        </w:pBdr>
      </w:pPr>
      <w:r>
        <w:rPr>
          <w:rFonts w:ascii="Calibri" w:hAnsi="Calibri"/>
          <w:b/>
          <w:color w:val="0E7C7B"/>
          <w:sz w:val="14"/>
        </w:rPr>
        <w:t>7  —  WHAT OFFICERS SEE DAY-TO-DAY</w:t>
      </w:r>
    </w:p>
    <w:p>
      <w:pPr>
        <w:pStyle w:val="Heading1"/>
      </w:pPr>
      <w:r>
        <w:t>Real-time help while a case is open — and a supervisor view that earns its keep</w:t>
      </w:r>
    </w:p>
    <w:p>
      <w:pPr>
        <w:spacing w:after="80" w:before="0"/>
        <w:jc w:val="left"/>
      </w:pPr>
      <w:r>
        <w:rPr>
          <w:rFonts w:ascii="Calibri" w:hAnsi="Calibri"/>
          <w:b w:val="0"/>
          <w:i w:val="0"/>
          <w:color w:val="3A4556"/>
          <w:sz w:val="17"/>
        </w:rPr>
        <w:t>The intelligence layer currently provides governed findings and a reviewable dedup slice. The officer banner and live supervisor panel are intended delivery surfaces, but their real-data integration is not yet verified and some spike/workload marts still await the dedup-index join. A count without a denominator, a spike without a cause and a queue with duplicates remain the design problem.</w:t>
      </w:r>
    </w:p>
    <w:p>
      <w:pPr>
        <w:pStyle w:val="Heading2"/>
      </w:pPr>
      <w:r>
        <w:t>While a grievance is open — the triage and routing badge</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c>
          <w:tcPr>
            <w:tcW w:type="dxa" w:w="2016"/>
            <w:shd w:fill="0E7C7B" w:val="clear"/>
            <w:tcMar>
              <w:top w:w="60" w:type="dxa"/>
              <w:bottom w:w="60" w:type="dxa"/>
              <w:left w:w="120" w:type="dxa"/>
              <w:right w:w="120" w:type="dxa"/>
            </w:tcMar>
            <w:vAlign w:val="center"/>
          </w:tcPr>
          <w:p>
            <w:pPr>
              <w:jc w:val="center"/>
            </w:pPr>
            <w:r>
              <w:rPr>
                <w:rFonts w:ascii="Calibri" w:hAnsi="Calibri"/>
                <w:b/>
                <w:color w:val="FFFFFF"/>
                <w:sz w:val="13"/>
              </w:rPr>
              <w:t>Officer sees</w:t>
            </w:r>
          </w:p>
        </w:tc>
        <w:tc>
          <w:tcPr>
            <w:tcW w:type="dxa" w:w="3888"/>
            <w:shd w:fill="0E7C7B" w:val="clear"/>
            <w:tcMar>
              <w:top w:w="60" w:type="dxa"/>
              <w:bottom w:w="60" w:type="dxa"/>
              <w:left w:w="120" w:type="dxa"/>
              <w:right w:w="120" w:type="dxa"/>
            </w:tcMar>
            <w:vAlign w:val="center"/>
          </w:tcPr>
          <w:p>
            <w:pPr>
              <w:jc w:val="center"/>
            </w:pPr>
            <w:r>
              <w:rPr>
                <w:rFonts w:ascii="Calibri" w:hAnsi="Calibri"/>
                <w:b/>
                <w:color w:val="FFFFFF"/>
                <w:sz w:val="13"/>
              </w:rPr>
              <w:t>What it says</w:t>
            </w:r>
          </w:p>
        </w:tc>
        <w:tc>
          <w:tcPr>
            <w:tcW w:type="dxa" w:w="3528"/>
            <w:shd w:fill="0E7C7B" w:val="clear"/>
            <w:tcMar>
              <w:top w:w="60" w:type="dxa"/>
              <w:bottom w:w="60" w:type="dxa"/>
              <w:left w:w="120" w:type="dxa"/>
              <w:right w:w="120" w:type="dxa"/>
            </w:tcMar>
            <w:vAlign w:val="center"/>
          </w:tcPr>
          <w:p>
            <w:pPr>
              <w:jc w:val="center"/>
            </w:pPr>
            <w:r>
              <w:rPr>
                <w:rFonts w:ascii="Calibri" w:hAnsi="Calibri"/>
                <w:b/>
                <w:color w:val="FFFFFF"/>
                <w:sz w:val="13"/>
              </w:rPr>
              <w:t>What it does not do</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Triage banner — spam score</w:t>
            </w:r>
          </w:p>
        </w:tc>
        <w:tc>
          <w:tcPr>
            <w:tcW w:type="dxa" w:w="3346"/>
            <w:tcMar>
              <w:top w:w="55" w:type="dxa"/>
              <w:bottom w:w="55" w:type="dxa"/>
              <w:left w:w="120" w:type="dxa"/>
              <w:right w:w="120" w:type="dxa"/>
            </w:tcMar>
            <w:vAlign w:val="center"/>
          </w:tcPr>
          <w:p>
            <w:pPr>
              <w:jc w:val="center"/>
            </w:pPr>
            <w:r>
              <w:rPr>
                <w:rFonts w:ascii="Calibri" w:hAnsi="Calibri"/>
                <w:color w:val="3A4556"/>
                <w:sz w:val="14"/>
              </w:rPr>
              <w:t>Advisory low-signal reason, never a rejection. On the tracked 57-case frontier-adjudicated binary development test, the validation-selected local candidate caught 13/13 complaints needing review and sent 3/44 ordinary complaints to review. It is not five-class serving-compatible or release-eligible.</w:t>
            </w:r>
          </w:p>
        </w:tc>
        <w:tc>
          <w:tcPr>
            <w:tcW w:type="dxa" w:w="3346"/>
            <w:tcMar>
              <w:top w:w="55" w:type="dxa"/>
              <w:bottom w:w="55" w:type="dxa"/>
              <w:left w:w="120" w:type="dxa"/>
              <w:right w:w="120" w:type="dxa"/>
            </w:tcMar>
            <w:vAlign w:val="center"/>
          </w:tcPr>
          <w:p>
            <w:pPr>
              <w:jc w:val="center"/>
            </w:pPr>
            <w:r>
              <w:rPr>
                <w:rFonts w:ascii="Calibri" w:hAnsi="Calibri"/>
                <w:color w:val="3A4556"/>
                <w:sz w:val="14"/>
              </w:rPr>
              <w:t>Administrative weak labels do not establish quality. The development result has no outside-purview support, wide intervals and a viewed test; an officer-adjudicated, stratified future set is still required. Officer always decides whether to proceed or seek clarification.</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Triage banner — duplicate / campaign</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“Possible duplicate of #NN” (linkage) or “Campaign — N filings grouped as one issue” (cluster with signatory count). Campaign badge keys off distinct citizens, not filings.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Does not merge or suppress filings. A campaign of 400 citizens about one road stays 400 rows — linked — so the scale remains visible.</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Classification suggestion</w:t>
            </w:r>
          </w:p>
        </w:tc>
        <w:tc>
          <w:tcPr>
            <w:tcW w:type="dxa" w:w="3346"/>
            <w:tcMar>
              <w:top w:w="55" w:type="dxa"/>
              <w:bottom w:w="55" w:type="dxa"/>
              <w:left w:w="120" w:type="dxa"/>
              <w:right w:w="120" w:type="dxa"/>
            </w:tcMar>
            <w:vAlign w:val="center"/>
          </w:tcPr>
          <w:p>
            <w:pPr>
              <w:jc w:val="center"/>
            </w:pPr>
            <w:r>
              <w:rPr>
                <w:rFonts w:ascii="Calibri" w:hAnsi="Calibri"/>
                <w:color w:val="3A4556"/>
                <w:sz w:val="14"/>
              </w:rPr>
              <w:t>MuRIL category candidate with confidence. The cited 71.04% and per-class spread are historical typed-subject reference; a governed production-domain scorecard is pending.</w:t>
            </w:r>
          </w:p>
        </w:tc>
        <w:tc>
          <w:tcPr>
            <w:tcW w:type="dxa" w:w="3346"/>
            <w:tcMar>
              <w:top w:w="55" w:type="dxa"/>
              <w:bottom w:w="55" w:type="dxa"/>
              <w:left w:w="120" w:type="dxa"/>
              <w:right w:w="120" w:type="dxa"/>
            </w:tcMar>
            <w:vAlign w:val="center"/>
          </w:tcPr>
          <w:p>
            <w:pPr>
              <w:jc w:val="center"/>
            </w:pPr>
            <w:r>
              <w:rPr>
                <w:rFonts w:ascii="Calibri" w:hAnsi="Calibri"/>
                <w:color w:val="3A4556"/>
                <w:sz w:val="14"/>
              </w:rPr>
              <w:t>Does not auto-assign. Promotion requires group-disjoint gold, per-class/top-k/calibration, abstention and language/source slices.</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Summary</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BART draft only for grievance-bearing letter/text pages. Historical page usefulness motivated filtering; current summary factuality and officer usefulness are unmeasured.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A low-signal submission is skipped rather than summarized. Critical-fact recall, unsupported facts, PII leakage, edit burden and correct abstention need paired officer adjudication.</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Routing badge</w:t>
            </w:r>
          </w:p>
        </w:tc>
        <w:tc>
          <w:tcPr>
            <w:tcW w:type="dxa" w:w="3346"/>
            <w:tcMar>
              <w:top w:w="55" w:type="dxa"/>
              <w:bottom w:w="55" w:type="dxa"/>
              <w:left w:w="120" w:type="dxa"/>
              <w:right w:w="120" w:type="dxa"/>
            </w:tcMar>
            <w:vAlign w:val="center"/>
          </w:tcPr>
          <w:p>
            <w:pPr>
              <w:jc w:val="center"/>
            </w:pPr>
            <w:r>
              <w:rPr>
                <w:rFonts w:ascii="Calibri" w:hAnsi="Calibri"/>
                <w:color w:val="3A4556"/>
                <w:sz w:val="14"/>
              </w:rPr>
              <w:t>Dept + office (if mapped) + confidence + method: learned → rules → fallback. Hover: support (how many past cases) and share. Method “fallback” = general grievance cell, low confidence, rather than failing.</w:t>
            </w:r>
          </w:p>
        </w:tc>
        <w:tc>
          <w:tcPr>
            <w:tcW w:type="dxa" w:w="3346"/>
            <w:tcMar>
              <w:top w:w="55" w:type="dxa"/>
              <w:bottom w:w="55" w:type="dxa"/>
              <w:left w:w="120" w:type="dxa"/>
              <w:right w:w="120" w:type="dxa"/>
            </w:tcMar>
            <w:vAlign w:val="center"/>
          </w:tcPr>
          <w:p>
            <w:pPr>
              <w:jc w:val="center"/>
            </w:pPr>
            <w:r>
              <w:rPr>
                <w:rFonts w:ascii="Calibri" w:hAnsi="Calibri"/>
                <w:color w:val="3A4556"/>
                <w:sz w:val="14"/>
              </w:rPr>
              <w:t>Learned means historical destination agreement, not correct authority or best outcome. Chronological developmental top-1 is 45.14% overall and 54.96% on informative categories; the older 60.9/67.5/72.8% figures are in-sample.</w:t>
            </w:r>
          </w:p>
        </w:tc>
      </w:tr>
    </w:tbl>
    <w:p>
      <w:pPr>
        <w:spacing w:after="80" w:before="0"/>
        <w:jc w:val="left"/>
      </w:pPr>
      <w:r>
        <w:rPr>
          <w:rFonts w:ascii="Calibri" w:hAnsi="Calibri"/>
          <w:b w:val="0"/>
          <w:i w:val="0"/>
          <w:color w:val="6B7280"/>
          <w:sz w:val="14"/>
        </w:rPr>
        <w:t>Technical timing from the versioned development bundle. On the identified Apple arm64 laptop, model startup took 6.468 s. The sequential synthetic run completed 90/90 attempts with 0 failures and retained 60 post-warm-up measurements across 30 grievances. Overall mean was 4.487 s (clustered SE 1.158), p50 0.139 s, p90 14.348 s and p95 14.883 s. Typed text averaged 0.109 s; PDFs averaged 13.244 s. This is technical development timing using DVC model bytes plus an identified local BART snapshot, not an approved release benchmark or officer time saved.</w:t>
      </w:r>
    </w:p>
    <w:p>
      <w:pPr>
        <w:pStyle w:val="Heading2"/>
      </w:pPr>
      <w:r>
        <w:t>While supervising — the /supervisor panels</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3346"/>
        <w:gridCol w:w="3346"/>
        <w:gridCol w:w="3346"/>
      </w:tblGrid>
      <w:tr>
        <w:tc>
          <w:tcPr>
            <w:tcW w:type="dxa" w:w="2088"/>
            <w:shd w:fill="0F2847" w:val="clear"/>
            <w:tcMar>
              <w:top w:w="60" w:type="dxa"/>
              <w:bottom w:w="60" w:type="dxa"/>
              <w:left w:w="120" w:type="dxa"/>
              <w:right w:w="120" w:type="dxa"/>
            </w:tcMar>
            <w:vAlign w:val="center"/>
          </w:tcPr>
          <w:p>
            <w:pPr>
              <w:jc w:val="center"/>
            </w:pPr>
            <w:r>
              <w:rPr>
                <w:rFonts w:ascii="Calibri" w:hAnsi="Calibri"/>
                <w:b/>
                <w:color w:val="FFFFFF"/>
                <w:sz w:val="13"/>
              </w:rPr>
              <w:t>Panel</w:t>
            </w:r>
          </w:p>
        </w:tc>
        <w:tc>
          <w:tcPr>
            <w:tcW w:type="dxa" w:w="3816"/>
            <w:shd w:fill="0F2847" w:val="clear"/>
            <w:tcMar>
              <w:top w:w="60" w:type="dxa"/>
              <w:bottom w:w="60" w:type="dxa"/>
              <w:left w:w="120" w:type="dxa"/>
              <w:right w:w="120" w:type="dxa"/>
            </w:tcMar>
            <w:vAlign w:val="center"/>
          </w:tcPr>
          <w:p>
            <w:pPr>
              <w:jc w:val="center"/>
            </w:pPr>
            <w:r>
              <w:rPr>
                <w:rFonts w:ascii="Calibri" w:hAnsi="Calibri"/>
                <w:b/>
                <w:color w:val="FFFFFF"/>
                <w:sz w:val="13"/>
              </w:rPr>
              <w:t>Shows</w:t>
            </w:r>
          </w:p>
        </w:tc>
        <w:tc>
          <w:tcPr>
            <w:tcW w:type="dxa" w:w="3528"/>
            <w:shd w:fill="0F2847" w:val="clear"/>
            <w:tcMar>
              <w:top w:w="60" w:type="dxa"/>
              <w:bottom w:w="60" w:type="dxa"/>
              <w:left w:w="120" w:type="dxa"/>
              <w:right w:w="120" w:type="dxa"/>
            </w:tcMar>
            <w:vAlign w:val="center"/>
          </w:tcPr>
          <w:p>
            <w:pPr>
              <w:jc w:val="center"/>
            </w:pPr>
            <w:r>
              <w:rPr>
                <w:rFonts w:ascii="Calibri" w:hAnsi="Calibri"/>
                <w:b/>
                <w:color w:val="FFFFFF"/>
                <w:sz w:val="13"/>
              </w:rPr>
              <w:t>What makes it new vs a SQL dashboard</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How cases are closed — the 61% ladder</w:t>
            </w:r>
          </w:p>
        </w:tc>
        <w:tc>
          <w:tcPr>
            <w:tcW w:type="dxa" w:w="3346"/>
            <w:tcMar>
              <w:top w:w="55" w:type="dxa"/>
              <w:bottom w:w="55" w:type="dxa"/>
              <w:left w:w="120" w:type="dxa"/>
              <w:right w:w="120" w:type="dxa"/>
            </w:tcMar>
            <w:vAlign w:val="center"/>
          </w:tcPr>
          <w:p>
            <w:pPr>
              <w:jc w:val="center"/>
            </w:pPr>
            <w:r>
              <w:rPr>
                <w:rFonts w:ascii="Calibri" w:hAnsi="Calibri"/>
                <w:color w:val="3A4556"/>
                <w:sz w:val="14"/>
              </w:rPr>
              <w:t>776,922 ladder closures: 60.9% bare “disposed” (472,782), 39.1% bare as share of all 1,209,144 resolved. By trajectory: 58% bare (3–5 steps) → 65% bare (6+ steps). Rapid-closure review set: 8,974 created→closed ≤2 days on bare (1.9% of bare, 0.7% of all resolved; 1,020 on the shortest trajectory).</w:t>
            </w:r>
          </w:p>
        </w:tc>
        <w:tc>
          <w:tcPr>
            <w:tcW w:type="dxa" w:w="3346"/>
            <w:tcMar>
              <w:top w:w="55" w:type="dxa"/>
              <w:bottom w:w="55" w:type="dxa"/>
              <w:left w:w="120" w:type="dxa"/>
              <w:right w:w="120" w:type="dxa"/>
            </w:tcMar>
            <w:vAlign w:val="center"/>
          </w:tcPr>
          <w:p>
            <w:pPr>
              <w:jc w:val="center"/>
            </w:pPr>
            <w:r>
              <w:rPr>
                <w:rFonts w:ascii="Calibri" w:hAnsi="Calibri"/>
                <w:color w:val="3A4556"/>
                <w:sz w:val="14"/>
              </w:rPr>
              <w:t>No ML. The value is curation: the finding is the query the department can run for itself, plus the bounded review set (8,974) that narrows qualitative review without treating speed as misconduct.</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Workload — filings vs problems vs citizens</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Sambalpur/2024: Filings 55,544 — Distinct problems 10,963 — Distinct citizens 8,560. By district/category/period. Snapshot digest enforced; mixed-snapshot fails loud.</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No SQL dashboard counts distinct problems — because “same problem in different words” needs redacted-text MinHash matching, not a GROUP BY.</w:t>
            </w:r>
          </w:p>
        </w:tc>
      </w:tr>
      <w:tr>
        <w:tc>
          <w:tcPr>
            <w:tcW w:type="dxa" w:w="3346"/>
            <w:tcMar>
              <w:top w:w="55" w:type="dxa"/>
              <w:bottom w:w="55" w:type="dxa"/>
              <w:left w:w="120" w:type="dxa"/>
              <w:right w:w="120" w:type="dxa"/>
            </w:tcMar>
            <w:vAlign w:val="center"/>
          </w:tcPr>
          <w:p>
            <w:pPr>
              <w:jc w:val="left"/>
            </w:pPr>
            <w:r>
              <w:rPr>
                <w:rFonts w:ascii="Calibri" w:hAnsi="Calibri"/>
                <w:color w:val="3A4556"/>
                <w:sz w:val="14"/>
              </w:rPr>
              <w:t>Spike — one worked surge, decomposed</w:t>
            </w:r>
          </w:p>
        </w:tc>
        <w:tc>
          <w:tcPr>
            <w:tcW w:type="dxa" w:w="3346"/>
            <w:tcMar>
              <w:top w:w="55" w:type="dxa"/>
              <w:bottom w:w="55" w:type="dxa"/>
              <w:left w:w="120" w:type="dxa"/>
              <w:right w:w="120" w:type="dxa"/>
            </w:tcMar>
            <w:vAlign w:val="center"/>
          </w:tcPr>
          <w:p>
            <w:pPr>
              <w:jc w:val="center"/>
            </w:pPr>
            <w:r>
              <w:rPr>
                <w:rFonts w:ascii="Calibri" w:hAnsi="Calibri"/>
                <w:color w:val="3A4556"/>
                <w:sz w:val="14"/>
              </w:rPr>
              <w:t>Category × district × week EWMA spike (≥2× trailing 8-wk mean, ≥1.5× YoY). 11,935 candidates; largest 833.8× (Infrastructure × Bargarh, week 2023-07-17: 2,144 vs trailing mean 2). Worked example: filings / problems / citizens.</w:t>
            </w:r>
          </w:p>
        </w:tc>
        <w:tc>
          <w:tcPr>
            <w:tcW w:type="dxa" w:w="3346"/>
            <w:tcMar>
              <w:top w:w="55" w:type="dxa"/>
              <w:bottom w:w="55" w:type="dxa"/>
              <w:left w:w="120" w:type="dxa"/>
              <w:right w:w="120" w:type="dxa"/>
            </w:tcMar>
            <w:vAlign w:val="center"/>
          </w:tcPr>
          <w:p>
            <w:pPr>
              <w:jc w:val="center"/>
            </w:pPr>
            <w:r>
              <w:rPr>
                <w:rFonts w:ascii="Calibri" w:hAnsi="Calibri"/>
                <w:color w:val="3A4556"/>
                <w:sz w:val="14"/>
              </w:rPr>
              <w:t>Detection is ordinary; decomposition is not — it needs the dedup index and the signatory count, so campaigns and diffuse waves (identical in a sum) become visibly different.</w:t>
            </w:r>
          </w:p>
        </w:tc>
      </w:tr>
      <w:tr>
        <w:tc>
          <w:tcPr>
            <w:tcW w:type="dxa" w:w="3346"/>
            <w:tcMar>
              <w:top w:w="55" w:type="dxa"/>
              <w:bottom w:w="55" w:type="dxa"/>
              <w:left w:w="120" w:type="dxa"/>
              <w:right w:w="120" w:type="dxa"/>
            </w:tcMar>
            <w:vAlign w:val="center"/>
            <w:shd w:fill="F8FAFC" w:val="clear"/>
          </w:tcPr>
          <w:p>
            <w:pPr>
              <w:jc w:val="left"/>
            </w:pPr>
            <w:r>
              <w:rPr>
                <w:rFonts w:ascii="Calibri" w:hAnsi="Calibri"/>
                <w:color w:val="3A4556"/>
                <w:sz w:val="14"/>
              </w:rPr>
              <w:t>Themes — concentrated + rising</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Within one category, TF-IDF + k-means over redacted text → themes filtered to concentrated in one district (≥55%) and rising (≥1.4×). Aggregates only: counts, shares, top terms — never raw text.</w:t>
            </w:r>
          </w:p>
        </w:tc>
        <w:tc>
          <w:tcPr>
            <w:tcW w:type="dxa" w:w="3346"/>
            <w:tcMar>
              <w:top w:w="55" w:type="dxa"/>
              <w:bottom w:w="55" w:type="dxa"/>
              <w:left w:w="120" w:type="dxa"/>
              <w:right w:w="120" w:type="dxa"/>
            </w:tcMar>
            <w:vAlign w:val="center"/>
            <w:shd w:fill="F8FAFC" w:val="clear"/>
          </w:tcPr>
          <w:p>
            <w:pPr>
              <w:jc w:val="center"/>
            </w:pPr>
            <w:r>
              <w:rPr>
                <w:rFonts w:ascii="Calibri" w:hAnsi="Calibri"/>
                <w:color w:val="3A4556"/>
                <w:sz w:val="14"/>
              </w:rPr>
              <w:t>Category labels cannot distinguish “construction quality” from “beneficiary list” from “payment delay” within Rural Housing; themes can — but only after redaction.</w:t>
            </w:r>
          </w:p>
        </w:tc>
      </w:tr>
    </w:tbl>
    <w:p>
      <w:pPr>
        <w:spacing w:after="80" w:before="0"/>
        <w:jc w:val="left"/>
      </w:pPr>
      <w:r>
        <w:rPr>
          <w:rFonts w:ascii="Calibri" w:hAnsi="Calibri"/>
          <w:b w:val="0"/>
          <w:i/>
          <w:color w:val="6B7280"/>
          <w:sz w:val="14"/>
        </w:rPr>
        <w:t>If the nightly aggregates have not been published (outputs/aggregates/ or JANASUNANI_SUPERVISOR_FINDINGS_DIR missing or stale), panels show “Unavailable*” — not zero. That is the contract: a missing aggregate is a missing number, not a low number. Closure always has a value (no dedup needed); workload and spike are dedup-gated; themes are corpus-gated. DELIVERY.md’s fallback is closure-only if dedup slips — the one panel that does not depend on what is not yet built.</w:t>
      </w:r>
    </w:p>
    <w:p>
      <w:pPr>
        <w:spacing w:before="160"/>
        <w:pBdr>
          <w:bottom w:val="single" w:sz="2.4" w:space="1" w:color="0E7C7B"/>
        </w:pBdr>
      </w:pPr>
      <w:r>
        <w:rPr>
          <w:rFonts w:ascii="Calibri" w:hAnsi="Calibri"/>
          <w:b/>
          <w:color w:val="0E7C7B"/>
          <w:sz w:val="14"/>
        </w:rPr>
        <w:t>8  —  SAFEGUARDS AND HONESTY</w:t>
      </w:r>
    </w:p>
    <w:p>
      <w:pPr>
        <w:pStyle w:val="Heading1"/>
      </w:pPr>
      <w:r>
        <w:t>What we don’t claim — and how we protect citizen data while we work</w:t>
      </w:r>
    </w:p>
    <w:p>
      <w:pPr>
        <w:spacing w:after="80" w:before="0"/>
        <w:jc w:val="left"/>
      </w:pPr>
      <w:r>
        <w:rPr>
          <w:rFonts w:ascii="Calibri" w:hAnsi="Calibri"/>
          <w:b w:val="0"/>
          <w:i w:val="0"/>
          <w:color w:val="3A4556"/>
          <w:sz w:val="17"/>
        </w:rPr>
        <w:t>The system is human-in-the-loop: AI suggests and officers decide; live triage never auto-discards. The model/release manifest can now pin exact versions locally, but the append-only exposure and later officer-decision events are still to be implemented. Until they exist, the report cannot claim acceptance, edit, override, time saved, or causal impact.</w:t>
      </w:r>
    </w:p>
    <w:p>
      <w:pPr>
        <w:pStyle w:val="Heading2"/>
      </w:pPr>
      <w:r>
        <w:t>Data protection — tiered, not slogan-based</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c>
          <w:tcPr>
            <w:tcW w:type="dxa" w:w="1800"/>
            <w:shd w:fill="0F2847" w:val="clear"/>
            <w:tcMar>
              <w:top w:w="60" w:type="dxa"/>
              <w:bottom w:w="60" w:type="dxa"/>
              <w:left w:w="120" w:type="dxa"/>
              <w:right w:w="120" w:type="dxa"/>
            </w:tcMar>
            <w:vAlign w:val="center"/>
          </w:tcPr>
          <w:p>
            <w:pPr>
              <w:jc w:val="center"/>
            </w:pPr>
            <w:r>
              <w:rPr>
                <w:rFonts w:ascii="Calibri" w:hAnsi="Calibri"/>
                <w:b/>
                <w:color w:val="FFFFFF"/>
                <w:sz w:val="12"/>
              </w:rPr>
              <w:t>Item</w:t>
            </w:r>
          </w:p>
        </w:tc>
        <w:tc>
          <w:tcPr>
            <w:tcW w:type="dxa" w:w="2376"/>
            <w:shd w:fill="0F2847" w:val="clear"/>
            <w:tcMar>
              <w:top w:w="60" w:type="dxa"/>
              <w:bottom w:w="60" w:type="dxa"/>
              <w:left w:w="120" w:type="dxa"/>
              <w:right w:w="120" w:type="dxa"/>
            </w:tcMar>
            <w:vAlign w:val="center"/>
          </w:tcPr>
          <w:p>
            <w:pPr>
              <w:jc w:val="center"/>
            </w:pPr>
            <w:r>
              <w:rPr>
                <w:rFonts w:ascii="Calibri" w:hAnsi="Calibri"/>
                <w:b/>
                <w:color w:val="FFFFFF"/>
                <w:sz w:val="12"/>
              </w:rPr>
              <w:t>Before</w:t>
            </w:r>
          </w:p>
        </w:tc>
        <w:tc>
          <w:tcPr>
            <w:tcW w:type="dxa" w:w="3312"/>
            <w:shd w:fill="0F2847" w:val="clear"/>
            <w:tcMar>
              <w:top w:w="60" w:type="dxa"/>
              <w:bottom w:w="60" w:type="dxa"/>
              <w:left w:w="120" w:type="dxa"/>
              <w:right w:w="120" w:type="dxa"/>
            </w:tcMar>
            <w:vAlign w:val="center"/>
          </w:tcPr>
          <w:p>
            <w:pPr>
              <w:jc w:val="center"/>
            </w:pPr>
            <w:r>
              <w:rPr>
                <w:rFonts w:ascii="Calibri" w:hAnsi="Calibri"/>
                <w:b/>
                <w:color w:val="FFFFFF"/>
                <w:sz w:val="12"/>
              </w:rPr>
              <w:t>With Janasunani 2.0</w:t>
            </w:r>
          </w:p>
        </w:tc>
        <w:tc>
          <w:tcPr>
            <w:tcW w:type="dxa" w:w="2592"/>
            <w:shd w:fill="0F2847" w:val="clear"/>
            <w:tcMar>
              <w:top w:w="60" w:type="dxa"/>
              <w:bottom w:w="60" w:type="dxa"/>
              <w:left w:w="120" w:type="dxa"/>
              <w:right w:w="120" w:type="dxa"/>
            </w:tcMar>
            <w:vAlign w:val="center"/>
          </w:tcPr>
          <w:p>
            <w:pPr>
              <w:jc w:val="center"/>
            </w:pPr>
            <w:r>
              <w:rPr>
                <w:rFonts w:ascii="Calibri" w:hAnsi="Calibri"/>
                <w:b/>
                <w:color w:val="FFFFFF"/>
                <w:sz w:val="12"/>
              </w:rPr>
              <w:t>Why it matters</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Where citizen text lives</w:t>
            </w:r>
          </w:p>
        </w:tc>
        <w:tc>
          <w:tcPr>
            <w:tcW w:type="dxa" w:w="2509"/>
            <w:tcMar>
              <w:top w:w="55" w:type="dxa"/>
              <w:bottom w:w="55" w:type="dxa"/>
              <w:left w:w="120" w:type="dxa"/>
              <w:right w:w="120" w:type="dxa"/>
            </w:tcMar>
            <w:vAlign w:val="center"/>
          </w:tcPr>
          <w:p>
            <w:pPr>
              <w:jc w:val="center"/>
            </w:pPr>
            <w:r>
              <w:rPr>
                <w:rFonts w:ascii="Calibri" w:hAnsi="Calibri"/>
                <w:color w:val="3A4556"/>
                <w:sz w:val="13"/>
              </w:rPr>
              <w:t>Documents in S3; grievance in OLTP (faithfully including petitioner_name / mobile / email / address, plus raw grievance prose — never passed through PII). Lake copies everything via SELECT * into Parquet — including grievance.</w:t>
            </w:r>
          </w:p>
        </w:tc>
        <w:tc>
          <w:tcPr>
            <w:tcW w:type="dxa" w:w="2509"/>
            <w:tcMar>
              <w:top w:w="55" w:type="dxa"/>
              <w:bottom w:w="55" w:type="dxa"/>
              <w:left w:w="120" w:type="dxa"/>
              <w:right w:w="120" w:type="dxa"/>
            </w:tcMar>
            <w:vAlign w:val="center"/>
          </w:tcPr>
          <w:p>
            <w:pPr>
              <w:jc w:val="center"/>
            </w:pPr>
            <w:r>
              <w:rPr>
                <w:rFonts w:ascii="Calibri" w:hAnsi="Calibri"/>
                <w:color w:val="3A4556"/>
                <w:sz w:val="13"/>
              </w:rPr>
              <w:t>Same stores, but: page extracted_text stays in artifact DB and OLTP, never the lake (LAKE_COLUMN_DENYLIST); only redacted_text reaches the lake. grievance_redacted is step 0 of dedup (CPU-only over median 19 words) and the only column indexed. Raw grievance is access-controlled, never selected by analytics queries; Phase 18 drops it from analytics Parquet altogether.</w:t>
            </w:r>
          </w:p>
        </w:tc>
        <w:tc>
          <w:tcPr>
            <w:tcW w:type="dxa" w:w="2509"/>
            <w:tcMar>
              <w:top w:w="55" w:type="dxa"/>
              <w:bottom w:w="55" w:type="dxa"/>
              <w:left w:w="120" w:type="dxa"/>
              <w:right w:w="120" w:type="dxa"/>
            </w:tcMar>
            <w:vAlign w:val="center"/>
          </w:tcPr>
          <w:p>
            <w:pPr>
              <w:jc w:val="center"/>
            </w:pPr>
            <w:r>
              <w:rPr>
                <w:rFonts w:ascii="Calibri" w:hAnsi="Calibri"/>
                <w:color w:val="3A4556"/>
                <w:sz w:val="13"/>
              </w:rPr>
              <w:t>The guarantee, stated precisely: “No un-redacted page text reaches any downstream output.” That guarantee does not extend to grievance by construction — so we treat derived artefacts (MinHash signatures, embeddings) as dpic-infra (DPIC machines only), never authorised-external.</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Who may receive data</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Citizen text remained on DPIC-controlled infrastructure, but the old runtime could still fetch public model bytes at startup. That made availability and exact rollback depend on mutable external state.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Trust tiers remain explicit. The serving contract resolves pinned local artifacts from an activated release manifest or DVC mirror and makes no registry/public-model call at startup; no reviewed production manifest is active yet. Sarvam traffic remains isolated to egress/ and kill-switch controlled. A shape-screened redacted sample was also sent to hosted Codex for one-time development adjudication; exact hidden prompts, sampling settings and provider-retention evidence were unavailable, so this is recorded as a limitation rather than production precedent.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“The box” was never the real boundary — documents already lived in S3 and the GPU box is a second machine. Tiering is honest about hops that already existed.</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What analysts see</w:t>
            </w:r>
          </w:p>
        </w:tc>
        <w:tc>
          <w:tcPr>
            <w:tcW w:type="dxa" w:w="2509"/>
            <w:tcMar>
              <w:top w:w="55" w:type="dxa"/>
              <w:bottom w:w="55" w:type="dxa"/>
              <w:left w:w="120" w:type="dxa"/>
              <w:right w:w="120" w:type="dxa"/>
            </w:tcMar>
            <w:vAlign w:val="center"/>
          </w:tcPr>
          <w:p>
            <w:pPr>
              <w:jc w:val="center"/>
            </w:pPr>
            <w:r>
              <w:rPr>
                <w:rFonts w:ascii="Calibri" w:hAnsi="Calibri"/>
                <w:color w:val="3A4556"/>
                <w:sz w:val="13"/>
              </w:rPr>
              <w:t>Full complaint record, including grievance.</w:t>
            </w:r>
          </w:p>
        </w:tc>
        <w:tc>
          <w:tcPr>
            <w:tcW w:type="dxa" w:w="2509"/>
            <w:tcMar>
              <w:top w:w="55" w:type="dxa"/>
              <w:bottom w:w="55" w:type="dxa"/>
              <w:left w:w="120" w:type="dxa"/>
              <w:right w:w="120" w:type="dxa"/>
            </w:tcMar>
            <w:vAlign w:val="center"/>
          </w:tcPr>
          <w:p>
            <w:pPr>
              <w:jc w:val="center"/>
            </w:pPr>
            <w:r>
              <w:rPr>
                <w:rFonts w:ascii="Calibri" w:hAnsi="Calibri"/>
                <w:color w:val="3A4556"/>
                <w:sz w:val="13"/>
              </w:rPr>
              <w:t>Governed aggregates, allowlisted query plans, small-cell suppression, isolated read-only execution, audit. DSI pipeline left 88% filing-once signal; we preserve that aggregate while suppressing any cell that could re-identify a petitioner.</w:t>
            </w:r>
          </w:p>
        </w:tc>
        <w:tc>
          <w:tcPr>
            <w:tcW w:type="dxa" w:w="2509"/>
            <w:tcMar>
              <w:top w:w="55" w:type="dxa"/>
              <w:bottom w:w="55" w:type="dxa"/>
              <w:left w:w="120" w:type="dxa"/>
              <w:right w:w="120" w:type="dxa"/>
            </w:tcMar>
            <w:vAlign w:val="center"/>
          </w:tcPr>
          <w:p>
            <w:pPr>
              <w:jc w:val="center"/>
            </w:pPr>
            <w:r>
              <w:rPr>
                <w:rFonts w:ascii="Calibri" w:hAnsi="Calibri"/>
                <w:color w:val="3A4556"/>
                <w:sz w:val="13"/>
              </w:rPr>
              <w:t>A report that could identify a complainant is a privacy failure, not a useful insight.</w:t>
            </w:r>
          </w:p>
        </w:tc>
      </w:tr>
    </w:tbl>
    <w:p>
      <w:pPr>
        <w:pStyle w:val="Heading2"/>
      </w:pPr>
      <w:r>
        <w:t>What we don’t claim — limits on the same page as the number</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c>
          <w:tcPr>
            <w:tcW w:type="dxa" w:w="1512"/>
            <w:shd w:fill="B88A1E" w:val="clear"/>
            <w:tcMar>
              <w:top w:w="60" w:type="dxa"/>
              <w:bottom w:w="60" w:type="dxa"/>
              <w:left w:w="120" w:type="dxa"/>
              <w:right w:w="120" w:type="dxa"/>
            </w:tcMar>
            <w:vAlign w:val="center"/>
          </w:tcPr>
          <w:p>
            <w:pPr>
              <w:jc w:val="center"/>
            </w:pPr>
            <w:r>
              <w:rPr>
                <w:rFonts w:ascii="Calibri" w:hAnsi="Calibri"/>
                <w:b/>
                <w:color w:val="FFFFFF"/>
                <w:sz w:val="12"/>
              </w:rPr>
              <w:t>Claim</w:t>
            </w:r>
          </w:p>
        </w:tc>
        <w:tc>
          <w:tcPr>
            <w:tcW w:type="dxa" w:w="2808"/>
            <w:shd w:fill="B88A1E" w:val="clear"/>
            <w:tcMar>
              <w:top w:w="60" w:type="dxa"/>
              <w:bottom w:w="60" w:type="dxa"/>
              <w:left w:w="120" w:type="dxa"/>
              <w:right w:w="120" w:type="dxa"/>
            </w:tcMar>
            <w:vAlign w:val="center"/>
          </w:tcPr>
          <w:p>
            <w:pPr>
              <w:jc w:val="center"/>
            </w:pPr>
            <w:r>
              <w:rPr>
                <w:rFonts w:ascii="Calibri" w:hAnsi="Calibri"/>
                <w:b/>
                <w:color w:val="FFFFFF"/>
                <w:sz w:val="12"/>
              </w:rPr>
              <w:t>What we report</w:t>
            </w:r>
          </w:p>
        </w:tc>
        <w:tc>
          <w:tcPr>
            <w:tcW w:type="dxa" w:w="2808"/>
            <w:shd w:fill="B88A1E" w:val="clear"/>
            <w:tcMar>
              <w:top w:w="60" w:type="dxa"/>
              <w:bottom w:w="60" w:type="dxa"/>
              <w:left w:w="120" w:type="dxa"/>
              <w:right w:w="120" w:type="dxa"/>
            </w:tcMar>
            <w:vAlign w:val="center"/>
          </w:tcPr>
          <w:p>
            <w:pPr>
              <w:jc w:val="center"/>
            </w:pPr>
            <w:r>
              <w:rPr>
                <w:rFonts w:ascii="Calibri" w:hAnsi="Calibri"/>
                <w:b/>
                <w:color w:val="FFFFFF"/>
                <w:sz w:val="12"/>
              </w:rPr>
              <w:t>What we don’t report — and why</w:t>
            </w:r>
          </w:p>
        </w:tc>
        <w:tc>
          <w:tcPr>
            <w:tcW w:type="dxa" w:w="2232"/>
            <w:shd w:fill="B88A1E" w:val="clear"/>
            <w:tcMar>
              <w:top w:w="60" w:type="dxa"/>
              <w:bottom w:w="60" w:type="dxa"/>
              <w:left w:w="120" w:type="dxa"/>
              <w:right w:w="120" w:type="dxa"/>
            </w:tcMar>
            <w:vAlign w:val="center"/>
          </w:tcPr>
          <w:p>
            <w:pPr>
              <w:jc w:val="center"/>
            </w:pPr>
            <w:r>
              <w:rPr>
                <w:rFonts w:ascii="Calibri" w:hAnsi="Calibri"/>
                <w:b/>
                <w:color w:val="FFFFFF"/>
                <w:sz w:val="12"/>
              </w:rPr>
              <w:t>What would close the gap</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OCR accuracy</w:t>
            </w:r>
          </w:p>
        </w:tc>
        <w:tc>
          <w:tcPr>
            <w:tcW w:type="dxa" w:w="2509"/>
            <w:tcMar>
              <w:top w:w="55" w:type="dxa"/>
              <w:bottom w:w="55" w:type="dxa"/>
              <w:left w:w="120" w:type="dxa"/>
              <w:right w:w="120" w:type="dxa"/>
            </w:tcMar>
            <w:vAlign w:val="center"/>
          </w:tcPr>
          <w:p>
            <w:pPr>
              <w:jc w:val="center"/>
            </w:pPr>
            <w:r>
              <w:rPr>
                <w:rFonts w:ascii="Calibri" w:hAnsi="Calibri"/>
                <w:color w:val="3A4556"/>
                <w:sz w:val="13"/>
              </w:rPr>
              <w:t>Cached paired coverage/divergence only: a completed 5-page run and 56 paired successes from an interrupted 300-page run. Sarvam produced 1.3345× normalized characters on the 56-page aggregate; every normalized pair differed.</w:t>
            </w:r>
          </w:p>
        </w:tc>
        <w:tc>
          <w:tcPr>
            <w:tcW w:type="dxa" w:w="2509"/>
            <w:tcMar>
              <w:top w:w="55" w:type="dxa"/>
              <w:bottom w:w="55" w:type="dxa"/>
              <w:left w:w="120" w:type="dxa"/>
              <w:right w:w="120" w:type="dxa"/>
            </w:tcMar>
            <w:vAlign w:val="center"/>
          </w:tcPr>
          <w:p>
            <w:pPr>
              <w:jc w:val="center"/>
            </w:pPr>
            <w:r>
              <w:rPr>
                <w:rFonts w:ascii="Calibri" w:hAnsi="Calibri"/>
                <w:color w:val="3A4556"/>
                <w:sz w:val="13"/>
              </w:rPr>
              <w:t>No OCR accuracy, handwriting or observed-language conclusion: there is no hand transcription. Nine attempted pages were excluded and credit exhaustion interrupted the larger run, so failures must be reported separately.</w:t>
            </w:r>
          </w:p>
        </w:tc>
        <w:tc>
          <w:tcPr>
            <w:tcW w:type="dxa" w:w="2509"/>
            <w:tcMar>
              <w:top w:w="55" w:type="dxa"/>
              <w:bottom w:w="55" w:type="dxa"/>
              <w:left w:w="120" w:type="dxa"/>
              <w:right w:w="120" w:type="dxa"/>
            </w:tcMar>
            <w:vAlign w:val="center"/>
          </w:tcPr>
          <w:p>
            <w:pPr>
              <w:jc w:val="center"/>
            </w:pPr>
            <w:r>
              <w:rPr>
                <w:rFonts w:ascii="Calibri" w:hAnsi="Calibri"/>
                <w:color w:val="3A4556"/>
                <w:sz w:val="13"/>
              </w:rPr>
              <w:t>Commission ~200–300 pages (stratified handwritten/printed, Odia/English) transcribed by hand; then report CER/WER with CIs clustered by ticket. Sample size at 10-point detectable: 194 pages (80% power) — already computed.</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PII coverage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Current development scorecard: 480 labelled spans; typed overlap recall 77.9%, exact recall 55.0%, and untyped coverage-overlap recall 78.3%. All records are in an unknown language bucket.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Odia PII recall; bank-account / scheme-ID recall (no labels in this gold). Overall 77.9% is name-heavy and small-sample volatile.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Extend gold to Odia/romanized (target ≥50 pages each) and add shaped-entity labels for bank-account/scheme-ID. Then the per-language table can report without a low-power guard.</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Categorisation</w:t>
            </w:r>
          </w:p>
        </w:tc>
        <w:tc>
          <w:tcPr>
            <w:tcW w:type="dxa" w:w="2509"/>
            <w:tcMar>
              <w:top w:w="55" w:type="dxa"/>
              <w:bottom w:w="55" w:type="dxa"/>
              <w:left w:w="120" w:type="dxa"/>
              <w:right w:w="120" w:type="dxa"/>
            </w:tcMar>
            <w:vAlign w:val="center"/>
          </w:tcPr>
          <w:p>
            <w:pPr>
              <w:jc w:val="center"/>
            </w:pPr>
            <w:r>
              <w:rPr>
                <w:rFonts w:ascii="Calibri" w:hAnsi="Calibri"/>
                <w:color w:val="3A4556"/>
                <w:sz w:val="13"/>
              </w:rPr>
              <w:t>Historical MuRIL typed-subject reference: 71.04%. New production-domain categorization quality is not yet reportable. Routing chronological developmental holdout: 45.14% top-1 / 69.04% top-3 overall (n=208,267).</w:t>
            </w:r>
          </w:p>
        </w:tc>
        <w:tc>
          <w:tcPr>
            <w:tcW w:type="dxa" w:w="2509"/>
            <w:tcMar>
              <w:top w:w="55" w:type="dxa"/>
              <w:bottom w:w="55" w:type="dxa"/>
              <w:left w:w="120" w:type="dxa"/>
              <w:right w:w="120" w:type="dxa"/>
            </w:tcMar>
            <w:vAlign w:val="center"/>
          </w:tcPr>
          <w:p>
            <w:pPr>
              <w:jc w:val="center"/>
            </w:pPr>
            <w:r>
              <w:rPr>
                <w:rFonts w:ascii="Calibri" w:hAnsi="Calibri"/>
                <w:color w:val="3A4556"/>
                <w:sz w:val="13"/>
              </w:rPr>
              <w:t>No current production-domain categorisation score or scanned-versus-typed accuracy: the historical 71.04% is not comparable to scanned/redacted input, and no governed gold snapshot is frozen.</w:t>
            </w:r>
          </w:p>
        </w:tc>
        <w:tc>
          <w:tcPr>
            <w:tcW w:type="dxa" w:w="2509"/>
            <w:tcMar>
              <w:top w:w="55" w:type="dxa"/>
              <w:bottom w:w="55" w:type="dxa"/>
              <w:left w:w="120" w:type="dxa"/>
              <w:right w:w="120" w:type="dxa"/>
            </w:tcMar>
            <w:vAlign w:val="center"/>
          </w:tcPr>
          <w:p>
            <w:pPr>
              <w:jc w:val="center"/>
            </w:pPr>
            <w:r>
              <w:rPr>
                <w:rFonts w:ascii="Calibri" w:hAnsi="Calibri"/>
                <w:color w:val="3A4556"/>
                <w:sz w:val="13"/>
              </w:rPr>
              <w:t>Adjudicate the same grievance set by language and typed/scan source, freeze dataset and split fingerprints, then compare incumbent and candidate versions through the governed evaluation logger.</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Duplicate recall</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Officer-confirmed duplicate actions are a historical baseline. The Sambalpur/2024 index groups 55,544 filings into 10,963 inferred problems, but those inferred groups are not adjudicated recall or precision evidence.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No duplicate recall, candidate PPV, false-merge rate, or automation increment is claimed until the candidate pairs and clusters are adjudicated on a held-out sample.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Freeze an officer-held-out sample and publish recall, reviewable-candidate PPV, extra matches beyond the officer baseline, campaign preservation and singleton false merges with ticket/cluster bootstrap intervals.</w:t>
            </w:r>
          </w:p>
        </w:tc>
      </w:tr>
      <w:tr>
        <w:tc>
          <w:tcPr>
            <w:tcW w:type="dxa" w:w="2509"/>
            <w:tcMar>
              <w:top w:w="55" w:type="dxa"/>
              <w:bottom w:w="55" w:type="dxa"/>
              <w:left w:w="120" w:type="dxa"/>
              <w:right w:w="120" w:type="dxa"/>
            </w:tcMar>
            <w:vAlign w:val="center"/>
          </w:tcPr>
          <w:p>
            <w:pPr>
              <w:jc w:val="left"/>
            </w:pPr>
            <w:r>
              <w:rPr>
                <w:rFonts w:ascii="Calibri" w:hAnsi="Calibri"/>
                <w:color w:val="3A4556"/>
                <w:sz w:val="13"/>
              </w:rPr>
              <w:t>Routing benefit</w:t>
            </w:r>
          </w:p>
        </w:tc>
        <w:tc>
          <w:tcPr>
            <w:tcW w:type="dxa" w:w="2509"/>
            <w:tcMar>
              <w:top w:w="55" w:type="dxa"/>
              <w:bottom w:w="55" w:type="dxa"/>
              <w:left w:w="120" w:type="dxa"/>
              <w:right w:w="120" w:type="dxa"/>
            </w:tcMar>
            <w:vAlign w:val="center"/>
          </w:tcPr>
          <w:p>
            <w:pPr>
              <w:jc w:val="center"/>
            </w:pPr>
            <w:r>
              <w:rPr>
                <w:rFonts w:ascii="Calibri" w:hAnsi="Calibri"/>
                <w:color w:val="3A4556"/>
                <w:sz w:val="13"/>
              </w:rPr>
              <w:t>Historical destination agreement only. The live category+district developmental holdout is 45.14% top-1 and 69.04% top-3; process-time contrasts remain descriptive.</w:t>
            </w:r>
          </w:p>
        </w:tc>
        <w:tc>
          <w:tcPr>
            <w:tcW w:type="dxa" w:w="2509"/>
            <w:tcMar>
              <w:top w:w="55" w:type="dxa"/>
              <w:bottom w:w="55" w:type="dxa"/>
              <w:left w:w="120" w:type="dxa"/>
              <w:right w:w="120" w:type="dxa"/>
            </w:tcMar>
            <w:vAlign w:val="center"/>
          </w:tcPr>
          <w:p>
            <w:pPr>
              <w:jc w:val="center"/>
            </w:pPr>
            <w:r>
              <w:rPr>
                <w:rFonts w:ascii="Calibri" w:hAnsi="Calibri"/>
                <w:color w:val="3A4556"/>
                <w:sz w:val="13"/>
              </w:rPr>
              <w:t>We do not report correct-authority rate or faster resolution caused by routing. Correctness needs jurisdiction adjudication; time/transfer benefit needs exposure logging and a locked rollout.</w:t>
            </w:r>
          </w:p>
        </w:tc>
        <w:tc>
          <w:tcPr>
            <w:tcW w:type="dxa" w:w="2509"/>
            <w:tcMar>
              <w:top w:w="55" w:type="dxa"/>
              <w:bottom w:w="55" w:type="dxa"/>
              <w:left w:w="120" w:type="dxa"/>
              <w:right w:w="120" w:type="dxa"/>
            </w:tcMar>
            <w:vAlign w:val="center"/>
          </w:tcPr>
          <w:p>
            <w:pPr>
              <w:jc w:val="center"/>
            </w:pPr>
            <w:r>
              <w:rPr>
                <w:rFonts w:ascii="Calibri" w:hAnsi="Calibri"/>
                <w:color w:val="3A4556"/>
                <w:sz w:val="13"/>
              </w:rPr>
              <w:t>Lock the draft stepped-wedge plan before outcomes: immutable intake-office transfer-network clusters, ITT, censoring-aware 30/90-day endpoints, exposure/decision events, a fixed-horizon citizen-satisfaction invitation rule with response/missingness reporting, spillover sensitivity and pause rules.</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3"/>
              </w:rPr>
              <w:t>Closure 61%</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776,922 ladder closures: 60.9% bare; 39.1% of all 1,209,144 resolved. By trajectory and with the two-day review set (8,974). Caveat carried on the same line: descriptive, not a failure rate.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That X% of “no-action” closures were wrong — record does not distinguish a correct refusal (ineligible, already settled, information answered) from a premature one.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3"/>
              </w:rPr>
              <w:t>300–500 closures adjudicated by hand, governed, by a panel — the figure DELIVERY.md explicitly says is not August work.</w:t>
            </w:r>
          </w:p>
        </w:tc>
      </w:tr>
    </w:tbl>
    <w:p>
      <w:pPr>
        <w:spacing w:after="80" w:before="80"/>
        <w:jc w:val="left"/>
      </w:pPr>
      <w:r>
        <w:rPr>
          <w:rFonts w:ascii="Calibri" w:hAnsi="Calibri"/>
          <w:b w:val="0"/>
          <w:i/>
          <w:color w:val="6B7280"/>
          <w:sz w:val="14"/>
        </w:rPr>
        <w:t>Evaluation discipline: a harness that measures and prints (evaluation/) is separate from a gate that fails a run when a frozen number is bad (pipeline/pii_eval.py). The impact ladder is model quality → officer behavior → workflow outcome → citizen outcome. Current data can support selected model and workflow descriptions; officer behavior needs exposure/decision logging, correct authority needs adjudication, and causal citizen benefit needs a locked pilot. The lake is not PII-free — and we do not pretend it is (ROADMAP §3.2).</w:t>
      </w:r>
    </w:p>
    <w:p>
      <w:pPr>
        <w:pStyle w:val="Heading2"/>
      </w:pPr>
      <w:r>
        <w:t>Routing — what the numbers actually say</w:t>
      </w:r>
    </w:p>
    <w:p>
      <w:r>
        <w:drawing>
          <wp:inline xmlns:a="http://schemas.openxmlformats.org/drawingml/2006/main" xmlns:pic="http://schemas.openxmlformats.org/drawingml/2006/picture">
            <wp:extent cx="6355080" cy="2858398"/>
            <wp:docPr id="6" name="Picture 6"/>
            <wp:cNvGraphicFramePr>
              <a:graphicFrameLocks noChangeAspect="1"/>
            </wp:cNvGraphicFramePr>
            <a:graphic>
              <a:graphicData uri="http://schemas.openxmlformats.org/drawingml/2006/picture">
                <pic:pic>
                  <pic:nvPicPr>
                    <pic:cNvPr id="0" name="fig_routing.png"/>
                    <pic:cNvPicPr/>
                  </pic:nvPicPr>
                  <pic:blipFill>
                    <a:blip r:embed="rId15"/>
                    <a:stretch>
                      <a:fillRect/>
                    </a:stretch>
                  </pic:blipFill>
                  <pic:spPr>
                    <a:xfrm>
                      <a:off x="0" y="0"/>
                      <a:ext cx="6355080" cy="2858398"/>
                    </a:xfrm>
                    <a:prstGeom prst="rect"/>
                  </pic:spPr>
                </pic:pic>
              </a:graphicData>
            </a:graphic>
          </wp:inline>
        </w:drawing>
      </w:r>
    </w:p>
    <w:p>
      <w:pPr>
        <w:pStyle w:val="Caption"/>
        <w:spacing w:before="40" w:after="200"/>
        <w:jc w:val="center"/>
      </w:pPr>
      <w:r>
        <w:rPr>
          <w:rFonts w:ascii="Calibri" w:hAnsi="Calibri"/>
          <w:i/>
          <w:color w:val="6B7280"/>
          <w:sz w:val="14"/>
        </w:rPr>
        <w:t>Figure 7 — Left: the 60.9/67.5/72.8% crosswalk bars are historical in-sample resubstitution, retained only as upper-bound context. The tracked chronological developmental holdout gives 45.14% top-1 and 69.04% top-3 for live category+district features (n=208,267), or 54.96%/79.68% on informative categories. Right: Route 4's 48-day vs Route 2's 23-day medians are descriptive and may reflect unobserved complexity; a pilot must measure any time effect.</w:t>
      </w:r>
    </w:p>
    <w:p>
      <w:pPr>
        <w:spacing w:before="160"/>
        <w:pBdr>
          <w:bottom w:val="single" w:sz="2.4" w:space="1" w:color="0E7C7B"/>
        </w:pBdr>
      </w:pPr>
      <w:r>
        <w:rPr>
          <w:rFonts w:ascii="Calibri" w:hAnsi="Calibri"/>
          <w:b/>
          <w:color w:val="0E7C7B"/>
          <w:sz w:val="14"/>
        </w:rPr>
        <w:t>ANNEX A  —  METRIC REGISTRY, SOURCES, AND HOW TO REPRODUCE</w:t>
      </w:r>
    </w:p>
    <w:p>
      <w:pPr>
        <w:pStyle w:val="Heading1"/>
      </w:pPr>
      <w:r>
        <w:t>Where every number comes from — and the command that re-computes it</w:t>
      </w:r>
    </w:p>
    <w:p>
      <w:pPr>
        <w:spacing w:after="80" w:before="0"/>
        <w:jc w:val="left"/>
      </w:pPr>
      <w:r>
        <w:rPr>
          <w:rFonts w:ascii="Calibri" w:hAnsi="Calibri"/>
          <w:b w:val="0"/>
          <w:i w:val="0"/>
          <w:color w:val="3A4556"/>
          <w:sz w:val="16"/>
        </w:rPr>
        <w:t>Reproducibility is not an afterthought — it is how a reviewer checks the claim. Every finding below is an exact, governed query over a named snapshot or a frozen baseline file. No finding reads complaints.grievance raw; all corpus work reads grievance_redacted (or pages.redacted_text) after the PII pass. Counts reconcile at every step (ROADMAP: 1,371,288 complaints / 6,556,171 action-history rows must match after any migration change).</w:t>
      </w:r>
    </w:p>
    <w:p>
      <w:pPr>
        <w:spacing w:after="60" w:before="80"/>
        <w:jc w:val="left"/>
      </w:pPr>
      <w:r>
        <w:rPr>
          <w:rFonts w:ascii="Calibri" w:hAnsi="Calibri"/>
          <w:b/>
          <w:i w:val="0"/>
          <w:color w:val="0F2847"/>
          <w:sz w:val="17"/>
        </w:rPr>
        <w:t>Registry (selected — full registry is janasunani/evaluation/dsi_baselines.py and janasunani/analytics/marts/*.sql):</w:t>
      </w:r>
    </w:p>
    <w:tbl>
      <w:tblPr>
        <w:tblStyle w:val="LightGrid-Accent1"/>
        <w:tblW w:type="auto" w:w="0"/>
        <w:jc w:val="center"/>
        <w:tblLayout w:type="fixed"/>
        <w:tblLook w:firstColumn="1" w:firstRow="1" w:lastColumn="0" w:lastRow="0" w:noHBand="0" w:noVBand="1" w:val="04A0"/>
        <w:tblBorders>
          <w:top w:val="single" w:sz="3" w:space="0" w:color="E5E7EB"/>
          <w:left w:val="single" w:sz="3" w:space="0" w:color="E5E7EB"/>
          <w:bottom w:val="single" w:sz="3" w:space="0" w:color="E5E7EB"/>
          <w:right w:val="single" w:sz="3" w:space="0" w:color="E5E7EB"/>
          <w:insideH w:val="single" w:sz="3" w:space="0" w:color="E5E7EB"/>
          <w:insideV w:val="single" w:sz="3" w:space="0" w:color="E5E7EB"/>
        </w:tblBorders>
      </w:tblPr>
      <w:tblGrid>
        <w:gridCol w:w="2509"/>
        <w:gridCol w:w="2509"/>
        <w:gridCol w:w="2509"/>
        <w:gridCol w:w="2509"/>
      </w:tblGrid>
      <w:tr>
        <w:tc>
          <w:tcPr>
            <w:tcW w:type="dxa" w:w="2160"/>
            <w:shd w:fill="0F2847" w:val="clear"/>
            <w:tcMar>
              <w:top w:w="60" w:type="dxa"/>
              <w:bottom w:w="60" w:type="dxa"/>
              <w:left w:w="120" w:type="dxa"/>
              <w:right w:w="120" w:type="dxa"/>
            </w:tcMar>
            <w:vAlign w:val="center"/>
          </w:tcPr>
          <w:p>
            <w:pPr>
              <w:jc w:val="center"/>
            </w:pPr>
            <w:r>
              <w:rPr>
                <w:rFonts w:ascii="Calibri" w:hAnsi="Calibri"/>
                <w:b/>
                <w:color w:val="FFFFFF"/>
                <w:sz w:val="12"/>
              </w:rPr>
              <w:t>Metric</w:t>
            </w:r>
          </w:p>
        </w:tc>
        <w:tc>
          <w:tcPr>
            <w:tcW w:type="dxa" w:w="2304"/>
            <w:shd w:fill="0F2847" w:val="clear"/>
            <w:tcMar>
              <w:top w:w="60" w:type="dxa"/>
              <w:bottom w:w="60" w:type="dxa"/>
              <w:left w:w="120" w:type="dxa"/>
              <w:right w:w="120" w:type="dxa"/>
            </w:tcMar>
            <w:vAlign w:val="center"/>
          </w:tcPr>
          <w:p>
            <w:pPr>
              <w:jc w:val="center"/>
            </w:pPr>
            <w:r>
              <w:rPr>
                <w:rFonts w:ascii="Calibri" w:hAnsi="Calibri"/>
                <w:b/>
                <w:color w:val="FFFFFF"/>
                <w:sz w:val="12"/>
              </w:rPr>
              <w:t>Value / sample</w:t>
            </w:r>
          </w:p>
        </w:tc>
        <w:tc>
          <w:tcPr>
            <w:tcW w:type="dxa" w:w="2520"/>
            <w:shd w:fill="0F2847" w:val="clear"/>
            <w:tcMar>
              <w:top w:w="60" w:type="dxa"/>
              <w:bottom w:w="60" w:type="dxa"/>
              <w:left w:w="120" w:type="dxa"/>
              <w:right w:w="120" w:type="dxa"/>
            </w:tcMar>
            <w:vAlign w:val="center"/>
          </w:tcPr>
          <w:p>
            <w:pPr>
              <w:jc w:val="center"/>
            </w:pPr>
            <w:r>
              <w:rPr>
                <w:rFonts w:ascii="Calibri" w:hAnsi="Calibri"/>
                <w:b/>
                <w:color w:val="FFFFFF"/>
                <w:sz w:val="12"/>
              </w:rPr>
              <w:t>Source file or mart</w:t>
            </w:r>
          </w:p>
        </w:tc>
        <w:tc>
          <w:tcPr>
            <w:tcW w:type="dxa" w:w="2448"/>
            <w:shd w:fill="0F2847" w:val="clear"/>
            <w:tcMar>
              <w:top w:w="60" w:type="dxa"/>
              <w:bottom w:w="60" w:type="dxa"/>
              <w:left w:w="120" w:type="dxa"/>
              <w:right w:w="120" w:type="dxa"/>
            </w:tcMar>
            <w:vAlign w:val="center"/>
          </w:tcPr>
          <w:p>
            <w:pPr>
              <w:jc w:val="center"/>
            </w:pPr>
            <w:r>
              <w:rPr>
                <w:rFonts w:ascii="Calibri" w:hAnsi="Calibri"/>
                <w:b/>
                <w:color w:val="FFFFFF"/>
                <w:sz w:val="12"/>
              </w:rPr>
              <w:t>Reproduce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Format classifier — avg accuracy</w:t>
            </w:r>
          </w:p>
        </w:tc>
        <w:tc>
          <w:tcPr>
            <w:tcW w:type="dxa" w:w="2509"/>
            <w:tcMar>
              <w:top w:w="55" w:type="dxa"/>
              <w:bottom w:w="55" w:type="dxa"/>
              <w:left w:w="120" w:type="dxa"/>
              <w:right w:w="120" w:type="dxa"/>
            </w:tcMar>
            <w:vAlign w:val="center"/>
          </w:tcPr>
          <w:p>
            <w:pPr>
              <w:jc w:val="center"/>
            </w:pPr>
            <w:r>
              <w:rPr>
                <w:rFonts w:ascii="Calibri" w:hAnsi="Calibri"/>
                <w:color w:val="3A4556"/>
                <w:sz w:val="12"/>
              </w:rPr>
              <w:t>75.71% (best 81.97%, macro-prec 72.93%) / 1,000 pages</w:t>
            </w:r>
          </w:p>
        </w:tc>
        <w:tc>
          <w:tcPr>
            <w:tcW w:type="dxa" w:w="2509"/>
            <w:tcMar>
              <w:top w:w="55" w:type="dxa"/>
              <w:bottom w:w="55" w:type="dxa"/>
              <w:left w:w="120" w:type="dxa"/>
              <w:right w:w="120" w:type="dxa"/>
            </w:tcMar>
            <w:vAlign w:val="center"/>
          </w:tcPr>
          <w:p>
            <w:pPr>
              <w:jc w:val="center"/>
            </w:pPr>
            <w:r>
              <w:rPr>
                <w:rFonts w:ascii="Calibri" w:hAnsi="Calibri"/>
                <w:color w:val="3A4556"/>
                <w:sz w:val="12"/>
              </w:rPr>
              <w:t>dsi_baselines.FORMAT_CLASSIFIER_* (frozen)</w:t>
            </w:r>
          </w:p>
        </w:tc>
        <w:tc>
          <w:tcPr>
            <w:tcW w:type="dxa" w:w="2509"/>
            <w:tcMar>
              <w:top w:w="55" w:type="dxa"/>
              <w:bottom w:w="55" w:type="dxa"/>
              <w:left w:w="120" w:type="dxa"/>
              <w:right w:w="120" w:type="dxa"/>
            </w:tcMar>
            <w:vAlign w:val="cente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OCR — all-three pass rate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77.89% / 96,469 English pages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dsi_baselines.OCR_ALL_THREE_PASS_RATE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OCR quality guard</w:t>
            </w:r>
          </w:p>
        </w:tc>
        <w:tc>
          <w:tcPr>
            <w:tcW w:type="dxa" w:w="2509"/>
            <w:tcMar>
              <w:top w:w="55" w:type="dxa"/>
              <w:bottom w:w="55" w:type="dxa"/>
              <w:left w:w="120" w:type="dxa"/>
              <w:right w:w="120" w:type="dxa"/>
            </w:tcMar>
            <w:vAlign w:val="center"/>
          </w:tcPr>
          <w:p>
            <w:pPr>
              <w:jc w:val="center"/>
            </w:pPr>
            <w:r>
              <w:rPr>
                <w:rFonts w:ascii="Calibri" w:hAnsi="Calibri"/>
                <w:color w:val="3A4556"/>
                <w:sz w:val="12"/>
              </w:rPr>
              <w:t>repetition trigram share &gt;0.5, 20-word floor</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janasunani/pipeline/ocr_quality.py</w:t>
            </w:r>
          </w:p>
        </w:tc>
        <w:tc>
          <w:tcPr>
            <w:tcW w:type="dxa" w:w="2509"/>
            <w:tcMar>
              <w:top w:w="55" w:type="dxa"/>
              <w:bottom w:w="55" w:type="dxa"/>
              <w:left w:w="120" w:type="dxa"/>
              <w:right w:w="120" w:type="dxa"/>
            </w:tcMar>
            <w:vAlign w:val="center"/>
          </w:tcPr>
          <w:p>
            <w:pPr>
              <w:jc w:val="center"/>
            </w:pPr>
            <w:r>
              <w:rPr>
                <w:rFonts w:ascii="Calibri" w:hAnsi="Calibri"/>
                <w:color w:val="3A4556"/>
                <w:sz w:val="12"/>
              </w:rPr>
              <w:t>pytest -k ocr_quality</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PII — any-overlap (DSI)</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80.56% / 106 sent / 2,126 tok</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dsi_baselines.PII_ANY_OVERLAP_RECALL</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PII — per-entity (current)</w:t>
            </w:r>
          </w:p>
        </w:tc>
        <w:tc>
          <w:tcPr>
            <w:tcW w:type="dxa" w:w="2509"/>
            <w:tcMar>
              <w:top w:w="55" w:type="dxa"/>
              <w:bottom w:w="55" w:type="dxa"/>
              <w:left w:w="120" w:type="dxa"/>
              <w:right w:w="120" w:type="dxa"/>
            </w:tcMar>
            <w:vAlign w:val="center"/>
          </w:tcPr>
          <w:p>
            <w:pPr>
              <w:jc w:val="center"/>
            </w:pPr>
            <w:r>
              <w:rPr>
                <w:rFonts w:ascii="Calibri" w:hAnsi="Calibri"/>
                <w:color w:val="3A4556"/>
                <w:sz w:val="12"/>
              </w:rPr>
              <w:t>PHONE 82.8% / AADHAAR 85.7% / EMAIL 75.0% / NAME 77.7% / OVERALL 77.9% / EXACT 55.0% / COVERAGE 78.3% / 480 spans</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janasunani/evaluation/pii_scorecard.py</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janasunani-evaluate-pii --gold data/external/pii_gold_draft_n50.jsonl</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PII — corpus shape scan</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0 / 55,544 (PHONE/AADHAAR/PAN/EMAIL non-gov)</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janasunani/evaluation/pii_scorecard.scan_corpus_parquet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python -m janasunani.evaluation.pii_scorecard --slice Sambalpur/2024</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Page-type ViT accuracy</w:t>
            </w:r>
          </w:p>
        </w:tc>
        <w:tc>
          <w:tcPr>
            <w:tcW w:type="dxa" w:w="2509"/>
            <w:tcMar>
              <w:top w:w="55" w:type="dxa"/>
              <w:bottom w:w="55" w:type="dxa"/>
              <w:left w:w="120" w:type="dxa"/>
              <w:right w:w="120" w:type="dxa"/>
            </w:tcMar>
            <w:vAlign w:val="center"/>
          </w:tcPr>
          <w:p>
            <w:pPr>
              <w:jc w:val="center"/>
            </w:pPr>
            <w:r>
              <w:rPr>
                <w:rFonts w:ascii="Calibri" w:hAnsi="Calibri"/>
                <w:color w:val="3A4556"/>
                <w:sz w:val="12"/>
              </w:rPr>
              <w:t>67% / 1,500 pg, 70/30</w:t>
            </w:r>
          </w:p>
        </w:tc>
        <w:tc>
          <w:tcPr>
            <w:tcW w:type="dxa" w:w="2509"/>
            <w:tcMar>
              <w:top w:w="55" w:type="dxa"/>
              <w:bottom w:w="55" w:type="dxa"/>
              <w:left w:w="120" w:type="dxa"/>
              <w:right w:w="120" w:type="dxa"/>
            </w:tcMar>
            <w:vAlign w:val="center"/>
          </w:tcPr>
          <w:p>
            <w:pPr>
              <w:jc w:val="center"/>
            </w:pPr>
            <w:r>
              <w:rPr>
                <w:rFonts w:ascii="Calibri" w:hAnsi="Calibri"/>
                <w:color w:val="3A4556"/>
                <w:sz w:val="12"/>
              </w:rPr>
              <w:t>dsi_baselines.PAGE_TYPE_VIT_ACCURACY</w:t>
            </w:r>
          </w:p>
        </w:tc>
        <w:tc>
          <w:tcPr>
            <w:tcW w:type="dxa" w:w="2509"/>
            <w:tcMar>
              <w:top w:w="55" w:type="dxa"/>
              <w:bottom w:w="55" w:type="dxa"/>
              <w:left w:w="120" w:type="dxa"/>
              <w:right w:w="120" w:type="dxa"/>
            </w:tcMar>
            <w:vAlign w:val="cente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Summariser usefulness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1.9/3 text-only (letters 1.3, bills 0.40)</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dsi_baselines.SUMMARIZER_BART_USEFULNESS_*</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Categoriser MuRIL accuracy</w:t>
            </w:r>
          </w:p>
        </w:tc>
        <w:tc>
          <w:tcPr>
            <w:tcW w:type="dxa" w:w="2509"/>
            <w:tcMar>
              <w:top w:w="55" w:type="dxa"/>
              <w:bottom w:w="55" w:type="dxa"/>
              <w:left w:w="120" w:type="dxa"/>
              <w:right w:w="120" w:type="dxa"/>
            </w:tcMar>
            <w:vAlign w:val="center"/>
          </w:tcPr>
          <w:p>
            <w:pPr>
              <w:jc w:val="center"/>
            </w:pPr>
            <w:r>
              <w:rPr>
                <w:rFonts w:ascii="Calibri" w:hAnsi="Calibri"/>
                <w:color w:val="3A4556"/>
                <w:sz w:val="12"/>
              </w:rPr>
              <w:t>71.04% / 65,999 (trained 6,598)</w:t>
            </w:r>
          </w:p>
        </w:tc>
        <w:tc>
          <w:tcPr>
            <w:tcW w:type="dxa" w:w="2509"/>
            <w:tcMar>
              <w:top w:w="55" w:type="dxa"/>
              <w:bottom w:w="55" w:type="dxa"/>
              <w:left w:w="120" w:type="dxa"/>
              <w:right w:w="120" w:type="dxa"/>
            </w:tcMar>
            <w:vAlign w:val="center"/>
          </w:tcPr>
          <w:p>
            <w:pPr>
              <w:jc w:val="center"/>
            </w:pPr>
            <w:r>
              <w:rPr>
                <w:rFonts w:ascii="Calibri" w:hAnsi="Calibri"/>
                <w:color w:val="3A4556"/>
                <w:sz w:val="12"/>
              </w:rPr>
              <w:t>dsi_baselines.CATEGORIZER_MURIL_ACCURACY</w:t>
            </w:r>
          </w:p>
        </w:tc>
        <w:tc>
          <w:tcPr>
            <w:tcW w:type="dxa" w:w="2509"/>
            <w:tcMar>
              <w:top w:w="55" w:type="dxa"/>
              <w:bottom w:w="55" w:type="dxa"/>
              <w:left w:w="120" w:type="dxa"/>
              <w:right w:w="120" w:type="dxa"/>
            </w:tcMar>
            <w:vAlign w:val="center"/>
          </w:tcPr>
          <w:p>
            <w:pPr>
              <w:jc w:val="center"/>
            </w:pPr>
            <w:r>
              <w:rPr>
                <w:rFonts w:ascii="Calibri" w:hAnsi="Calibri"/>
                <w:color w:val="3A4556"/>
                <w:sz w:val="12"/>
              </w:rPr>
              <w:t>— (historical reference)</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Routing — chronological developmental</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Category+district: 45.14% top-1, 69.04% top-3 / n=208,267; informative: 54.96% / 79.68% / n=142,181</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janasunani/evaluation/historical.py; docs/QUALITY_BENCHMARKS.md</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janasunani-evaluate-routing (freeze a future slice before release)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Routing — Route 2 vs Route 4</w:t>
            </w:r>
          </w:p>
        </w:tc>
        <w:tc>
          <w:tcPr>
            <w:tcW w:type="dxa" w:w="2509"/>
            <w:tcMar>
              <w:top w:w="55" w:type="dxa"/>
              <w:bottom w:w="55" w:type="dxa"/>
              <w:left w:w="120" w:type="dxa"/>
              <w:right w:w="120" w:type="dxa"/>
            </w:tcMar>
            <w:vAlign w:val="center"/>
          </w:tcPr>
          <w:p>
            <w:pPr>
              <w:jc w:val="center"/>
            </w:pPr>
            <w:r>
              <w:rPr>
                <w:rFonts w:ascii="Calibri" w:hAnsi="Calibri"/>
                <w:color w:val="3A4556"/>
                <w:sz w:val="12"/>
              </w:rPr>
              <w:t>Route 2 78% 23 d / Route 4 20% 48 d / Step 3 9 d median</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analytics/marts (route analysis); analytics note §3.4.5</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analytics/findings (closure/spike) + route_analysis_full.xlsx</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Actionability — development + weak-label audit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Validation-selected tfidf_word_char test n=57: 94.74% accuracy; 13/13 review recall; 13/16 review precision; 3/44 actionable sent to review. Weak labels n=106,683; office max TV 0.522 (pooling gate fails).</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docs/evidence/actionability_frontier_benchmark_reproducible.json; janasunani/evaluation/actionability.py; weak_labels.py</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Binary development only; not five-class serving-compatible; no outside-purview support; freeze officer-reviewed future test before promotion</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Duplicate officer baseline</w:t>
            </w:r>
          </w:p>
        </w:tc>
        <w:tc>
          <w:tcPr>
            <w:tcW w:type="dxa" w:w="2509"/>
            <w:tcMar>
              <w:top w:w="55" w:type="dxa"/>
              <w:bottom w:w="55" w:type="dxa"/>
              <w:left w:w="120" w:type="dxa"/>
              <w:right w:w="120" w:type="dxa"/>
            </w:tcMar>
            <w:vAlign w:val="center"/>
          </w:tcPr>
          <w:p>
            <w:pPr>
              <w:jc w:val="center"/>
            </w:pPr>
            <w:r>
              <w:rPr>
                <w:rFonts w:ascii="Calibri" w:hAnsi="Calibri"/>
                <w:color w:val="3A4556"/>
                <w:sz w:val="12"/>
              </w:rPr>
              <w:t>37,299 rows (21,117 taken-up + 16,182 copy); earlier ref 34,671</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analytics/sql/duplicate_recall.sql; FINDINGS.md</w:t>
            </w:r>
          </w:p>
        </w:tc>
        <w:tc>
          <w:tcPr>
            <w:tcW w:type="dxa" w:w="2509"/>
            <w:tcMar>
              <w:top w:w="55" w:type="dxa"/>
              <w:bottom w:w="55" w:type="dxa"/>
              <w:left w:w="120" w:type="dxa"/>
              <w:right w:w="120" w:type="dxa"/>
            </w:tcMar>
            <w:vAlign w:val="center"/>
          </w:tcPr>
          <w:p>
            <w:pPr>
              <w:jc w:val="center"/>
            </w:pPr>
            <w:r>
              <w:rPr>
                <w:rFonts w:ascii="Calibri" w:hAnsi="Calibri"/>
                <w:color w:val="3A4556"/>
                <w:sz w:val="12"/>
              </w:rPr>
              <w:t>SELECT ... FROM action_history WHERE template = ...</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Dedup index — Sambalpur/2024</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55,544 filings → 10,963 problems / 8,560 citizens / 1,794 groups / 16M pairs / ~57 min</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janasunani/pipeline/dedup_index.py; PERFORMANCE.md §4</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janasunani-dedup-index --slice Sambalpur/2024 (CPU box)</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Closure ladder</w:t>
            </w:r>
          </w:p>
        </w:tc>
        <w:tc>
          <w:tcPr>
            <w:tcW w:type="dxa" w:w="2509"/>
            <w:tcMar>
              <w:top w:w="55" w:type="dxa"/>
              <w:bottom w:w="55" w:type="dxa"/>
              <w:left w:w="120" w:type="dxa"/>
              <w:right w:w="120" w:type="dxa"/>
            </w:tcMar>
            <w:vAlign w:val="center"/>
          </w:tcPr>
          <w:p>
            <w:pPr>
              <w:jc w:val="center"/>
            </w:pPr>
            <w:r>
              <w:rPr>
                <w:rFonts w:ascii="Calibri" w:hAnsi="Calibri"/>
                <w:color w:val="3A4556"/>
                <w:sz w:val="12"/>
              </w:rPr>
              <w:t>776,922 ladder / 472,782 bare (60.9%; 39.1% of all resolved) / coverage 64.25%</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analytics/sql/closure.sql; FINDINGS.md Insight 1</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janasunani-closure-finding</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Rapid-closure review set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8,974 ≤2 d on bare (1,020 shortest trajectory)</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analytics/sql/closure.sql (closure_two_day_bare)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janasunani-closure-finding</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Spike candidates</w:t>
            </w:r>
          </w:p>
        </w:tc>
        <w:tc>
          <w:tcPr>
            <w:tcW w:type="dxa" w:w="2509"/>
            <w:tcMar>
              <w:top w:w="55" w:type="dxa"/>
              <w:bottom w:w="55" w:type="dxa"/>
              <w:left w:w="120" w:type="dxa"/>
              <w:right w:w="120" w:type="dxa"/>
            </w:tcMar>
            <w:vAlign w:val="center"/>
          </w:tcPr>
          <w:p>
            <w:pPr>
              <w:jc w:val="center"/>
            </w:pPr>
            <w:r>
              <w:rPr>
                <w:rFonts w:ascii="Calibri" w:hAnsi="Calibri"/>
                <w:color w:val="3A4556"/>
                <w:sz w:val="12"/>
              </w:rPr>
              <w:t>11,935 (category×district×week); max 833.8× Infrastr.×Bargarh 2023-07-17</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analytics/sql/spike.sql; PERFORMANCE.md §5</w:t>
            </w:r>
          </w:p>
        </w:tc>
        <w:tc>
          <w:tcPr>
            <w:tcW w:type="dxa" w:w="2509"/>
            <w:tcMar>
              <w:top w:w="55" w:type="dxa"/>
              <w:bottom w:w="55" w:type="dxa"/>
              <w:left w:w="120" w:type="dxa"/>
              <w:right w:w="120" w:type="dxa"/>
            </w:tcMar>
            <w:vAlign w:val="center"/>
          </w:tcPr>
          <w:p>
            <w:pPr>
              <w:jc w:val="center"/>
            </w:pPr>
            <w:r>
              <w:rPr>
                <w:rFonts w:ascii="Calibri" w:hAnsi="Calibri"/>
                <w:color w:val="3A4556"/>
                <w:sz w:val="12"/>
              </w:rPr>
              <w:t>janasunani/analytics/findings/spike.py</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Runtime — tracked CPU development bundle</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overall mean 4.487 s / p50 0.139 / p90 14.348 / p95 14.883; text mean 0.109 s (n=40); PDF mean 13.244 s (n=20); 90/90 complete, 0 failed</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outputs/benchmark/full_benchmark.json; bundle c713c41ecd97b256c42b63022c75e6ccfc2cc45fa6152c95aa812a1de47dcc47</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dvc pull outputs/benchmark/latency.json.dvc &amp;&amp; dvc repro --single-item full-benchmark-bundle</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Petitioner composition</w:t>
            </w:r>
          </w:p>
        </w:tc>
        <w:tc>
          <w:tcPr>
            <w:tcW w:type="dxa" w:w="2509"/>
            <w:tcMar>
              <w:top w:w="55" w:type="dxa"/>
              <w:bottom w:w="55" w:type="dxa"/>
              <w:left w:w="120" w:type="dxa"/>
              <w:right w:w="120" w:type="dxa"/>
            </w:tcMar>
            <w:vAlign w:val="center"/>
          </w:tcPr>
          <w:p>
            <w:pPr>
              <w:jc w:val="center"/>
            </w:pPr>
            <w:r>
              <w:rPr>
                <w:rFonts w:ascii="Calibri" w:hAnsi="Calibri"/>
                <w:color w:val="3A4556"/>
                <w:sz w:val="12"/>
              </w:rPr>
              <w:t>88% file once; female 30%→46% (83% women online); 2024–25 online 79%</w:t>
            </w:r>
          </w:p>
        </w:tc>
        <w:tc>
          <w:tcPr>
            <w:tcW w:type="dxa" w:w="2509"/>
            <w:tcMar>
              <w:top w:w="55" w:type="dxa"/>
              <w:bottom w:w="55" w:type="dxa"/>
              <w:left w:w="120" w:type="dxa"/>
              <w:right w:w="120" w:type="dxa"/>
            </w:tcMar>
            <w:vAlign w:val="center"/>
          </w:tcPr>
          <w:p>
            <w:pPr>
              <w:jc w:val="center"/>
            </w:pPr>
            <w:r>
              <w:rPr>
                <w:rFonts w:ascii="Calibri" w:hAnsi="Calibri"/>
                <w:color w:val="3A4556"/>
                <w:sz w:val="12"/>
              </w:rPr>
              <w:t>analytics note §3.2 (petitioner_frequency_distribution, gender_mode)</w:t>
            </w:r>
          </w:p>
        </w:tc>
        <w:tc>
          <w:tcPr>
            <w:tcW w:type="dxa" w:w="2509"/>
            <w:tcMar>
              <w:top w:w="55" w:type="dxa"/>
              <w:bottom w:w="55" w:type="dxa"/>
              <w:left w:w="120" w:type="dxa"/>
              <w:right w:w="120" w:type="dxa"/>
            </w:tcMar>
            <w:vAlign w:val="center"/>
          </w:tcPr>
          <w:p>
            <w:pPr>
              <w:jc w:val="center"/>
            </w:pPr>
            <w:r>
              <w:rPr>
                <w:rFonts w:ascii="Calibri" w:hAnsi="Calibri"/>
                <w:color w:val="3A4556"/>
                <w:sz w:val="12"/>
              </w:rPr>
              <w:t>Exhibits/petitioner_gender_mode.xlsx etc.</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Disposal improvement</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Disposed median 62 d (23–24) → 46 d (24–25) on 298k→417k cases; block +12.2 pp vs district +5.7 pp</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analytics note §3.4; regression_block_vs_district.png</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rural_housing_regression.xlsx</w:t>
            </w:r>
          </w:p>
        </w:tc>
      </w:tr>
      <w:tr>
        <w:tc>
          <w:tcPr>
            <w:tcW w:type="dxa" w:w="2509"/>
            <w:tcMar>
              <w:top w:w="55" w:type="dxa"/>
              <w:bottom w:w="55" w:type="dxa"/>
              <w:left w:w="120" w:type="dxa"/>
              <w:right w:w="120" w:type="dxa"/>
            </w:tcMar>
            <w:vAlign w:val="center"/>
          </w:tcPr>
          <w:p>
            <w:pPr>
              <w:jc w:val="left"/>
            </w:pPr>
            <w:r>
              <w:rPr>
                <w:rFonts w:ascii="Calibri" w:hAnsi="Calibri"/>
                <w:color w:val="3A4556"/>
                <w:sz w:val="12"/>
              </w:rPr>
              <w:t>Impact — operational and citizen</w:t>
            </w:r>
          </w:p>
        </w:tc>
        <w:tc>
          <w:tcPr>
            <w:tcW w:type="dxa" w:w="2509"/>
            <w:tcMar>
              <w:top w:w="55" w:type="dxa"/>
              <w:bottom w:w="55" w:type="dxa"/>
              <w:left w:w="120" w:type="dxa"/>
              <w:right w:w="120" w:type="dxa"/>
            </w:tcMar>
            <w:vAlign w:val="center"/>
          </w:tcPr>
          <w:p>
            <w:pPr>
              <w:jc w:val="center"/>
            </w:pPr>
            <w:r>
              <w:rPr>
                <w:rFonts w:ascii="Calibri" w:hAnsi="Calibri"/>
                <w:color w:val="3A4556"/>
                <w:sz w:val="12"/>
              </w:rPr>
              <w:t>not measured: 0/2 required impact artifacts available; no exposure/outcome or satisfaction effect estimate</w:t>
            </w:r>
          </w:p>
        </w:tc>
        <w:tc>
          <w:tcPr>
            <w:tcW w:type="dxa" w:w="2509"/>
            <w:tcMar>
              <w:top w:w="55" w:type="dxa"/>
              <w:bottom w:w="55" w:type="dxa"/>
              <w:left w:w="120" w:type="dxa"/>
              <w:right w:w="120" w:type="dxa"/>
            </w:tcMar>
            <w:vAlign w:val="center"/>
          </w:tcPr>
          <w:p>
            <w:pPr>
              <w:jc w:val="center"/>
            </w:pPr>
            <w:r>
              <w:rPr>
                <w:rFonts w:ascii="Calibri" w:hAnsi="Calibri"/>
                <w:color w:val="3A4556"/>
                <w:sz w:val="12"/>
              </w:rPr>
              <w:t>outputs/benchmark/full_benchmark.json; publication_ready=false</w:t>
            </w:r>
          </w:p>
        </w:tc>
        <w:tc>
          <w:tcPr>
            <w:tcW w:type="dxa" w:w="2509"/>
            <w:tcMar>
              <w:top w:w="55" w:type="dxa"/>
              <w:bottom w:w="55" w:type="dxa"/>
              <w:left w:w="120" w:type="dxa"/>
              <w:right w:w="120" w:type="dxa"/>
            </w:tcMar>
            <w:vAlign w:val="center"/>
          </w:tcPr>
          <w:p>
            <w:pPr>
              <w:jc w:val="center"/>
            </w:pPr>
            <w:r>
              <w:rPr>
                <w:rFonts w:ascii="Calibri" w:hAnsi="Calibri"/>
                <w:color w:val="3A4556"/>
                <w:sz w:val="12"/>
              </w:rPr>
              <w:t>Implement exposure, officer-decision, resolution and fixed-horizon satisfaction events; then run the locked pilot estimator</w:t>
            </w:r>
          </w:p>
        </w:tc>
      </w:tr>
      <w:tr>
        <w:tc>
          <w:tcPr>
            <w:tcW w:type="dxa" w:w="2509"/>
            <w:tcMar>
              <w:top w:w="55" w:type="dxa"/>
              <w:bottom w:w="55" w:type="dxa"/>
              <w:left w:w="120" w:type="dxa"/>
              <w:right w:w="120" w:type="dxa"/>
            </w:tcMar>
            <w:vAlign w:val="center"/>
            <w:shd w:fill="F8FAFC" w:val="clear"/>
          </w:tcPr>
          <w:p>
            <w:pPr>
              <w:jc w:val="left"/>
            </w:pPr>
            <w:r>
              <w:rPr>
                <w:rFonts w:ascii="Calibri" w:hAnsi="Calibri"/>
                <w:color w:val="3A4556"/>
                <w:sz w:val="12"/>
              </w:rPr>
              <w:t>Sarvam benchmark</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Cached: 5 completed pages + 56 paired successes from interrupted run; 7/127 accepted jobs failed; divergence/coverage only, no accuracy</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docs/evidence/sarvam_cached_benchmark.json; sarvam_scorecard.py</w:t>
            </w:r>
          </w:p>
        </w:tc>
        <w:tc>
          <w:tcPr>
            <w:tcW w:type="dxa" w:w="2509"/>
            <w:tcMar>
              <w:top w:w="55" w:type="dxa"/>
              <w:bottom w:w="55" w:type="dxa"/>
              <w:left w:w="120" w:type="dxa"/>
              <w:right w:w="120" w:type="dxa"/>
            </w:tcMar>
            <w:vAlign w:val="center"/>
            <w:shd w:fill="F8FAFC" w:val="clear"/>
          </w:tcPr>
          <w:p>
            <w:pPr>
              <w:jc w:val="center"/>
            </w:pPr>
            <w:r>
              <w:rPr>
                <w:rFonts w:ascii="Calibri" w:hAnsi="Calibri"/>
                <w:color w:val="3A4556"/>
                <w:sz w:val="12"/>
              </w:rPr>
              <w:t>No paid rerun; add transcription/adjudication before a quality claim</w:t>
            </w:r>
          </w:p>
        </w:tc>
      </w:tr>
    </w:tbl>
    <w:p>
      <w:pPr>
        <w:spacing w:after="60" w:before="120"/>
        <w:jc w:val="left"/>
      </w:pPr>
      <w:r>
        <w:rPr>
          <w:rFonts w:ascii="Calibri" w:hAnsi="Calibri"/>
          <w:b/>
          <w:i w:val="0"/>
          <w:color w:val="0F2847"/>
          <w:sz w:val="17"/>
        </w:rPr>
        <w:t>Governed sources — reading list for the reviewer who wants the primary document, not this summary:</w:t>
      </w:r>
    </w:p>
    <w:p>
      <w:pPr>
        <w:pStyle w:val="ListBullet"/>
        <w:spacing w:after="30" w:before="0"/>
        <w:ind w:left="317"/>
      </w:pPr>
      <w:r>
        <w:rPr>
          <w:rFonts w:ascii="Calibri" w:hAnsi="Calibri"/>
          <w:b/>
          <w:color w:val="0F2847"/>
          <w:sz w:val="17"/>
        </w:rPr>
        <w:t xml:space="preserve">DSI Progress Report (May 2026) — </w:t>
      </w:r>
      <w:r>
        <w:rPr>
          <w:rFonts w:ascii="Calibri" w:hAnsi="Calibri"/>
          <w:color w:val="3A4556"/>
          <w:sz w:val="17"/>
        </w:rPr>
        <w:t>dsi_progress_report.md (308,845 pages, 1 TB, 1.4M complaints, five-stage timing, measured baselines) — the “before” in every Table 2 row.</w:t>
      </w:r>
    </w:p>
    <w:p>
      <w:pPr>
        <w:pStyle w:val="ListBullet"/>
        <w:spacing w:after="30" w:before="0"/>
        <w:ind w:left="317"/>
      </w:pPr>
      <w:r>
        <w:rPr>
          <w:rFonts w:ascii="Calibri" w:hAnsi="Calibri"/>
          <w:b/>
          <w:color w:val="0F2847"/>
          <w:sz w:val="17"/>
        </w:rPr>
        <w:t xml:space="preserve">Analytics Note (CA&amp;GR, May 2026) — </w:t>
      </w:r>
      <w:r>
        <w:rPr>
          <w:rFonts w:ascii="Calibri" w:hAnsi="Calibri"/>
          <w:color w:val="3A4556"/>
          <w:sz w:val="17"/>
        </w:rPr>
        <w:t>grievance_analytics.md (688,301 in 2024–25, gender/geo/route/closure evidence, 55 figures, 14 exhibits) — the “status quo” numbers in §1 and §6.</w:t>
      </w:r>
    </w:p>
    <w:p>
      <w:pPr>
        <w:pStyle w:val="ListBullet"/>
        <w:spacing w:after="30" w:before="0"/>
        <w:ind w:left="317"/>
      </w:pPr>
      <w:r>
        <w:rPr>
          <w:rFonts w:ascii="Calibri" w:hAnsi="Calibri"/>
          <w:b/>
          <w:color w:val="0F2847"/>
          <w:sz w:val="17"/>
        </w:rPr>
        <w:t xml:space="preserve">Routing Crosswalk — </w:t>
      </w:r>
      <w:r>
        <w:rPr>
          <w:rFonts w:ascii="Calibri" w:hAnsi="Calibri"/>
          <w:color w:val="3A4556"/>
          <w:sz w:val="17"/>
        </w:rPr>
        <w:t>janasunani/routing/reference/routing_crosswalk.json (issue #33, closed 07 Aug — learned where history sent the case, not where it resolved best).</w:t>
      </w:r>
    </w:p>
    <w:p>
      <w:pPr>
        <w:pStyle w:val="ListBullet"/>
        <w:spacing w:after="30" w:before="0"/>
        <w:ind w:left="317"/>
      </w:pPr>
      <w:r>
        <w:rPr>
          <w:rFonts w:ascii="Calibri" w:hAnsi="Calibri"/>
          <w:b/>
          <w:color w:val="0F2847"/>
          <w:sz w:val="17"/>
        </w:rPr>
        <w:t xml:space="preserve">PII Gold — </w:t>
      </w:r>
      <w:r>
        <w:rPr>
          <w:rFonts w:ascii="Calibri" w:hAnsi="Calibri"/>
          <w:color w:val="3A4556"/>
          <w:sz w:val="17"/>
        </w:rPr>
        <w:t>data/external/pii_gold_draft_n50.jsonl (89 pages, 529 spans — DVC-tracked, duplicate-span rejection #89, gov-email exclusion #56).</w:t>
      </w:r>
    </w:p>
    <w:p>
      <w:pPr>
        <w:pStyle w:val="ListBullet"/>
        <w:spacing w:after="30" w:before="0"/>
        <w:ind w:left="317"/>
      </w:pPr>
      <w:r>
        <w:rPr>
          <w:rFonts w:ascii="Calibri" w:hAnsi="Calibri"/>
          <w:b/>
          <w:color w:val="0F2847"/>
          <w:sz w:val="17"/>
        </w:rPr>
        <w:t xml:space="preserve">Dedup Slice — </w:t>
      </w:r>
      <w:r>
        <w:rPr>
          <w:rFonts w:ascii="Calibri" w:hAnsi="Calibri"/>
          <w:color w:val="3A4556"/>
          <w:sz w:val="17"/>
        </w:rPr>
        <w:t>DEMO_SLICE = Sambalpur/2024, 55,544 with redacted text (janasunani/config.py:DEMO_SLICE_LABEL) — the only slice with redacted corpus on the CPU box as of 07 Aug 14:14.</w:t>
      </w:r>
    </w:p>
    <w:p>
      <w:pPr>
        <w:pStyle w:val="ListBullet"/>
        <w:spacing w:after="30" w:before="0"/>
        <w:ind w:left="317"/>
      </w:pPr>
      <w:r>
        <w:rPr>
          <w:rFonts w:ascii="Calibri" w:hAnsi="Calibri"/>
          <w:b/>
          <w:color w:val="0F2847"/>
          <w:sz w:val="17"/>
        </w:rPr>
        <w:t xml:space="preserve">Full metric definitions — </w:t>
      </w:r>
      <w:r>
        <w:rPr>
          <w:rFonts w:ascii="Calibri" w:hAnsi="Calibri"/>
          <w:color w:val="3A4556"/>
          <w:sz w:val="17"/>
        </w:rPr>
        <w:t>docs/ROADMAP.md §2, §3.2, §5; docs/DELIVERY.md Table 2; docs/FINDINGS.md; docs/PERFORMANCE.md — each number in this report points to one of them.</w:t>
      </w:r>
    </w:p>
    <w:tbl>
      <w:tblPr>
        <w:tblW w:type="auto" w:w="0"/>
        <w:jc w:val="center"/>
        <w:tblLook w:firstColumn="1" w:firstRow="1" w:lastColumn="0" w:lastRow="0" w:noHBand="0" w:noVBand="1" w:val="04A0"/>
      </w:tblPr>
      <w:tblGrid>
        <w:gridCol w:w="10037"/>
      </w:tblGrid>
      <w:tr>
        <w:tc>
          <w:tcPr>
            <w:tcW w:type="dxa" w:w="10037"/>
            <w:shd w:fill="F8FAFC" w:val="clear"/>
            <w:tcBorders>
              <w:top w:val="single" w:sz="3" w:space="0" w:color="E5E7EB"/>
              <w:right w:val="single" w:sz="3" w:space="0" w:color="E5E7EB"/>
              <w:bottom w:val="single" w:sz="3" w:space="0" w:color="E5E7EB"/>
              <w:left w:val="single" w:sz="12" w:space="8" w:color="0F2847"/>
            </w:tcBorders>
            <w:tcMar>
              <w:top w:w="70" w:type="dxa"/>
              <w:bottom w:w="70" w:type="dxa"/>
              <w:left w:w="140" w:type="dxa"/>
              <w:right w:w="140" w:type="dxa"/>
            </w:tcMar>
          </w:tcPr>
          <w:p>
            <w:pPr>
              <w:jc w:val="left"/>
            </w:pPr>
            <w:r>
              <w:rPr>
                <w:b/>
                <w:color w:val="0F2847"/>
                <w:sz w:val="17"/>
              </w:rPr>
              <w:t xml:space="preserve">ⓘ  </w:t>
            </w:r>
            <w:r>
              <w:rPr>
                <w:rFonts w:ascii="Calibri" w:hAnsi="Calibri"/>
                <w:color w:val="1F2A37"/>
                <w:sz w:val="15"/>
              </w:rPr>
              <w:t>A note on language. “Accuracy” here is used in plain English — where we mean precision or recall or overlap recall, the table says so. The technical distinction matters (precision = share of flagged that were correct; recall = share of true that were flagged; overlap recall = any overlap counts; exact = full span must match), but the report labels each row — you do not need to remember the definitions to read the implication column. Where a head-line hides a spread (MuRIL 71% = Police 0.85 to Social Welfare 0.51), we report the spread.</w:t>
            </w:r>
          </w:p>
        </w:tc>
      </w:tr>
    </w:tbl>
    <w:p>
      <w:pPr>
        <w:pStyle w:val="Heading2"/>
      </w:pPr>
      <w:r>
        <w:t>What happens after 14 August</w:t>
      </w:r>
    </w:p>
    <w:p>
      <w:pPr>
        <w:spacing w:after="80" w:before="0"/>
        <w:jc w:val="left"/>
      </w:pPr>
      <w:r>
        <w:rPr>
          <w:rFonts w:ascii="Calibri" w:hAnsi="Calibri"/>
          <w:b w:val="0"/>
          <w:i w:val="0"/>
          <w:color w:val="3A4556"/>
          <w:sz w:val="16"/>
        </w:rPr>
        <w:t>The August demonstration is a working slice, not the full 1.37M. Three investments strengthen the data before any scale-up decision — each is a data acquisition or a hand-review task, not a model change:</w:t>
      </w:r>
    </w:p>
    <w:p>
      <w:pPr>
        <w:pStyle w:val="ListBullet"/>
        <w:spacing w:after="30" w:before="0"/>
        <w:ind w:left="317"/>
      </w:pPr>
      <w:r>
        <w:rPr>
          <w:rFonts w:ascii="Calibri" w:hAnsi="Calibri"/>
          <w:b/>
          <w:color w:val="0F2847"/>
          <w:sz w:val="17"/>
        </w:rPr>
        <w:t>1. Eligibility denominators — later, link Janasunani to current, governed PMAY / pension / ration-card lists by district and block before publishing any per-eligible rate. The first release uses counts only. Highest priority.</w:t>
      </w:r>
      <w:r>
        <w:rPr>
          <w:rFonts w:ascii="Calibri" w:hAnsi="Calibri"/>
          <w:color w:val="3A4556"/>
          <w:sz w:val="17"/>
        </w:rPr>
      </w:r>
    </w:p>
    <w:p>
      <w:pPr>
        <w:pStyle w:val="ListBullet"/>
        <w:spacing w:after="30" w:before="0"/>
        <w:ind w:left="317"/>
      </w:pPr>
      <w:r>
        <w:rPr>
          <w:rFonts w:ascii="Calibri" w:hAnsi="Calibri"/>
          <w:b/>
          <w:color w:val="0F2847"/>
          <w:sz w:val="17"/>
        </w:rPr>
        <w:t xml:space="preserve">2. Classification coverage — </w:t>
      </w:r>
      <w:r>
        <w:rPr>
          <w:rFonts w:ascii="Calibri" w:hAnsi="Calibri"/>
          <w:color w:val="3A4556"/>
          <w:sz w:val="17"/>
        </w:rPr>
        <w:t>NLP-assisted labelling for the 33.9% uninformative (NaN / General / Miscellaneous) from free text — proof of concept on ORTPS exists. Add Odia/romanized gold for the 27% non-English text.</w:t>
      </w:r>
    </w:p>
    <w:p>
      <w:pPr>
        <w:pStyle w:val="ListBullet"/>
        <w:spacing w:after="30" w:before="0"/>
        <w:ind w:left="317"/>
      </w:pPr>
      <w:r>
        <w:rPr>
          <w:rFonts w:ascii="Calibri" w:hAnsi="Calibri"/>
          <w:b/>
          <w:color w:val="0F2847"/>
          <w:sz w:val="17"/>
        </w:rPr>
        <w:t xml:space="preserve">3. Hand review where only a human can judge — </w:t>
      </w:r>
      <w:r>
        <w:rPr>
          <w:rFonts w:ascii="Calibri" w:hAnsi="Calibri"/>
          <w:color w:val="3A4556"/>
          <w:sz w:val="17"/>
        </w:rPr>
        <w:t>300–500 closures to calibrate the 61% bare rate; ~300 pages transcribed to score OCR properly (Sarvam handwritten vs printed split); both are days of reading, not months of engineering.</w:t>
      </w:r>
    </w:p>
    <w:p>
      <w:pPr>
        <w:spacing w:after="120" w:before="0"/>
        <w:jc w:val="left"/>
      </w:pPr>
      <w:r>
        <w:rPr>
          <w:rFonts w:ascii="Calibri" w:hAnsi="Calibri"/>
          <w:b w:val="0"/>
          <w:i w:val="0"/>
          <w:color w:val="6B7280"/>
          <w:sz w:val="15"/>
        </w:rPr>
        <w:t>Next engineering work is evidence-preserving rather than new provider spend: checkpoint each Sarvam page so an interruption cannot lose paid results, import the cached 56-page aggregate into the benchmark registry, and wire the dedup-index join into spike/workload marts (#78). The stepped-wedge A/B plan remains DRAFT; its unit map, estimands, extract hash, MDE and pause rules must be locked before any arm outcome is read.</w:t>
      </w:r>
    </w:p>
    <w:p>
      <w:pPr>
        <w:spacing w:after="80" w:before="160"/>
        <w:jc w:val="center"/>
      </w:pPr>
      <w:r>
        <w:rPr>
          <w:rFonts w:ascii="Calibri" w:hAnsi="Calibri"/>
          <w:b w:val="0"/>
          <w:i/>
          <w:color w:val="6B7280"/>
          <w:sz w:val="14"/>
        </w:rPr>
        <w:t>Prepared by DPIC, August 2026. Working draft — figures reflect the August rehearsal slice and the 07 Aug production dedup run; they will be re-cut after the 14 August demonstration. Every table in this report is a query away from being re-checked; Annex A gives the command.</w:t>
      </w:r>
    </w:p>
    <w:sectPr w:rsidR="00FC693F" w:rsidRPr="0006063C" w:rsidSect="00034616">
      <w:footerReference w:type="default" r:id="rId9"/>
      <w:pgSz w:w="11909" w:h="16834"/>
      <w:pgMar w:top="792" w:right="936" w:bottom="792" w:left="936"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4"/>
      </w:rPr>
      <w:fldChar w:fldCharType="begin"/>
    </w:r>
    <w:r>
      <w:rPr>
        <w:rFonts w:ascii="Calibri" w:hAnsi="Calibri"/>
        <w:color w:val="6B7280"/>
        <w:sz w:val="14"/>
      </w:rPr>
      <w:instrText xml:space="preserve"> PAGE </w:instrText>
    </w:r>
    <w:r>
      <w:rPr>
        <w:rFonts w:ascii="Calibri" w:hAnsi="Calibri"/>
        <w:color w:val="6B7280"/>
        <w:sz w:val="14"/>
      </w:rPr>
      <w:fldChar w:fldCharType="end"/>
    </w:r>
    <w:r>
      <w:rPr>
        <w:rFonts w:ascii="Calibri" w:hAnsi="Calibri"/>
        <w:color w:val="6B7280"/>
        <w:sz w:val="14"/>
      </w:rPr>
      <w:t xml:space="preserve">  •  Janasunani 2.0  •  DPIC – Govt of Odisha × UChicago Trust</w:t>
    </w:r>
    <w:r>
      <w:rPr>
        <w:rFonts w:ascii="Calibri" w:hAnsi="Calibri"/>
        <w:color w:val="6B7280"/>
        <w:sz w:val="14"/>
      </w:rPr>
      <w:t xml:space="preserve">  •  August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Calibri" w:hAnsi="Calibri"/>
      <w:color w:val="3A455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F2847"/>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E7C7B"/>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i/>
      <w:color w:val="0F284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160"/>
    </w:pPr>
    <w:rPr>
      <w:rFonts w:ascii="Calibri" w:hAnsi="Calibri"/>
      <w:b/>
      <w:bCs/>
      <w:i/>
      <w:color w:val="6B7280"/>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