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9009FC" w14:textId="145A14FB" w:rsidR="003B217A" w:rsidRDefault="00A26B15" w:rsidP="00A26B15">
      <w:pPr>
        <w:pStyle w:val="Title"/>
      </w:pPr>
      <w:r>
        <w:t>Ambulance Fee Schedule</w:t>
      </w:r>
    </w:p>
    <w:p w14:paraId="729D8694" w14:textId="19DD649F" w:rsidR="00A26B15" w:rsidRDefault="00A26B15" w:rsidP="00A26B15">
      <w:pPr>
        <w:pStyle w:val="Subtitle"/>
      </w:pPr>
      <w:r>
        <w:t xml:space="preserve">Analysis </w:t>
      </w:r>
      <w:r w:rsidR="005B20F3">
        <w:t xml:space="preserve">&amp; </w:t>
      </w:r>
      <w:r>
        <w:t>Results</w:t>
      </w:r>
    </w:p>
    <w:sdt>
      <w:sdtPr>
        <w:rPr>
          <w:rFonts w:ascii="Times New Roman" w:eastAsia="Times New Roman" w:hAnsi="Times New Roman" w:cs="Times New Roman"/>
          <w:b w:val="0"/>
          <w:bCs w:val="0"/>
          <w:color w:val="auto"/>
          <w:sz w:val="24"/>
          <w:szCs w:val="24"/>
        </w:rPr>
        <w:id w:val="1188107086"/>
        <w:docPartObj>
          <w:docPartGallery w:val="Table of Contents"/>
          <w:docPartUnique/>
        </w:docPartObj>
      </w:sdtPr>
      <w:sdtEndPr>
        <w:rPr>
          <w:noProof/>
        </w:rPr>
      </w:sdtEndPr>
      <w:sdtContent>
        <w:p w14:paraId="050945B9" w14:textId="63BEA265" w:rsidR="00234D68" w:rsidRDefault="00234D68">
          <w:pPr>
            <w:pStyle w:val="TOCHeading"/>
          </w:pPr>
          <w:r>
            <w:t>Table of Contents</w:t>
          </w:r>
        </w:p>
        <w:p w14:paraId="6E259CD0" w14:textId="778FD662" w:rsidR="000B60B6" w:rsidRDefault="00234D68">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49416134" w:history="1">
            <w:r w:rsidR="000B60B6" w:rsidRPr="00003F5C">
              <w:rPr>
                <w:rStyle w:val="Hyperlink"/>
                <w:noProof/>
              </w:rPr>
              <w:t>Introduction</w:t>
            </w:r>
            <w:r w:rsidR="000B60B6">
              <w:rPr>
                <w:noProof/>
                <w:webHidden/>
              </w:rPr>
              <w:tab/>
            </w:r>
            <w:r w:rsidR="000B60B6">
              <w:rPr>
                <w:noProof/>
                <w:webHidden/>
              </w:rPr>
              <w:fldChar w:fldCharType="begin"/>
            </w:r>
            <w:r w:rsidR="000B60B6">
              <w:rPr>
                <w:noProof/>
                <w:webHidden/>
              </w:rPr>
              <w:instrText xml:space="preserve"> PAGEREF _Toc49416134 \h </w:instrText>
            </w:r>
            <w:r w:rsidR="000B60B6">
              <w:rPr>
                <w:noProof/>
                <w:webHidden/>
              </w:rPr>
            </w:r>
            <w:r w:rsidR="000B60B6">
              <w:rPr>
                <w:noProof/>
                <w:webHidden/>
              </w:rPr>
              <w:fldChar w:fldCharType="separate"/>
            </w:r>
            <w:r w:rsidR="000B60B6">
              <w:rPr>
                <w:noProof/>
                <w:webHidden/>
              </w:rPr>
              <w:t>1</w:t>
            </w:r>
            <w:r w:rsidR="000B60B6">
              <w:rPr>
                <w:noProof/>
                <w:webHidden/>
              </w:rPr>
              <w:fldChar w:fldCharType="end"/>
            </w:r>
          </w:hyperlink>
        </w:p>
        <w:p w14:paraId="33FDD54B" w14:textId="1790C2E8" w:rsidR="000B60B6" w:rsidRDefault="00755681">
          <w:pPr>
            <w:pStyle w:val="TOC1"/>
            <w:tabs>
              <w:tab w:val="right" w:leader="dot" w:pos="9350"/>
            </w:tabs>
            <w:rPr>
              <w:rFonts w:eastAsiaTheme="minorEastAsia" w:cstheme="minorBidi"/>
              <w:b w:val="0"/>
              <w:bCs w:val="0"/>
              <w:i w:val="0"/>
              <w:iCs w:val="0"/>
              <w:noProof/>
            </w:rPr>
          </w:pPr>
          <w:hyperlink w:anchor="_Toc49416135" w:history="1">
            <w:r w:rsidR="000B60B6" w:rsidRPr="00003F5C">
              <w:rPr>
                <w:rStyle w:val="Hyperlink"/>
                <w:noProof/>
              </w:rPr>
              <w:t>Dataset</w:t>
            </w:r>
            <w:r w:rsidR="000B60B6">
              <w:rPr>
                <w:noProof/>
                <w:webHidden/>
              </w:rPr>
              <w:tab/>
            </w:r>
            <w:r w:rsidR="000B60B6">
              <w:rPr>
                <w:noProof/>
                <w:webHidden/>
              </w:rPr>
              <w:fldChar w:fldCharType="begin"/>
            </w:r>
            <w:r w:rsidR="000B60B6">
              <w:rPr>
                <w:noProof/>
                <w:webHidden/>
              </w:rPr>
              <w:instrText xml:space="preserve"> PAGEREF _Toc49416135 \h </w:instrText>
            </w:r>
            <w:r w:rsidR="000B60B6">
              <w:rPr>
                <w:noProof/>
                <w:webHidden/>
              </w:rPr>
            </w:r>
            <w:r w:rsidR="000B60B6">
              <w:rPr>
                <w:noProof/>
                <w:webHidden/>
              </w:rPr>
              <w:fldChar w:fldCharType="separate"/>
            </w:r>
            <w:r w:rsidR="000B60B6">
              <w:rPr>
                <w:noProof/>
                <w:webHidden/>
              </w:rPr>
              <w:t>2</w:t>
            </w:r>
            <w:r w:rsidR="000B60B6">
              <w:rPr>
                <w:noProof/>
                <w:webHidden/>
              </w:rPr>
              <w:fldChar w:fldCharType="end"/>
            </w:r>
          </w:hyperlink>
        </w:p>
        <w:p w14:paraId="2BEC704B" w14:textId="0744A863" w:rsidR="000B60B6" w:rsidRDefault="00755681">
          <w:pPr>
            <w:pStyle w:val="TOC1"/>
            <w:tabs>
              <w:tab w:val="right" w:leader="dot" w:pos="9350"/>
            </w:tabs>
            <w:rPr>
              <w:rFonts w:eastAsiaTheme="minorEastAsia" w:cstheme="minorBidi"/>
              <w:b w:val="0"/>
              <w:bCs w:val="0"/>
              <w:i w:val="0"/>
              <w:iCs w:val="0"/>
              <w:noProof/>
            </w:rPr>
          </w:pPr>
          <w:hyperlink w:anchor="_Toc49416136" w:history="1">
            <w:r w:rsidR="000B60B6" w:rsidRPr="00003F5C">
              <w:rPr>
                <w:rStyle w:val="Hyperlink"/>
                <w:noProof/>
              </w:rPr>
              <w:t>Nationwide</w:t>
            </w:r>
            <w:r w:rsidR="000B60B6">
              <w:rPr>
                <w:noProof/>
                <w:webHidden/>
              </w:rPr>
              <w:tab/>
            </w:r>
            <w:r w:rsidR="000B60B6">
              <w:rPr>
                <w:noProof/>
                <w:webHidden/>
              </w:rPr>
              <w:fldChar w:fldCharType="begin"/>
            </w:r>
            <w:r w:rsidR="000B60B6">
              <w:rPr>
                <w:noProof/>
                <w:webHidden/>
              </w:rPr>
              <w:instrText xml:space="preserve"> PAGEREF _Toc49416136 \h </w:instrText>
            </w:r>
            <w:r w:rsidR="000B60B6">
              <w:rPr>
                <w:noProof/>
                <w:webHidden/>
              </w:rPr>
            </w:r>
            <w:r w:rsidR="000B60B6">
              <w:rPr>
                <w:noProof/>
                <w:webHidden/>
              </w:rPr>
              <w:fldChar w:fldCharType="separate"/>
            </w:r>
            <w:r w:rsidR="000B60B6">
              <w:rPr>
                <w:noProof/>
                <w:webHidden/>
              </w:rPr>
              <w:t>3</w:t>
            </w:r>
            <w:r w:rsidR="000B60B6">
              <w:rPr>
                <w:noProof/>
                <w:webHidden/>
              </w:rPr>
              <w:fldChar w:fldCharType="end"/>
            </w:r>
          </w:hyperlink>
        </w:p>
        <w:p w14:paraId="289CC31E" w14:textId="1EB12D69" w:rsidR="000B60B6" w:rsidRDefault="00755681">
          <w:pPr>
            <w:pStyle w:val="TOC1"/>
            <w:tabs>
              <w:tab w:val="right" w:leader="dot" w:pos="9350"/>
            </w:tabs>
            <w:rPr>
              <w:rFonts w:eastAsiaTheme="minorEastAsia" w:cstheme="minorBidi"/>
              <w:b w:val="0"/>
              <w:bCs w:val="0"/>
              <w:i w:val="0"/>
              <w:iCs w:val="0"/>
              <w:noProof/>
            </w:rPr>
          </w:pPr>
          <w:hyperlink w:anchor="_Toc49416137" w:history="1">
            <w:r w:rsidR="000B60B6" w:rsidRPr="00003F5C">
              <w:rPr>
                <w:rStyle w:val="Hyperlink"/>
                <w:noProof/>
              </w:rPr>
              <w:t>Statewide</w:t>
            </w:r>
            <w:r w:rsidR="000B60B6">
              <w:rPr>
                <w:noProof/>
                <w:webHidden/>
              </w:rPr>
              <w:tab/>
            </w:r>
            <w:r w:rsidR="000B60B6">
              <w:rPr>
                <w:noProof/>
                <w:webHidden/>
              </w:rPr>
              <w:fldChar w:fldCharType="begin"/>
            </w:r>
            <w:r w:rsidR="000B60B6">
              <w:rPr>
                <w:noProof/>
                <w:webHidden/>
              </w:rPr>
              <w:instrText xml:space="preserve"> PAGEREF _Toc49416137 \h </w:instrText>
            </w:r>
            <w:r w:rsidR="000B60B6">
              <w:rPr>
                <w:noProof/>
                <w:webHidden/>
              </w:rPr>
            </w:r>
            <w:r w:rsidR="000B60B6">
              <w:rPr>
                <w:noProof/>
                <w:webHidden/>
              </w:rPr>
              <w:fldChar w:fldCharType="separate"/>
            </w:r>
            <w:r w:rsidR="000B60B6">
              <w:rPr>
                <w:noProof/>
                <w:webHidden/>
              </w:rPr>
              <w:t>5</w:t>
            </w:r>
            <w:r w:rsidR="000B60B6">
              <w:rPr>
                <w:noProof/>
                <w:webHidden/>
              </w:rPr>
              <w:fldChar w:fldCharType="end"/>
            </w:r>
          </w:hyperlink>
        </w:p>
        <w:p w14:paraId="20F60F85" w14:textId="7FBA4319" w:rsidR="000B60B6" w:rsidRDefault="00755681">
          <w:pPr>
            <w:pStyle w:val="TOC1"/>
            <w:tabs>
              <w:tab w:val="right" w:leader="dot" w:pos="9350"/>
            </w:tabs>
            <w:rPr>
              <w:rFonts w:eastAsiaTheme="minorEastAsia" w:cstheme="minorBidi"/>
              <w:b w:val="0"/>
              <w:bCs w:val="0"/>
              <w:i w:val="0"/>
              <w:iCs w:val="0"/>
              <w:noProof/>
            </w:rPr>
          </w:pPr>
          <w:hyperlink w:anchor="_Toc49416138" w:history="1">
            <w:r w:rsidR="000B60B6" w:rsidRPr="00003F5C">
              <w:rPr>
                <w:rStyle w:val="Hyperlink"/>
                <w:noProof/>
              </w:rPr>
              <w:t>Citywide</w:t>
            </w:r>
            <w:r w:rsidR="000B60B6">
              <w:rPr>
                <w:noProof/>
                <w:webHidden/>
              </w:rPr>
              <w:tab/>
            </w:r>
            <w:r w:rsidR="000B60B6">
              <w:rPr>
                <w:noProof/>
                <w:webHidden/>
              </w:rPr>
              <w:fldChar w:fldCharType="begin"/>
            </w:r>
            <w:r w:rsidR="000B60B6">
              <w:rPr>
                <w:noProof/>
                <w:webHidden/>
              </w:rPr>
              <w:instrText xml:space="preserve"> PAGEREF _Toc49416138 \h </w:instrText>
            </w:r>
            <w:r w:rsidR="000B60B6">
              <w:rPr>
                <w:noProof/>
                <w:webHidden/>
              </w:rPr>
            </w:r>
            <w:r w:rsidR="000B60B6">
              <w:rPr>
                <w:noProof/>
                <w:webHidden/>
              </w:rPr>
              <w:fldChar w:fldCharType="separate"/>
            </w:r>
            <w:r w:rsidR="000B60B6">
              <w:rPr>
                <w:noProof/>
                <w:webHidden/>
              </w:rPr>
              <w:t>7</w:t>
            </w:r>
            <w:r w:rsidR="000B60B6">
              <w:rPr>
                <w:noProof/>
                <w:webHidden/>
              </w:rPr>
              <w:fldChar w:fldCharType="end"/>
            </w:r>
          </w:hyperlink>
        </w:p>
        <w:p w14:paraId="1ABE2EF2" w14:textId="0CEC23C8" w:rsidR="000B60B6" w:rsidRDefault="00755681">
          <w:pPr>
            <w:pStyle w:val="TOC1"/>
            <w:tabs>
              <w:tab w:val="right" w:leader="dot" w:pos="9350"/>
            </w:tabs>
            <w:rPr>
              <w:rFonts w:eastAsiaTheme="minorEastAsia" w:cstheme="minorBidi"/>
              <w:b w:val="0"/>
              <w:bCs w:val="0"/>
              <w:i w:val="0"/>
              <w:iCs w:val="0"/>
              <w:noProof/>
            </w:rPr>
          </w:pPr>
          <w:hyperlink w:anchor="_Toc49416139" w:history="1">
            <w:r w:rsidR="000B60B6" w:rsidRPr="00003F5C">
              <w:rPr>
                <w:rStyle w:val="Hyperlink"/>
                <w:noProof/>
              </w:rPr>
              <w:t>Business Application</w:t>
            </w:r>
            <w:r w:rsidR="000B60B6">
              <w:rPr>
                <w:noProof/>
                <w:webHidden/>
              </w:rPr>
              <w:tab/>
            </w:r>
            <w:r w:rsidR="000B60B6">
              <w:rPr>
                <w:noProof/>
                <w:webHidden/>
              </w:rPr>
              <w:fldChar w:fldCharType="begin"/>
            </w:r>
            <w:r w:rsidR="000B60B6">
              <w:rPr>
                <w:noProof/>
                <w:webHidden/>
              </w:rPr>
              <w:instrText xml:space="preserve"> PAGEREF _Toc49416139 \h </w:instrText>
            </w:r>
            <w:r w:rsidR="000B60B6">
              <w:rPr>
                <w:noProof/>
                <w:webHidden/>
              </w:rPr>
            </w:r>
            <w:r w:rsidR="000B60B6">
              <w:rPr>
                <w:noProof/>
                <w:webHidden/>
              </w:rPr>
              <w:fldChar w:fldCharType="separate"/>
            </w:r>
            <w:r w:rsidR="000B60B6">
              <w:rPr>
                <w:noProof/>
                <w:webHidden/>
              </w:rPr>
              <w:t>9</w:t>
            </w:r>
            <w:r w:rsidR="000B60B6">
              <w:rPr>
                <w:noProof/>
                <w:webHidden/>
              </w:rPr>
              <w:fldChar w:fldCharType="end"/>
            </w:r>
          </w:hyperlink>
        </w:p>
        <w:p w14:paraId="0D1BB449" w14:textId="27254D2B" w:rsidR="000B60B6" w:rsidRDefault="00755681">
          <w:pPr>
            <w:pStyle w:val="TOC1"/>
            <w:tabs>
              <w:tab w:val="right" w:leader="dot" w:pos="9350"/>
            </w:tabs>
            <w:rPr>
              <w:rFonts w:eastAsiaTheme="minorEastAsia" w:cstheme="minorBidi"/>
              <w:b w:val="0"/>
              <w:bCs w:val="0"/>
              <w:i w:val="0"/>
              <w:iCs w:val="0"/>
              <w:noProof/>
            </w:rPr>
          </w:pPr>
          <w:hyperlink w:anchor="_Toc49416140" w:history="1">
            <w:r w:rsidR="000B60B6" w:rsidRPr="00003F5C">
              <w:rPr>
                <w:rStyle w:val="Hyperlink"/>
                <w:noProof/>
              </w:rPr>
              <w:t>Conclusion</w:t>
            </w:r>
            <w:r w:rsidR="000B60B6">
              <w:rPr>
                <w:noProof/>
                <w:webHidden/>
              </w:rPr>
              <w:tab/>
            </w:r>
            <w:r w:rsidR="000B60B6">
              <w:rPr>
                <w:noProof/>
                <w:webHidden/>
              </w:rPr>
              <w:fldChar w:fldCharType="begin"/>
            </w:r>
            <w:r w:rsidR="000B60B6">
              <w:rPr>
                <w:noProof/>
                <w:webHidden/>
              </w:rPr>
              <w:instrText xml:space="preserve"> PAGEREF _Toc49416140 \h </w:instrText>
            </w:r>
            <w:r w:rsidR="000B60B6">
              <w:rPr>
                <w:noProof/>
                <w:webHidden/>
              </w:rPr>
            </w:r>
            <w:r w:rsidR="000B60B6">
              <w:rPr>
                <w:noProof/>
                <w:webHidden/>
              </w:rPr>
              <w:fldChar w:fldCharType="separate"/>
            </w:r>
            <w:r w:rsidR="000B60B6">
              <w:rPr>
                <w:noProof/>
                <w:webHidden/>
              </w:rPr>
              <w:t>13</w:t>
            </w:r>
            <w:r w:rsidR="000B60B6">
              <w:rPr>
                <w:noProof/>
                <w:webHidden/>
              </w:rPr>
              <w:fldChar w:fldCharType="end"/>
            </w:r>
          </w:hyperlink>
        </w:p>
        <w:p w14:paraId="4FC48D91" w14:textId="7AE01B19" w:rsidR="00234D68" w:rsidRDefault="00234D68">
          <w:r>
            <w:rPr>
              <w:b/>
              <w:bCs/>
              <w:noProof/>
            </w:rPr>
            <w:fldChar w:fldCharType="end"/>
          </w:r>
        </w:p>
      </w:sdtContent>
    </w:sdt>
    <w:p w14:paraId="1F3A578A" w14:textId="2EC17602" w:rsidR="005B20F3" w:rsidRDefault="005B20F3" w:rsidP="00A26B15">
      <w:pPr>
        <w:pStyle w:val="Heading1"/>
      </w:pPr>
      <w:bookmarkStart w:id="0" w:name="_Toc49416134"/>
      <w:r>
        <w:t>Introduction</w:t>
      </w:r>
      <w:bookmarkEnd w:id="0"/>
    </w:p>
    <w:p w14:paraId="38A166F1" w14:textId="77777777" w:rsidR="005B20F3" w:rsidRPr="005B20F3" w:rsidRDefault="005B20F3" w:rsidP="00234D68">
      <w:r w:rsidRPr="005B20F3">
        <w:t>Here is the mile-high summary of the analysis:</w:t>
      </w:r>
    </w:p>
    <w:p w14:paraId="22F6F2A9" w14:textId="77777777" w:rsidR="005B20F3" w:rsidRPr="005B20F3" w:rsidRDefault="005B20F3" w:rsidP="00234D68">
      <w:pPr>
        <w:pStyle w:val="ListParagraph"/>
        <w:numPr>
          <w:ilvl w:val="0"/>
          <w:numId w:val="4"/>
        </w:numPr>
      </w:pPr>
      <w:r w:rsidRPr="005B20F3">
        <w:t>Each year the </w:t>
      </w:r>
      <w:r w:rsidRPr="00234D68">
        <w:rPr>
          <w:i/>
          <w:iCs/>
        </w:rPr>
        <w:t xml:space="preserve">Centers for Medicare &amp; Medicaid Services </w:t>
      </w:r>
      <w:r w:rsidRPr="005B20F3">
        <w:t>publishes the </w:t>
      </w:r>
      <w:r w:rsidRPr="00234D68">
        <w:rPr>
          <w:i/>
          <w:iCs/>
        </w:rPr>
        <w:t>Ambulance Fee Schedule </w:t>
      </w:r>
    </w:p>
    <w:p w14:paraId="76C7FF54" w14:textId="77777777" w:rsidR="005B20F3" w:rsidRPr="005B20F3" w:rsidRDefault="005B20F3" w:rsidP="00234D68">
      <w:pPr>
        <w:pStyle w:val="ListParagraph"/>
        <w:numPr>
          <w:ilvl w:val="0"/>
          <w:numId w:val="4"/>
        </w:numPr>
      </w:pPr>
      <w:r w:rsidRPr="005B20F3">
        <w:t>This schedule details how much the Feds will reimburse Medicare/Medicaid ambulance rides based on </w:t>
      </w:r>
    </w:p>
    <w:p w14:paraId="719B33B9" w14:textId="77777777" w:rsidR="005B20F3" w:rsidRPr="005B20F3" w:rsidRDefault="005B20F3" w:rsidP="00234D68">
      <w:pPr>
        <w:pStyle w:val="ListParagraph"/>
        <w:numPr>
          <w:ilvl w:val="1"/>
          <w:numId w:val="4"/>
        </w:numPr>
      </w:pPr>
      <w:r w:rsidRPr="005B20F3">
        <w:t>Where you live </w:t>
      </w:r>
    </w:p>
    <w:p w14:paraId="6A1C23EF" w14:textId="77777777" w:rsidR="005B20F3" w:rsidRPr="005B20F3" w:rsidRDefault="005B20F3" w:rsidP="00234D68">
      <w:pPr>
        <w:pStyle w:val="ListParagraph"/>
        <w:numPr>
          <w:ilvl w:val="1"/>
          <w:numId w:val="4"/>
        </w:numPr>
      </w:pPr>
      <w:r w:rsidRPr="005B20F3">
        <w:t xml:space="preserve">What type of transportation is used (car, </w:t>
      </w:r>
      <w:proofErr w:type="gramStart"/>
      <w:r w:rsidRPr="005B20F3">
        <w:t>plane,</w:t>
      </w:r>
      <w:proofErr w:type="gramEnd"/>
      <w:r w:rsidRPr="005B20F3">
        <w:t xml:space="preserve"> helicopter)</w:t>
      </w:r>
    </w:p>
    <w:p w14:paraId="549B7F09" w14:textId="77777777" w:rsidR="005B20F3" w:rsidRPr="005B20F3" w:rsidRDefault="005B20F3" w:rsidP="00234D68">
      <w:pPr>
        <w:pStyle w:val="ListParagraph"/>
        <w:numPr>
          <w:ilvl w:val="1"/>
          <w:numId w:val="4"/>
        </w:numPr>
      </w:pPr>
      <w:r w:rsidRPr="005B20F3">
        <w:t>What services are provided (thermometer, ventilator, amputation, etc.)</w:t>
      </w:r>
    </w:p>
    <w:p w14:paraId="6C6555BB" w14:textId="53BD8842" w:rsidR="005B20F3" w:rsidRPr="005B20F3" w:rsidRDefault="005B20F3" w:rsidP="00234D68">
      <w:pPr>
        <w:pStyle w:val="ListParagraph"/>
        <w:numPr>
          <w:ilvl w:val="0"/>
          <w:numId w:val="4"/>
        </w:numPr>
      </w:pPr>
      <w:r w:rsidRPr="005B20F3">
        <w:t>I combined three datasets together </w:t>
      </w:r>
    </w:p>
    <w:p w14:paraId="0696E27F" w14:textId="77777777" w:rsidR="005B20F3" w:rsidRPr="005B20F3" w:rsidRDefault="005B20F3" w:rsidP="00234D68">
      <w:pPr>
        <w:pStyle w:val="ListParagraph"/>
        <w:numPr>
          <w:ilvl w:val="1"/>
          <w:numId w:val="4"/>
        </w:numPr>
      </w:pPr>
      <w:r w:rsidRPr="005B20F3">
        <w:t>Ambulance Fee Schedule (described above)</w:t>
      </w:r>
    </w:p>
    <w:p w14:paraId="657BC37A" w14:textId="77777777" w:rsidR="005B20F3" w:rsidRPr="005B20F3" w:rsidRDefault="005B20F3" w:rsidP="00234D68">
      <w:pPr>
        <w:pStyle w:val="ListParagraph"/>
        <w:numPr>
          <w:ilvl w:val="1"/>
          <w:numId w:val="4"/>
        </w:numPr>
      </w:pPr>
      <w:r w:rsidRPr="005B20F3">
        <w:t>Carrier &amp; Location Codes (states, counties, cities, etc.)</w:t>
      </w:r>
    </w:p>
    <w:p w14:paraId="58071901" w14:textId="77777777" w:rsidR="005B20F3" w:rsidRPr="005B20F3" w:rsidRDefault="005B20F3" w:rsidP="00234D68">
      <w:pPr>
        <w:pStyle w:val="ListParagraph"/>
        <w:numPr>
          <w:ilvl w:val="1"/>
          <w:numId w:val="4"/>
        </w:numPr>
      </w:pPr>
      <w:r w:rsidRPr="005B20F3">
        <w:t>HCPCS Codes (healthcare codes for services rendered)</w:t>
      </w:r>
    </w:p>
    <w:p w14:paraId="2357149B" w14:textId="77777777" w:rsidR="005B20F3" w:rsidRPr="005B20F3" w:rsidRDefault="005B20F3" w:rsidP="00234D68">
      <w:pPr>
        <w:pStyle w:val="ListParagraph"/>
        <w:numPr>
          <w:ilvl w:val="0"/>
          <w:numId w:val="4"/>
        </w:numPr>
      </w:pPr>
      <w:r w:rsidRPr="005B20F3">
        <w:t>With this information I </w:t>
      </w:r>
    </w:p>
    <w:p w14:paraId="5EBE3E98" w14:textId="4C684319" w:rsidR="005B20F3" w:rsidRPr="005B20F3" w:rsidRDefault="005B20F3" w:rsidP="00234D68">
      <w:pPr>
        <w:pStyle w:val="ListParagraph"/>
        <w:numPr>
          <w:ilvl w:val="1"/>
          <w:numId w:val="4"/>
        </w:numPr>
      </w:pPr>
      <w:r w:rsidRPr="005B20F3">
        <w:t xml:space="preserve">Analyzed the fees at </w:t>
      </w:r>
      <w:r w:rsidR="000B60B6">
        <w:t xml:space="preserve">the </w:t>
      </w:r>
      <w:r w:rsidRPr="005B20F3">
        <w:t>national, state, and city scale</w:t>
      </w:r>
    </w:p>
    <w:p w14:paraId="6F6DCF32" w14:textId="65D0FFC3" w:rsidR="005B20F3" w:rsidRDefault="005B20F3" w:rsidP="00234D68">
      <w:pPr>
        <w:pStyle w:val="ListParagraph"/>
        <w:numPr>
          <w:ilvl w:val="1"/>
          <w:numId w:val="4"/>
        </w:numPr>
      </w:pPr>
      <w:r w:rsidRPr="005B20F3">
        <w:t>Performed a business case study</w:t>
      </w:r>
    </w:p>
    <w:p w14:paraId="1DF0C39E" w14:textId="77777777" w:rsidR="000B60B6" w:rsidRPr="005B20F3" w:rsidRDefault="000B60B6" w:rsidP="000B60B6">
      <w:pPr>
        <w:pStyle w:val="ListParagraph"/>
        <w:ind w:left="1440"/>
      </w:pPr>
    </w:p>
    <w:p w14:paraId="62B2AEE4" w14:textId="77777777" w:rsidR="005B20F3" w:rsidRPr="005B20F3" w:rsidRDefault="005B20F3" w:rsidP="00234D68">
      <w:r w:rsidRPr="005B20F3">
        <w:t>If you pressed me to answer "What is the value of this work?", I would say:</w:t>
      </w:r>
    </w:p>
    <w:p w14:paraId="7BEC593C" w14:textId="541C1DE3" w:rsidR="005B20F3" w:rsidRDefault="005B20F3" w:rsidP="00234D68">
      <w:pPr>
        <w:pStyle w:val="ListParagraph"/>
        <w:numPr>
          <w:ilvl w:val="0"/>
          <w:numId w:val="5"/>
        </w:numPr>
      </w:pPr>
      <w:r w:rsidRPr="005B20F3">
        <w:t>Time intensive ETL is complete for the dataset</w:t>
      </w:r>
    </w:p>
    <w:p w14:paraId="35284F07" w14:textId="0E8B4ECE" w:rsidR="005B20F3" w:rsidRDefault="000B60B6" w:rsidP="00234D68">
      <w:pPr>
        <w:pStyle w:val="ListParagraph"/>
        <w:numPr>
          <w:ilvl w:val="0"/>
          <w:numId w:val="5"/>
        </w:numPr>
      </w:pPr>
      <w:r>
        <w:t>Demonstrated ambulance</w:t>
      </w:r>
      <w:r w:rsidR="005B20F3" w:rsidRPr="005B20F3">
        <w:t xml:space="preserve"> fee</w:t>
      </w:r>
      <w:r>
        <w:t xml:space="preserve"> regression and ambulance ride forecasting can</w:t>
      </w:r>
      <w:r w:rsidR="005B20F3" w:rsidRPr="005B20F3">
        <w:t xml:space="preserve"> help hospitals plan out their revenue</w:t>
      </w:r>
    </w:p>
    <w:p w14:paraId="4903DCEE" w14:textId="77777777" w:rsidR="009C775D" w:rsidRDefault="009C775D" w:rsidP="009C775D"/>
    <w:p w14:paraId="400081BA" w14:textId="46AE28E1" w:rsidR="009C775D" w:rsidRDefault="009C775D" w:rsidP="009C775D">
      <w:r>
        <w:t xml:space="preserve">Git Hub Repo – </w:t>
      </w:r>
      <w:hyperlink r:id="rId6" w:history="1">
        <w:r w:rsidRPr="00C01E11">
          <w:rPr>
            <w:rStyle w:val="Hyperlink"/>
          </w:rPr>
          <w:t>https://github.com/Data-Science-Link/Call_the_Ambulance</w:t>
        </w:r>
      </w:hyperlink>
    </w:p>
    <w:p w14:paraId="2C6384A6" w14:textId="0069A810" w:rsidR="009C775D" w:rsidRDefault="009C775D" w:rsidP="009C775D">
      <w:proofErr w:type="spellStart"/>
      <w:r>
        <w:t>Jupyter</w:t>
      </w:r>
      <w:proofErr w:type="spellEnd"/>
      <w:r>
        <w:t xml:space="preserve"> Notebook – </w:t>
      </w:r>
      <w:hyperlink r:id="rId7" w:history="1">
        <w:r w:rsidRPr="00C01E11">
          <w:rPr>
            <w:rStyle w:val="Hyperlink"/>
          </w:rPr>
          <w:t>https://nbviewer.jupyter.org/github/Data-Science-Link/Call_the_Ambulance/blob/master/_Ambulance_Fee_Schedule_Analysis.ipynb</w:t>
        </w:r>
      </w:hyperlink>
    </w:p>
    <w:p w14:paraId="5953C87B" w14:textId="706125EE" w:rsidR="005B20F3" w:rsidRDefault="005B20F3" w:rsidP="00234D68">
      <w:pPr>
        <w:rPr>
          <w:rFonts w:asciiTheme="majorHAnsi" w:eastAsiaTheme="majorEastAsia" w:hAnsiTheme="majorHAnsi" w:cstheme="majorBidi"/>
          <w:color w:val="2F5496" w:themeColor="accent1" w:themeShade="BF"/>
          <w:sz w:val="32"/>
          <w:szCs w:val="32"/>
        </w:rPr>
      </w:pPr>
    </w:p>
    <w:p w14:paraId="3C3E4B3E" w14:textId="641A203E" w:rsidR="00A26B15" w:rsidRDefault="00A26B15" w:rsidP="00A26B15">
      <w:pPr>
        <w:pStyle w:val="Heading1"/>
      </w:pPr>
      <w:bookmarkStart w:id="1" w:name="_Toc49416135"/>
      <w:r>
        <w:lastRenderedPageBreak/>
        <w:t>Dataset</w:t>
      </w:r>
      <w:bookmarkEnd w:id="1"/>
    </w:p>
    <w:p w14:paraId="244E6AE8" w14:textId="33F4D8FB" w:rsidR="00A26B15" w:rsidRPr="00A26B15" w:rsidRDefault="00A26B15" w:rsidP="00234D68">
      <w:r w:rsidRPr="00A26B15">
        <w:t>The most salient variables in the transformed dataset are:</w:t>
      </w:r>
    </w:p>
    <w:p w14:paraId="5334F744" w14:textId="4466C303" w:rsidR="00A26B15" w:rsidRPr="00A26B15" w:rsidRDefault="00A26B15" w:rsidP="00A26B15">
      <w:pPr>
        <w:pStyle w:val="ListParagraph"/>
        <w:numPr>
          <w:ilvl w:val="0"/>
          <w:numId w:val="1"/>
        </w:numPr>
        <w:rPr>
          <w:sz w:val="22"/>
          <w:szCs w:val="22"/>
        </w:rPr>
      </w:pPr>
      <w:r w:rsidRPr="00A26B15">
        <w:rPr>
          <w:sz w:val="22"/>
          <w:szCs w:val="22"/>
        </w:rPr>
        <w:t>Contractor/Carrier and Locality (e.g. State, City, etc.)</w:t>
      </w:r>
    </w:p>
    <w:p w14:paraId="35541A0A" w14:textId="5712C794" w:rsidR="00A26B15" w:rsidRPr="00A26B15" w:rsidRDefault="00A26B15" w:rsidP="00A26B15">
      <w:pPr>
        <w:pStyle w:val="ListParagraph"/>
        <w:numPr>
          <w:ilvl w:val="0"/>
          <w:numId w:val="1"/>
        </w:numPr>
        <w:rPr>
          <w:sz w:val="22"/>
          <w:szCs w:val="22"/>
        </w:rPr>
      </w:pPr>
      <w:r w:rsidRPr="00A26B15">
        <w:rPr>
          <w:sz w:val="22"/>
          <w:szCs w:val="22"/>
        </w:rPr>
        <w:t xml:space="preserve">HCPCS Code </w:t>
      </w:r>
      <w:r w:rsidR="005B20F3">
        <w:rPr>
          <w:sz w:val="22"/>
          <w:szCs w:val="22"/>
        </w:rPr>
        <w:t xml:space="preserve">– Service provided </w:t>
      </w:r>
      <w:r w:rsidRPr="00A26B15">
        <w:rPr>
          <w:sz w:val="22"/>
          <w:szCs w:val="22"/>
        </w:rPr>
        <w:t>(e.g. Basic Life Support, Advanced Life Support, etc.)</w:t>
      </w:r>
    </w:p>
    <w:p w14:paraId="0108031C" w14:textId="42116997" w:rsidR="00A26B15" w:rsidRPr="00A26B15" w:rsidRDefault="00A26B15" w:rsidP="00A26B15">
      <w:pPr>
        <w:pStyle w:val="ListParagraph"/>
        <w:numPr>
          <w:ilvl w:val="0"/>
          <w:numId w:val="1"/>
        </w:numPr>
        <w:rPr>
          <w:sz w:val="22"/>
          <w:szCs w:val="22"/>
        </w:rPr>
      </w:pPr>
      <w:r w:rsidRPr="00A26B15">
        <w:rPr>
          <w:sz w:val="22"/>
          <w:szCs w:val="22"/>
        </w:rPr>
        <w:t xml:space="preserve">Base Rate – A national </w:t>
      </w:r>
      <w:r w:rsidR="005B20F3">
        <w:rPr>
          <w:sz w:val="22"/>
          <w:szCs w:val="22"/>
        </w:rPr>
        <w:t xml:space="preserve">cost </w:t>
      </w:r>
      <w:r w:rsidRPr="00A26B15">
        <w:rPr>
          <w:sz w:val="22"/>
          <w:szCs w:val="22"/>
        </w:rPr>
        <w:t>multiplier used by ‘The Centers for Medicare &amp; Medicaid Services’</w:t>
      </w:r>
    </w:p>
    <w:p w14:paraId="2AD8124F" w14:textId="3535A6A9" w:rsidR="00A26B15" w:rsidRPr="00A26B15" w:rsidRDefault="00A26B15" w:rsidP="00A26B15">
      <w:pPr>
        <w:pStyle w:val="ListParagraph"/>
        <w:numPr>
          <w:ilvl w:val="0"/>
          <w:numId w:val="1"/>
        </w:numPr>
        <w:rPr>
          <w:sz w:val="22"/>
          <w:szCs w:val="22"/>
        </w:rPr>
      </w:pPr>
      <w:r w:rsidRPr="00A26B15">
        <w:rPr>
          <w:sz w:val="22"/>
          <w:szCs w:val="22"/>
        </w:rPr>
        <w:t xml:space="preserve">RVU – Ratio </w:t>
      </w:r>
      <w:r w:rsidR="005B20F3">
        <w:rPr>
          <w:sz w:val="22"/>
          <w:szCs w:val="22"/>
        </w:rPr>
        <w:t>that represents</w:t>
      </w:r>
      <w:r w:rsidRPr="00A26B15">
        <w:rPr>
          <w:sz w:val="22"/>
          <w:szCs w:val="22"/>
        </w:rPr>
        <w:t xml:space="preserve"> service complexity (e.g. Basic Life Support = 1.0, Advanced Life Support = 1.9, etc.)</w:t>
      </w:r>
    </w:p>
    <w:p w14:paraId="5C129208" w14:textId="2DF41527" w:rsidR="00A26B15" w:rsidRPr="00A26B15" w:rsidRDefault="00A26B15" w:rsidP="00A26B15">
      <w:pPr>
        <w:pStyle w:val="ListParagraph"/>
        <w:numPr>
          <w:ilvl w:val="0"/>
          <w:numId w:val="1"/>
        </w:numPr>
        <w:rPr>
          <w:sz w:val="22"/>
          <w:szCs w:val="22"/>
        </w:rPr>
      </w:pPr>
      <w:r w:rsidRPr="00A26B15">
        <w:rPr>
          <w:sz w:val="22"/>
          <w:szCs w:val="22"/>
        </w:rPr>
        <w:t>GPCI - "Inflation factor" to adjust payment to account for regional differences</w:t>
      </w:r>
      <w:r w:rsidR="005B20F3">
        <w:rPr>
          <w:sz w:val="22"/>
          <w:szCs w:val="22"/>
        </w:rPr>
        <w:t xml:space="preserve"> (i.e. Manhattan should be more expensive than Fargo)</w:t>
      </w:r>
    </w:p>
    <w:p w14:paraId="0C73030B" w14:textId="28E61512" w:rsidR="00A26B15" w:rsidRDefault="00A26B15" w:rsidP="00A26B15">
      <w:pPr>
        <w:pStyle w:val="ListParagraph"/>
        <w:numPr>
          <w:ilvl w:val="0"/>
          <w:numId w:val="1"/>
        </w:numPr>
        <w:rPr>
          <w:szCs w:val="22"/>
        </w:rPr>
      </w:pPr>
      <w:r w:rsidRPr="00A26B15">
        <w:rPr>
          <w:sz w:val="22"/>
          <w:szCs w:val="22"/>
        </w:rPr>
        <w:t>Urban Base Rate – A proxy for how much the ambulance ride costs</w:t>
      </w:r>
    </w:p>
    <w:p w14:paraId="671A057F" w14:textId="77777777" w:rsidR="003E0125" w:rsidRDefault="003E0125" w:rsidP="00234D68"/>
    <w:p w14:paraId="7C160953" w14:textId="624867DC" w:rsidR="00A26B15" w:rsidRDefault="003E0125" w:rsidP="00234D68">
      <w:r w:rsidRPr="003E0125">
        <w:rPr>
          <w:noProof/>
        </w:rPr>
        <w:drawing>
          <wp:inline distT="0" distB="0" distL="0" distR="0" wp14:anchorId="0EC53F89" wp14:editId="41EC7F8D">
            <wp:extent cx="5943600" cy="21005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00580"/>
                    </a:xfrm>
                    <a:prstGeom prst="rect">
                      <a:avLst/>
                    </a:prstGeom>
                  </pic:spPr>
                </pic:pic>
              </a:graphicData>
            </a:graphic>
          </wp:inline>
        </w:drawing>
      </w:r>
    </w:p>
    <w:p w14:paraId="6EBB6214" w14:textId="6C8C3621" w:rsidR="00234D68" w:rsidRPr="00234D68" w:rsidRDefault="00234D68" w:rsidP="00234D68">
      <w:pPr>
        <w:jc w:val="center"/>
        <w:rPr>
          <w:i/>
          <w:iCs/>
        </w:rPr>
      </w:pPr>
      <w:r w:rsidRPr="00234D68">
        <w:rPr>
          <w:i/>
          <w:iCs/>
        </w:rPr>
        <w:t xml:space="preserve">Figure 1: Sample of </w:t>
      </w:r>
      <w:r w:rsidR="00713016">
        <w:rPr>
          <w:i/>
          <w:iCs/>
        </w:rPr>
        <w:t>d</w:t>
      </w:r>
      <w:r w:rsidRPr="00234D68">
        <w:rPr>
          <w:i/>
          <w:iCs/>
        </w:rPr>
        <w:t>ataset</w:t>
      </w:r>
    </w:p>
    <w:p w14:paraId="5869555E" w14:textId="5BFCE6F1" w:rsidR="00A26B15" w:rsidRDefault="00A26B15" w:rsidP="00234D68"/>
    <w:p w14:paraId="541622E1" w14:textId="77777777" w:rsidR="005B20F3" w:rsidRDefault="005B20F3" w:rsidP="00234D68">
      <w:pPr>
        <w:rPr>
          <w:rFonts w:asciiTheme="majorHAnsi" w:eastAsiaTheme="majorEastAsia" w:hAnsiTheme="majorHAnsi" w:cstheme="majorBidi"/>
          <w:color w:val="2F5496" w:themeColor="accent1" w:themeShade="BF"/>
          <w:sz w:val="32"/>
          <w:szCs w:val="32"/>
        </w:rPr>
      </w:pPr>
      <w:r>
        <w:br w:type="page"/>
      </w:r>
    </w:p>
    <w:p w14:paraId="70B7081F" w14:textId="7E3F0E57" w:rsidR="00A26B15" w:rsidRDefault="00A26B15" w:rsidP="00A26B15">
      <w:pPr>
        <w:pStyle w:val="Heading1"/>
      </w:pPr>
      <w:bookmarkStart w:id="2" w:name="_Toc49416136"/>
      <w:r>
        <w:lastRenderedPageBreak/>
        <w:t>Nationwide</w:t>
      </w:r>
      <w:bookmarkEnd w:id="2"/>
    </w:p>
    <w:p w14:paraId="5175D02F" w14:textId="1CB3C5B0" w:rsidR="0023477F" w:rsidRDefault="003E0125" w:rsidP="00234D68">
      <w:r>
        <w:t xml:space="preserve">For the </w:t>
      </w:r>
      <w:r w:rsidRPr="003E0125">
        <w:t xml:space="preserve">nationwide analysis we will be looking at the “Basic Life Support, Non-emergency Transport” </w:t>
      </w:r>
      <w:r w:rsidR="001F5149">
        <w:t xml:space="preserve">ambulance </w:t>
      </w:r>
      <w:r w:rsidRPr="003E0125">
        <w:t xml:space="preserve">service over time. </w:t>
      </w:r>
    </w:p>
    <w:p w14:paraId="058E63F8" w14:textId="77777777" w:rsidR="0023477F" w:rsidRDefault="0023477F" w:rsidP="00234D68"/>
    <w:p w14:paraId="76C98C4A" w14:textId="639F08A4" w:rsidR="00234D68" w:rsidRDefault="003E0125" w:rsidP="00234D68">
      <w:r>
        <w:t xml:space="preserve">Figure 2 details the published ambulance fees for all </w:t>
      </w:r>
      <w:r w:rsidR="00CE2DB2">
        <w:t xml:space="preserve">U.S. </w:t>
      </w:r>
      <w:r>
        <w:t xml:space="preserve">locations over time. On any given year, basic life support services cost anywhere from </w:t>
      </w:r>
      <w:r w:rsidR="003658B3">
        <w:t>180</w:t>
      </w:r>
      <w:r>
        <w:t xml:space="preserve"> to </w:t>
      </w:r>
      <w:r w:rsidR="003658B3">
        <w:t>280</w:t>
      </w:r>
      <w:r>
        <w:t xml:space="preserve"> dollars depending on whether you live in </w:t>
      </w:r>
      <w:r w:rsidR="005F14E6">
        <w:t xml:space="preserve">an affluent area or a rural area (GPCI variable captures this). </w:t>
      </w:r>
    </w:p>
    <w:p w14:paraId="06ADD498" w14:textId="77777777" w:rsidR="00234D68" w:rsidRDefault="00234D68" w:rsidP="00234D68"/>
    <w:p w14:paraId="4FD60785" w14:textId="2D18975D" w:rsidR="00A26B15" w:rsidRDefault="005F14E6" w:rsidP="00234D68">
      <w:r>
        <w:t xml:space="preserve">As we see, the cost of basic life support steadily increases over the years. The second y-axis plots the base rate multiplier. Essentially, this multiplier is used by the </w:t>
      </w:r>
      <w:r w:rsidRPr="005F14E6">
        <w:t>Centers for Medicare &amp; Medicaid Services</w:t>
      </w:r>
      <w:r>
        <w:t xml:space="preserve"> to increase cost consistently across the nation.</w:t>
      </w:r>
      <w:r w:rsidR="001F5149">
        <w:t xml:space="preserve"> The key takeaways are that the spread of data within a year is dependent on the geographical location</w:t>
      </w:r>
      <w:r w:rsidR="003658B3">
        <w:t xml:space="preserve"> (GPCI)</w:t>
      </w:r>
      <w:r w:rsidR="001F5149">
        <w:t xml:space="preserve"> and th</w:t>
      </w:r>
      <w:r w:rsidR="001931FD">
        <w:t>at the</w:t>
      </w:r>
      <w:r w:rsidR="001F5149">
        <w:t xml:space="preserve"> growth in ambulance fees is due to the national base rate multiplier. </w:t>
      </w:r>
    </w:p>
    <w:p w14:paraId="7AAAA9E5" w14:textId="77777777" w:rsidR="00234D68" w:rsidRDefault="00234D68" w:rsidP="00234D68"/>
    <w:p w14:paraId="527943F3" w14:textId="77777777" w:rsidR="001931FD" w:rsidRDefault="001931FD" w:rsidP="00234D68">
      <w:r>
        <w:rPr>
          <w:noProof/>
        </w:rPr>
        <w:drawing>
          <wp:inline distT="0" distB="0" distL="0" distR="0" wp14:anchorId="11309892" wp14:editId="1059E3F8">
            <wp:extent cx="5943600" cy="30429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42920"/>
                    </a:xfrm>
                    <a:prstGeom prst="rect">
                      <a:avLst/>
                    </a:prstGeom>
                    <a:noFill/>
                    <a:ln>
                      <a:noFill/>
                    </a:ln>
                  </pic:spPr>
                </pic:pic>
              </a:graphicData>
            </a:graphic>
          </wp:inline>
        </w:drawing>
      </w:r>
    </w:p>
    <w:p w14:paraId="269BE8DE" w14:textId="3F87EEE5" w:rsidR="001931FD" w:rsidRPr="00234D68" w:rsidRDefault="00234D68" w:rsidP="00234D68">
      <w:pPr>
        <w:jc w:val="center"/>
        <w:rPr>
          <w:i/>
          <w:iCs/>
        </w:rPr>
      </w:pPr>
      <w:r w:rsidRPr="00234D68">
        <w:rPr>
          <w:i/>
          <w:iCs/>
        </w:rPr>
        <w:t>Figure 2: Basic life support fees across the nation over time</w:t>
      </w:r>
    </w:p>
    <w:p w14:paraId="3A66E86E" w14:textId="18EF927D" w:rsidR="0023477F" w:rsidRDefault="0023477F" w:rsidP="00234D68"/>
    <w:p w14:paraId="464E57B6" w14:textId="28700A78" w:rsidR="001F5149" w:rsidRPr="001F5149" w:rsidRDefault="0023477F" w:rsidP="00234D68">
      <w:r>
        <w:t>Figures 3 and 4 show the distribution of fees from 2010 to 2020</w:t>
      </w:r>
      <w:r w:rsidR="001931FD">
        <w:t xml:space="preserve"> for all locations across the U.S</w:t>
      </w:r>
      <w:r>
        <w:t xml:space="preserve">. From 2010 to 2011, </w:t>
      </w:r>
      <w:r w:rsidR="001F5149">
        <w:t>there</w:t>
      </w:r>
      <w:r>
        <w:t xml:space="preserve"> was less variability in the price of basic life support across the nation</w:t>
      </w:r>
      <w:r w:rsidR="001931FD">
        <w:t xml:space="preserve"> (small standard deviation)</w:t>
      </w:r>
      <w:r>
        <w:t>. From 201</w:t>
      </w:r>
      <w:r w:rsidR="001F5149">
        <w:t>2</w:t>
      </w:r>
      <w:r>
        <w:t xml:space="preserve"> to 2016 the fee structure was consistent from year to year. From 2017-2020 the fee structure starts to moves towards a left skew.</w:t>
      </w:r>
      <w:r w:rsidR="001F5149">
        <w:t xml:space="preserve"> The key takeaway from these graphs </w:t>
      </w:r>
      <w:r w:rsidR="00AE52F2">
        <w:t>is</w:t>
      </w:r>
      <w:r w:rsidR="001F5149">
        <w:t xml:space="preserve"> that the fee structure</w:t>
      </w:r>
      <w:r w:rsidR="001931FD">
        <w:t>s</w:t>
      </w:r>
      <w:r w:rsidR="001F5149">
        <w:t xml:space="preserve"> from year to year ha</w:t>
      </w:r>
      <w:r w:rsidR="001931FD">
        <w:t>ve</w:t>
      </w:r>
      <w:r w:rsidR="001F5149">
        <w:t xml:space="preserve"> remained quite consistent since 2012.</w:t>
      </w:r>
      <w:r w:rsidR="001931FD">
        <w:t xml:space="preserve"> </w:t>
      </w:r>
      <w:r w:rsidR="00CE2DB2">
        <w:t xml:space="preserve"> Potential causes of fee structure change could be the addition of more rural</w:t>
      </w:r>
      <w:r w:rsidR="00AE52F2">
        <w:t xml:space="preserve"> and </w:t>
      </w:r>
      <w:r w:rsidR="00CE2DB2">
        <w:t xml:space="preserve">highly dense areas to the fee schedule in later years. </w:t>
      </w:r>
    </w:p>
    <w:p w14:paraId="36F3151E" w14:textId="77777777" w:rsidR="003E0125" w:rsidRPr="003E0125" w:rsidRDefault="003E0125" w:rsidP="00234D68"/>
    <w:p w14:paraId="50444EF6" w14:textId="37B3B3C6" w:rsidR="003E0125" w:rsidRPr="003E0125" w:rsidRDefault="003E0125" w:rsidP="00234D68"/>
    <w:p w14:paraId="46A1E1A1" w14:textId="49674890" w:rsidR="005F14E6" w:rsidRDefault="005F14E6" w:rsidP="00234D68">
      <w:r>
        <w:rPr>
          <w:noProof/>
        </w:rPr>
        <w:lastRenderedPageBreak/>
        <w:drawing>
          <wp:inline distT="0" distB="0" distL="0" distR="0" wp14:anchorId="0B07D5CD" wp14:editId="692A97ED">
            <wp:extent cx="5943600" cy="33134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13430"/>
                    </a:xfrm>
                    <a:prstGeom prst="rect">
                      <a:avLst/>
                    </a:prstGeom>
                    <a:noFill/>
                    <a:ln>
                      <a:noFill/>
                    </a:ln>
                  </pic:spPr>
                </pic:pic>
              </a:graphicData>
            </a:graphic>
          </wp:inline>
        </w:drawing>
      </w:r>
    </w:p>
    <w:p w14:paraId="2BF1B5CF" w14:textId="77777777" w:rsidR="00234D68" w:rsidRPr="00234D68" w:rsidRDefault="00234D68" w:rsidP="00234D68">
      <w:pPr>
        <w:jc w:val="center"/>
        <w:rPr>
          <w:i/>
          <w:iCs/>
        </w:rPr>
      </w:pPr>
      <w:r w:rsidRPr="00234D68">
        <w:rPr>
          <w:i/>
          <w:iCs/>
        </w:rPr>
        <w:t>Figure 3: Basic life support fee distribution over time</w:t>
      </w:r>
    </w:p>
    <w:p w14:paraId="3B986B28" w14:textId="13C4B9B0" w:rsidR="001F5149" w:rsidRDefault="001F5149" w:rsidP="00234D68"/>
    <w:p w14:paraId="7D146149" w14:textId="77777777" w:rsidR="00234D68" w:rsidRPr="001F5149" w:rsidRDefault="00234D68" w:rsidP="00234D68"/>
    <w:p w14:paraId="310502E8" w14:textId="11E5313F" w:rsidR="0023477F" w:rsidRDefault="0023477F" w:rsidP="00234D68">
      <w:r>
        <w:rPr>
          <w:noProof/>
        </w:rPr>
        <w:drawing>
          <wp:inline distT="0" distB="0" distL="0" distR="0" wp14:anchorId="1678BD5B" wp14:editId="601EE826">
            <wp:extent cx="5943600" cy="31959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95955"/>
                    </a:xfrm>
                    <a:prstGeom prst="rect">
                      <a:avLst/>
                    </a:prstGeom>
                    <a:noFill/>
                    <a:ln>
                      <a:noFill/>
                    </a:ln>
                  </pic:spPr>
                </pic:pic>
              </a:graphicData>
            </a:graphic>
          </wp:inline>
        </w:drawing>
      </w:r>
    </w:p>
    <w:p w14:paraId="209EFDF4" w14:textId="3B5352ED" w:rsidR="00234D68" w:rsidRPr="00234D68" w:rsidRDefault="00234D68" w:rsidP="00234D68">
      <w:pPr>
        <w:jc w:val="center"/>
        <w:rPr>
          <w:i/>
          <w:iCs/>
        </w:rPr>
      </w:pPr>
      <w:r w:rsidRPr="00234D68">
        <w:rPr>
          <w:i/>
          <w:iCs/>
        </w:rPr>
        <w:t xml:space="preserve">Figure 4: Standardized </w:t>
      </w:r>
      <w:r w:rsidR="00713016">
        <w:rPr>
          <w:i/>
          <w:iCs/>
        </w:rPr>
        <w:t>b</w:t>
      </w:r>
      <w:r w:rsidRPr="00234D68">
        <w:rPr>
          <w:i/>
          <w:iCs/>
        </w:rPr>
        <w:t>asic life support fee distribution over time</w:t>
      </w:r>
    </w:p>
    <w:p w14:paraId="59A3321E" w14:textId="1732FAE2" w:rsidR="005F14E6" w:rsidRDefault="005F14E6" w:rsidP="00234D68"/>
    <w:p w14:paraId="239218FA" w14:textId="187DFADD" w:rsidR="003E0125" w:rsidRPr="003E0125" w:rsidRDefault="003E0125" w:rsidP="00234D68"/>
    <w:p w14:paraId="20674EEC" w14:textId="77777777" w:rsidR="005B20F3" w:rsidRDefault="005B20F3" w:rsidP="00234D68">
      <w:pPr>
        <w:rPr>
          <w:rFonts w:asciiTheme="majorHAnsi" w:eastAsiaTheme="majorEastAsia" w:hAnsiTheme="majorHAnsi" w:cstheme="majorBidi"/>
          <w:color w:val="2F5496" w:themeColor="accent1" w:themeShade="BF"/>
          <w:sz w:val="32"/>
          <w:szCs w:val="32"/>
        </w:rPr>
      </w:pPr>
      <w:r>
        <w:br w:type="page"/>
      </w:r>
    </w:p>
    <w:p w14:paraId="6E160498" w14:textId="7044F491" w:rsidR="003E0125" w:rsidRDefault="001931FD" w:rsidP="001931FD">
      <w:pPr>
        <w:pStyle w:val="Heading1"/>
      </w:pPr>
      <w:bookmarkStart w:id="3" w:name="_Toc49416137"/>
      <w:r>
        <w:lastRenderedPageBreak/>
        <w:t>Statewide</w:t>
      </w:r>
      <w:bookmarkEnd w:id="3"/>
    </w:p>
    <w:p w14:paraId="5A873792" w14:textId="7720C3DC" w:rsidR="003658B3" w:rsidRDefault="000325F8" w:rsidP="00234D68">
      <w:pPr>
        <w:rPr>
          <w:rFonts w:cstheme="minorHAnsi"/>
          <w:szCs w:val="22"/>
        </w:rPr>
      </w:pPr>
      <w:r>
        <w:t xml:space="preserve">It can be helpful for state officials to visualize how ambulance fees have changed over time. To accomplish </w:t>
      </w:r>
      <w:r w:rsidR="00AE52F2">
        <w:t>this,</w:t>
      </w:r>
      <w:r>
        <w:t xml:space="preserve"> I created a plotting function that takes in an HCPCS code and the state of interest and outputs plots as shown in Figure </w:t>
      </w:r>
      <w:r w:rsidR="003658B3">
        <w:t>5</w:t>
      </w:r>
      <w:r>
        <w:t xml:space="preserve">. </w:t>
      </w:r>
      <w:r w:rsidR="00380D0D">
        <w:t>Again, t</w:t>
      </w:r>
      <w:r w:rsidR="00380D0D">
        <w:rPr>
          <w:rFonts w:cstheme="minorHAnsi"/>
          <w:szCs w:val="22"/>
        </w:rPr>
        <w:t xml:space="preserve">he key takeaway is that the growth in ambulance fees is primarily due to the national base rate multiplier. </w:t>
      </w:r>
    </w:p>
    <w:p w14:paraId="13187D47" w14:textId="77777777" w:rsidR="003658B3" w:rsidRDefault="003658B3" w:rsidP="00234D68">
      <w:pPr>
        <w:rPr>
          <w:rFonts w:cstheme="minorHAnsi"/>
          <w:szCs w:val="22"/>
        </w:rPr>
      </w:pPr>
    </w:p>
    <w:p w14:paraId="033B7CA4" w14:textId="3F06BE0A" w:rsidR="000325F8" w:rsidRDefault="000325F8" w:rsidP="00234D68">
      <w:r>
        <w:t xml:space="preserve">Additionally, I created a plotting function that takes in the state and year of interest and outputs a plot of median ambulance fees as shown in Figure </w:t>
      </w:r>
      <w:r w:rsidR="003658B3">
        <w:t>6</w:t>
      </w:r>
      <w:r>
        <w:t>.</w:t>
      </w:r>
      <w:r w:rsidR="00380D0D">
        <w:t xml:space="preserve"> As we might expect, rotary wing transport, fixed wing transport, and specialty care transport are far more expensive than ground advanced/basic life support services.</w:t>
      </w:r>
    </w:p>
    <w:p w14:paraId="3758133E" w14:textId="48E70106" w:rsidR="000325F8" w:rsidRDefault="000325F8" w:rsidP="00234D68"/>
    <w:p w14:paraId="611F124D" w14:textId="5D2F1E31" w:rsidR="000325F8" w:rsidRDefault="000325F8" w:rsidP="00234D68">
      <w:r>
        <w:t>Time Series Plotting Function:</w:t>
      </w:r>
    </w:p>
    <w:p w14:paraId="2093444E" w14:textId="20E11C9E" w:rsidR="000325F8" w:rsidRDefault="000325F8" w:rsidP="00234D68">
      <w:r w:rsidRPr="000325F8">
        <w:rPr>
          <w:noProof/>
        </w:rPr>
        <w:drawing>
          <wp:inline distT="0" distB="0" distL="0" distR="0" wp14:anchorId="7959991B" wp14:editId="7EDECEA2">
            <wp:extent cx="4300396" cy="34320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20675" cy="368765"/>
                    </a:xfrm>
                    <a:prstGeom prst="rect">
                      <a:avLst/>
                    </a:prstGeom>
                  </pic:spPr>
                </pic:pic>
              </a:graphicData>
            </a:graphic>
          </wp:inline>
        </w:drawing>
      </w:r>
    </w:p>
    <w:p w14:paraId="77139C62" w14:textId="77777777" w:rsidR="00234D68" w:rsidRDefault="00234D68" w:rsidP="00234D68"/>
    <w:p w14:paraId="70CD597D" w14:textId="46634447" w:rsidR="000325F8" w:rsidRDefault="000325F8" w:rsidP="00234D68">
      <w:r>
        <w:rPr>
          <w:noProof/>
        </w:rPr>
        <w:drawing>
          <wp:inline distT="0" distB="0" distL="0" distR="0" wp14:anchorId="313C491B" wp14:editId="1616EC9D">
            <wp:extent cx="5943600" cy="30429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042920"/>
                    </a:xfrm>
                    <a:prstGeom prst="rect">
                      <a:avLst/>
                    </a:prstGeom>
                    <a:noFill/>
                    <a:ln>
                      <a:noFill/>
                    </a:ln>
                  </pic:spPr>
                </pic:pic>
              </a:graphicData>
            </a:graphic>
          </wp:inline>
        </w:drawing>
      </w:r>
    </w:p>
    <w:p w14:paraId="36F5B5D2" w14:textId="6059C027" w:rsidR="00234D68" w:rsidRPr="00234D68" w:rsidRDefault="00234D68" w:rsidP="00234D68">
      <w:pPr>
        <w:jc w:val="center"/>
        <w:rPr>
          <w:i/>
          <w:iCs/>
        </w:rPr>
      </w:pPr>
      <w:r w:rsidRPr="00234D68">
        <w:rPr>
          <w:i/>
          <w:iCs/>
        </w:rPr>
        <w:t>Figure 5:</w:t>
      </w:r>
      <w:r>
        <w:rPr>
          <w:i/>
          <w:iCs/>
        </w:rPr>
        <w:t xml:space="preserve"> Basic </w:t>
      </w:r>
      <w:r w:rsidR="00713016">
        <w:rPr>
          <w:i/>
          <w:iCs/>
        </w:rPr>
        <w:t>life support fees for Minnesota</w:t>
      </w:r>
    </w:p>
    <w:p w14:paraId="44C76CB4" w14:textId="31A1FCE0" w:rsidR="000325F8" w:rsidRDefault="000325F8" w:rsidP="00234D68"/>
    <w:p w14:paraId="2E6EDBCB" w14:textId="77777777" w:rsidR="000325F8" w:rsidRDefault="000325F8" w:rsidP="00234D68"/>
    <w:p w14:paraId="6AE3555C" w14:textId="1756E81A" w:rsidR="000325F8" w:rsidRDefault="000325F8" w:rsidP="00234D68">
      <w:pPr>
        <w:keepNext/>
      </w:pPr>
      <w:r>
        <w:lastRenderedPageBreak/>
        <w:t>Bar Plot Plotting Function:</w:t>
      </w:r>
    </w:p>
    <w:p w14:paraId="7C12E484" w14:textId="0F9B85F7" w:rsidR="000325F8" w:rsidRDefault="000325F8" w:rsidP="00234D68">
      <w:pPr>
        <w:keepNext/>
      </w:pPr>
      <w:r w:rsidRPr="000325F8">
        <w:rPr>
          <w:noProof/>
        </w:rPr>
        <w:drawing>
          <wp:inline distT="0" distB="0" distL="0" distR="0" wp14:anchorId="24B73178" wp14:editId="6AF25AE1">
            <wp:extent cx="3811509" cy="29385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12966" cy="317100"/>
                    </a:xfrm>
                    <a:prstGeom prst="rect">
                      <a:avLst/>
                    </a:prstGeom>
                  </pic:spPr>
                </pic:pic>
              </a:graphicData>
            </a:graphic>
          </wp:inline>
        </w:drawing>
      </w:r>
    </w:p>
    <w:p w14:paraId="5C6EFBFE" w14:textId="0AA88C40" w:rsidR="000325F8" w:rsidRDefault="000325F8" w:rsidP="00234D68">
      <w:pPr>
        <w:keepNext/>
      </w:pPr>
    </w:p>
    <w:p w14:paraId="7F9FC025" w14:textId="380FEBC0" w:rsidR="000325F8" w:rsidRDefault="000325F8" w:rsidP="00234D68">
      <w:r>
        <w:rPr>
          <w:noProof/>
        </w:rPr>
        <w:drawing>
          <wp:inline distT="0" distB="0" distL="0" distR="0" wp14:anchorId="0481B8EB" wp14:editId="26B63B5B">
            <wp:extent cx="5943600" cy="34645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464560"/>
                    </a:xfrm>
                    <a:prstGeom prst="rect">
                      <a:avLst/>
                    </a:prstGeom>
                    <a:noFill/>
                    <a:ln>
                      <a:noFill/>
                    </a:ln>
                  </pic:spPr>
                </pic:pic>
              </a:graphicData>
            </a:graphic>
          </wp:inline>
        </w:drawing>
      </w:r>
    </w:p>
    <w:p w14:paraId="524570A7" w14:textId="03EAF7C3" w:rsidR="00234D68" w:rsidRPr="00234D68" w:rsidRDefault="00234D68" w:rsidP="00234D68">
      <w:pPr>
        <w:keepNext/>
        <w:jc w:val="center"/>
        <w:rPr>
          <w:i/>
          <w:iCs/>
        </w:rPr>
      </w:pPr>
      <w:r w:rsidRPr="00234D68">
        <w:rPr>
          <w:i/>
          <w:iCs/>
        </w:rPr>
        <w:t>Figure 6:</w:t>
      </w:r>
      <w:r w:rsidR="00713016">
        <w:rPr>
          <w:i/>
          <w:iCs/>
        </w:rPr>
        <w:t xml:space="preserve"> Ranking of ambulance fees for various services in Texas</w:t>
      </w:r>
    </w:p>
    <w:p w14:paraId="3D8ABEAE" w14:textId="77777777" w:rsidR="000325F8" w:rsidRDefault="000325F8" w:rsidP="00234D68"/>
    <w:p w14:paraId="68CA6430" w14:textId="21D6D05A" w:rsidR="001931FD" w:rsidRDefault="001931FD" w:rsidP="00234D68">
      <w:r>
        <w:t>Highly populated large states like California and Texas often have multiple fee schedules to address the economic variability of the population. Other states like Minnesota only have one fee schedule</w:t>
      </w:r>
      <w:r w:rsidR="00AE52F2">
        <w:t xml:space="preserve"> for the whole state</w:t>
      </w:r>
      <w:r>
        <w:t xml:space="preserve">. </w:t>
      </w:r>
      <w:r w:rsidR="000325F8">
        <w:t xml:space="preserve">See comparison in Figure </w:t>
      </w:r>
      <w:r w:rsidR="003658B3">
        <w:t>7</w:t>
      </w:r>
      <w:r w:rsidR="000325F8">
        <w:t>.</w:t>
      </w:r>
    </w:p>
    <w:p w14:paraId="662A7984" w14:textId="53693728" w:rsidR="001931FD" w:rsidRPr="001931FD" w:rsidRDefault="001931FD" w:rsidP="00234D68"/>
    <w:tbl>
      <w:tblPr>
        <w:tblStyle w:val="TableGrid"/>
        <w:tblW w:w="0" w:type="auto"/>
        <w:tblLook w:val="04A0" w:firstRow="1" w:lastRow="0" w:firstColumn="1" w:lastColumn="0" w:noHBand="0" w:noVBand="1"/>
      </w:tblPr>
      <w:tblGrid>
        <w:gridCol w:w="4597"/>
        <w:gridCol w:w="4753"/>
      </w:tblGrid>
      <w:tr w:rsidR="000325F8" w14:paraId="3CF1C565" w14:textId="77777777" w:rsidTr="00234D68">
        <w:tc>
          <w:tcPr>
            <w:tcW w:w="4597" w:type="dxa"/>
            <w:vAlign w:val="center"/>
          </w:tcPr>
          <w:p w14:paraId="46B3AB60" w14:textId="4E2DF46E" w:rsidR="001931FD" w:rsidRDefault="000325F8" w:rsidP="00234D68">
            <w:pPr>
              <w:rPr>
                <w:noProof/>
              </w:rPr>
            </w:pPr>
            <w:r>
              <w:rPr>
                <w:noProof/>
              </w:rPr>
              <w:t>Texas</w:t>
            </w:r>
          </w:p>
        </w:tc>
        <w:tc>
          <w:tcPr>
            <w:tcW w:w="4753" w:type="dxa"/>
          </w:tcPr>
          <w:p w14:paraId="75C26035" w14:textId="68A465B9" w:rsidR="001931FD" w:rsidRDefault="001931FD" w:rsidP="00234D68">
            <w:pPr>
              <w:rPr>
                <w:noProof/>
              </w:rPr>
            </w:pPr>
            <w:r>
              <w:rPr>
                <w:noProof/>
              </w:rPr>
              <w:t>Minnesota</w:t>
            </w:r>
          </w:p>
        </w:tc>
      </w:tr>
      <w:tr w:rsidR="000325F8" w14:paraId="1D44EC08" w14:textId="77777777" w:rsidTr="00234D68">
        <w:tc>
          <w:tcPr>
            <w:tcW w:w="4597" w:type="dxa"/>
          </w:tcPr>
          <w:p w14:paraId="3436DFC2" w14:textId="36C2935C" w:rsidR="000325F8" w:rsidRDefault="000325F8" w:rsidP="00234D68">
            <w:r>
              <w:rPr>
                <w:noProof/>
              </w:rPr>
              <w:drawing>
                <wp:inline distT="0" distB="0" distL="0" distR="0" wp14:anchorId="76624D28" wp14:editId="0BD5CE3E">
                  <wp:extent cx="2851841" cy="1460045"/>
                  <wp:effectExtent l="0" t="0" r="571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02374" cy="1485916"/>
                          </a:xfrm>
                          <a:prstGeom prst="rect">
                            <a:avLst/>
                          </a:prstGeom>
                          <a:noFill/>
                          <a:ln>
                            <a:noFill/>
                          </a:ln>
                        </pic:spPr>
                      </pic:pic>
                    </a:graphicData>
                  </a:graphic>
                </wp:inline>
              </w:drawing>
            </w:r>
          </w:p>
          <w:p w14:paraId="64A9B5CC" w14:textId="42B09F80" w:rsidR="001931FD" w:rsidRDefault="001931FD" w:rsidP="00234D68"/>
          <w:p w14:paraId="2274A64E" w14:textId="77777777" w:rsidR="001931FD" w:rsidRDefault="001931FD" w:rsidP="001931FD"/>
        </w:tc>
        <w:tc>
          <w:tcPr>
            <w:tcW w:w="4753" w:type="dxa"/>
          </w:tcPr>
          <w:p w14:paraId="4411CBC7" w14:textId="138C63F3" w:rsidR="000325F8" w:rsidRDefault="000325F8" w:rsidP="00234D68">
            <w:r>
              <w:rPr>
                <w:noProof/>
              </w:rPr>
              <w:drawing>
                <wp:inline distT="0" distB="0" distL="0" distR="0" wp14:anchorId="2B85B8DD" wp14:editId="274A61BB">
                  <wp:extent cx="2955956" cy="1513348"/>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85019" cy="1528227"/>
                          </a:xfrm>
                          <a:prstGeom prst="rect">
                            <a:avLst/>
                          </a:prstGeom>
                          <a:noFill/>
                          <a:ln>
                            <a:noFill/>
                          </a:ln>
                        </pic:spPr>
                      </pic:pic>
                    </a:graphicData>
                  </a:graphic>
                </wp:inline>
              </w:drawing>
            </w:r>
          </w:p>
          <w:p w14:paraId="4EEEB2D8" w14:textId="2455CCCF" w:rsidR="001931FD" w:rsidRDefault="001931FD" w:rsidP="00234D68"/>
          <w:p w14:paraId="701CD5D9" w14:textId="77777777" w:rsidR="001931FD" w:rsidRDefault="001931FD" w:rsidP="001931FD"/>
        </w:tc>
      </w:tr>
    </w:tbl>
    <w:p w14:paraId="77785CF4" w14:textId="2A2C8659" w:rsidR="00234D68" w:rsidRPr="00234D68" w:rsidRDefault="00234D68" w:rsidP="00234D68">
      <w:pPr>
        <w:jc w:val="center"/>
        <w:rPr>
          <w:i/>
          <w:iCs/>
        </w:rPr>
      </w:pPr>
      <w:r w:rsidRPr="00234D68">
        <w:rPr>
          <w:i/>
          <w:iCs/>
        </w:rPr>
        <w:t>Figure 7: Ambulance</w:t>
      </w:r>
      <w:r w:rsidR="00713016">
        <w:rPr>
          <w:i/>
          <w:iCs/>
        </w:rPr>
        <w:t xml:space="preserve"> fees</w:t>
      </w:r>
      <w:r w:rsidRPr="00234D68">
        <w:rPr>
          <w:i/>
          <w:iCs/>
        </w:rPr>
        <w:t xml:space="preserve"> across Texas and Minnesota over time</w:t>
      </w:r>
    </w:p>
    <w:p w14:paraId="714BE561" w14:textId="77777777" w:rsidR="00234D68" w:rsidRDefault="00234D68">
      <w:pPr>
        <w:rPr>
          <w:rFonts w:asciiTheme="majorHAnsi" w:eastAsiaTheme="majorEastAsia" w:hAnsiTheme="majorHAnsi" w:cstheme="majorBidi"/>
          <w:color w:val="2F5496" w:themeColor="accent1" w:themeShade="BF"/>
          <w:sz w:val="32"/>
          <w:szCs w:val="32"/>
        </w:rPr>
      </w:pPr>
      <w:r>
        <w:br w:type="page"/>
      </w:r>
    </w:p>
    <w:p w14:paraId="1A0AF120" w14:textId="2AAAB0C3" w:rsidR="003E0125" w:rsidRDefault="00CE2DB2" w:rsidP="00CE2DB2">
      <w:pPr>
        <w:pStyle w:val="Heading1"/>
      </w:pPr>
      <w:bookmarkStart w:id="4" w:name="_Toc49416138"/>
      <w:r>
        <w:lastRenderedPageBreak/>
        <w:t>Citywide</w:t>
      </w:r>
      <w:bookmarkEnd w:id="4"/>
    </w:p>
    <w:p w14:paraId="35F9FFE9" w14:textId="2CC63DF4" w:rsidR="003658B3" w:rsidRDefault="00CE2DB2" w:rsidP="00234D68">
      <w:pPr>
        <w:rPr>
          <w:rFonts w:cstheme="minorHAnsi"/>
          <w:szCs w:val="22"/>
        </w:rPr>
      </w:pPr>
      <w:r>
        <w:t xml:space="preserve">It can be helpful for city officials to visualize how ambulance fees have changed over time. To accomplish </w:t>
      </w:r>
      <w:r w:rsidR="00AE52F2">
        <w:t>this,</w:t>
      </w:r>
      <w:r>
        <w:t xml:space="preserve"> I created a plotting function that takes in an HCPCS code and the city of interest and outputs plots as shown in Figure </w:t>
      </w:r>
      <w:r w:rsidR="003658B3">
        <w:t>8</w:t>
      </w:r>
      <w:r>
        <w:t xml:space="preserve">. </w:t>
      </w:r>
      <w:r w:rsidR="00380D0D">
        <w:t>Again, t</w:t>
      </w:r>
      <w:r w:rsidR="00380D0D">
        <w:rPr>
          <w:rFonts w:cstheme="minorHAnsi"/>
          <w:szCs w:val="22"/>
        </w:rPr>
        <w:t xml:space="preserve">he key takeaway is that the growth in ambulance fees is primarily due to the national base rate multiplier. </w:t>
      </w:r>
    </w:p>
    <w:p w14:paraId="41DC62BC" w14:textId="77777777" w:rsidR="003658B3" w:rsidRDefault="003658B3" w:rsidP="00234D68">
      <w:pPr>
        <w:rPr>
          <w:rFonts w:cstheme="minorHAnsi"/>
          <w:szCs w:val="22"/>
        </w:rPr>
      </w:pPr>
    </w:p>
    <w:p w14:paraId="6092CFAE" w14:textId="4C4375A8" w:rsidR="00CE2DB2" w:rsidRDefault="00CE2DB2" w:rsidP="00234D68">
      <w:r>
        <w:t xml:space="preserve">Additionally, I created a plotting function that takes in the city and year of interest and outputs a plot of median ambulance fees as shown in Figure </w:t>
      </w:r>
      <w:r w:rsidR="003658B3">
        <w:t>9</w:t>
      </w:r>
      <w:r>
        <w:t>.</w:t>
      </w:r>
      <w:r w:rsidR="00380D0D" w:rsidRPr="00380D0D">
        <w:t xml:space="preserve"> </w:t>
      </w:r>
      <w:r w:rsidR="00380D0D">
        <w:t>As we might expect, rotary wing transport, fixed wing transport, and specialty care transport are far more expensive than ground advanced/basic life support services.</w:t>
      </w:r>
    </w:p>
    <w:p w14:paraId="7B3628D0" w14:textId="77777777" w:rsidR="00CE2DB2" w:rsidRDefault="00CE2DB2" w:rsidP="00234D68"/>
    <w:p w14:paraId="67C8C0BA" w14:textId="77777777" w:rsidR="00CE2DB2" w:rsidRDefault="00CE2DB2" w:rsidP="00234D68">
      <w:r>
        <w:t>Time Series Plotting Function:</w:t>
      </w:r>
    </w:p>
    <w:p w14:paraId="1B968181" w14:textId="6322DE23" w:rsidR="00CE2DB2" w:rsidRDefault="00CE2DB2" w:rsidP="00234D68">
      <w:r w:rsidRPr="00CE2DB2">
        <w:rPr>
          <w:noProof/>
        </w:rPr>
        <w:drawing>
          <wp:inline distT="0" distB="0" distL="0" distR="0" wp14:anchorId="366BCB29" wp14:editId="7138269A">
            <wp:extent cx="4771176" cy="252832"/>
            <wp:effectExtent l="0" t="0" r="4445"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69118" cy="258022"/>
                    </a:xfrm>
                    <a:prstGeom prst="rect">
                      <a:avLst/>
                    </a:prstGeom>
                  </pic:spPr>
                </pic:pic>
              </a:graphicData>
            </a:graphic>
          </wp:inline>
        </w:drawing>
      </w:r>
    </w:p>
    <w:p w14:paraId="4BB0E0CC" w14:textId="77777777" w:rsidR="00234D68" w:rsidRDefault="00234D68" w:rsidP="00234D68"/>
    <w:p w14:paraId="047F0632" w14:textId="5BACC428" w:rsidR="00CE2DB2" w:rsidRDefault="00CE2DB2" w:rsidP="00234D68">
      <w:r>
        <w:rPr>
          <w:noProof/>
        </w:rPr>
        <w:drawing>
          <wp:inline distT="0" distB="0" distL="0" distR="0" wp14:anchorId="0207E8EA" wp14:editId="5B754414">
            <wp:extent cx="5943600" cy="30429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042920"/>
                    </a:xfrm>
                    <a:prstGeom prst="rect">
                      <a:avLst/>
                    </a:prstGeom>
                    <a:noFill/>
                    <a:ln>
                      <a:noFill/>
                    </a:ln>
                  </pic:spPr>
                </pic:pic>
              </a:graphicData>
            </a:graphic>
          </wp:inline>
        </w:drawing>
      </w:r>
    </w:p>
    <w:p w14:paraId="7FC51109" w14:textId="609EA35A" w:rsidR="00234D68" w:rsidRPr="00234D68" w:rsidRDefault="00234D68" w:rsidP="00234D68">
      <w:pPr>
        <w:jc w:val="center"/>
        <w:rPr>
          <w:i/>
          <w:iCs/>
        </w:rPr>
      </w:pPr>
      <w:r w:rsidRPr="00234D68">
        <w:rPr>
          <w:i/>
          <w:iCs/>
        </w:rPr>
        <w:t>Figure 8:</w:t>
      </w:r>
      <w:r w:rsidR="00713016" w:rsidRPr="00713016">
        <w:rPr>
          <w:i/>
          <w:iCs/>
        </w:rPr>
        <w:t xml:space="preserve"> </w:t>
      </w:r>
      <w:r w:rsidR="00713016">
        <w:rPr>
          <w:i/>
          <w:iCs/>
        </w:rPr>
        <w:t>Basic life support fees for Austin, Texas</w:t>
      </w:r>
    </w:p>
    <w:p w14:paraId="36846825" w14:textId="77777777" w:rsidR="00CE2DB2" w:rsidRDefault="00CE2DB2" w:rsidP="00234D68"/>
    <w:p w14:paraId="109C1B00" w14:textId="77777777" w:rsidR="00CE2DB2" w:rsidRDefault="00CE2DB2" w:rsidP="00234D68">
      <w:pPr>
        <w:keepNext/>
      </w:pPr>
      <w:r>
        <w:lastRenderedPageBreak/>
        <w:t>Bar Plot Plotting Function:</w:t>
      </w:r>
    </w:p>
    <w:p w14:paraId="4FC49462" w14:textId="7C913F41" w:rsidR="00CE2DB2" w:rsidRDefault="00380D0D" w:rsidP="00234D68">
      <w:pPr>
        <w:keepNext/>
      </w:pPr>
      <w:r w:rsidRPr="00380D0D">
        <w:rPr>
          <w:noProof/>
        </w:rPr>
        <w:drawing>
          <wp:inline distT="0" distB="0" distL="0" distR="0" wp14:anchorId="6B3488B0" wp14:editId="3896515B">
            <wp:extent cx="4961299" cy="31962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32347" cy="324199"/>
                    </a:xfrm>
                    <a:prstGeom prst="rect">
                      <a:avLst/>
                    </a:prstGeom>
                  </pic:spPr>
                </pic:pic>
              </a:graphicData>
            </a:graphic>
          </wp:inline>
        </w:drawing>
      </w:r>
    </w:p>
    <w:p w14:paraId="437D5515" w14:textId="77777777" w:rsidR="00CE2DB2" w:rsidRDefault="00CE2DB2" w:rsidP="00234D68">
      <w:pPr>
        <w:keepNext/>
      </w:pPr>
    </w:p>
    <w:p w14:paraId="5E5BBFE6" w14:textId="0CBA496B" w:rsidR="00910046" w:rsidRDefault="00910046" w:rsidP="00910046">
      <w:r>
        <w:rPr>
          <w:noProof/>
        </w:rPr>
        <w:drawing>
          <wp:inline distT="0" distB="0" distL="0" distR="0" wp14:anchorId="76D82DA3" wp14:editId="604D336A">
            <wp:extent cx="5943600" cy="346456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464560"/>
                    </a:xfrm>
                    <a:prstGeom prst="rect">
                      <a:avLst/>
                    </a:prstGeom>
                    <a:noFill/>
                    <a:ln>
                      <a:noFill/>
                    </a:ln>
                  </pic:spPr>
                </pic:pic>
              </a:graphicData>
            </a:graphic>
          </wp:inline>
        </w:drawing>
      </w:r>
    </w:p>
    <w:p w14:paraId="5DD8BB1B" w14:textId="5E45B4C6" w:rsidR="00380D0D" w:rsidRDefault="00380D0D" w:rsidP="00234D68"/>
    <w:p w14:paraId="4DFC20E3" w14:textId="420BBB76" w:rsidR="00234D68" w:rsidRPr="00234D68" w:rsidRDefault="00234D68" w:rsidP="00234D68">
      <w:pPr>
        <w:keepNext/>
        <w:jc w:val="center"/>
        <w:rPr>
          <w:i/>
          <w:iCs/>
        </w:rPr>
      </w:pPr>
      <w:r w:rsidRPr="00234D68">
        <w:rPr>
          <w:i/>
          <w:iCs/>
        </w:rPr>
        <w:t>Figure 9:</w:t>
      </w:r>
      <w:r w:rsidR="00713016">
        <w:rPr>
          <w:i/>
          <w:iCs/>
        </w:rPr>
        <w:t xml:space="preserve"> Ranking of ambulance fees for various services in Austin</w:t>
      </w:r>
    </w:p>
    <w:p w14:paraId="0732A6BD" w14:textId="77777777" w:rsidR="00713016" w:rsidRDefault="00713016">
      <w:pPr>
        <w:rPr>
          <w:rFonts w:asciiTheme="majorHAnsi" w:eastAsiaTheme="majorEastAsia" w:hAnsiTheme="majorHAnsi" w:cstheme="majorBidi"/>
          <w:color w:val="2F5496" w:themeColor="accent1" w:themeShade="BF"/>
          <w:sz w:val="32"/>
          <w:szCs w:val="32"/>
        </w:rPr>
      </w:pPr>
      <w:r>
        <w:br w:type="page"/>
      </w:r>
    </w:p>
    <w:p w14:paraId="5DE41D76" w14:textId="57237B01" w:rsidR="003E0125" w:rsidRDefault="00234D68" w:rsidP="00234D68">
      <w:pPr>
        <w:pStyle w:val="Heading1"/>
      </w:pPr>
      <w:bookmarkStart w:id="5" w:name="_Toc49416139"/>
      <w:r>
        <w:lastRenderedPageBreak/>
        <w:t>Business Application</w:t>
      </w:r>
      <w:bookmarkEnd w:id="5"/>
    </w:p>
    <w:p w14:paraId="382D5FA7" w14:textId="77777777" w:rsidR="00234D68" w:rsidRPr="00234D68" w:rsidRDefault="00234D68" w:rsidP="00234D68">
      <w:r w:rsidRPr="00234D68">
        <w:t>Let us assume the following scenario:</w:t>
      </w:r>
    </w:p>
    <w:p w14:paraId="3FBB5280" w14:textId="77777777" w:rsidR="00234D68" w:rsidRPr="00234D68" w:rsidRDefault="00234D68" w:rsidP="00234D68">
      <w:pPr>
        <w:numPr>
          <w:ilvl w:val="0"/>
          <w:numId w:val="6"/>
        </w:numPr>
      </w:pPr>
      <w:r w:rsidRPr="00234D68">
        <w:t>A hospital operates an ambulance service</w:t>
      </w:r>
    </w:p>
    <w:p w14:paraId="1058C142" w14:textId="0C6950D2" w:rsidR="00234D68" w:rsidRPr="00234D68" w:rsidRDefault="00234D68" w:rsidP="00234D68">
      <w:pPr>
        <w:numPr>
          <w:ilvl w:val="0"/>
          <w:numId w:val="6"/>
        </w:numPr>
      </w:pPr>
      <w:r w:rsidRPr="00234D68">
        <w:t xml:space="preserve">They have data on how many monthly ambulance </w:t>
      </w:r>
      <w:r w:rsidR="004D008F">
        <w:t>rides</w:t>
      </w:r>
      <w:r w:rsidRPr="00234D68">
        <w:t xml:space="preserve"> have occurred over the past 10 years</w:t>
      </w:r>
    </w:p>
    <w:p w14:paraId="37FAC2C4" w14:textId="77777777" w:rsidR="00234D68" w:rsidRPr="00234D68" w:rsidRDefault="00234D68" w:rsidP="00234D68">
      <w:pPr>
        <w:numPr>
          <w:ilvl w:val="0"/>
          <w:numId w:val="6"/>
        </w:numPr>
      </w:pPr>
      <w:r w:rsidRPr="00234D68">
        <w:t>They want to project their revenue for the next few years before the ambulance fee schedule comes out</w:t>
      </w:r>
    </w:p>
    <w:p w14:paraId="2A0E9F1D" w14:textId="77777777" w:rsidR="00234D68" w:rsidRPr="00234D68" w:rsidRDefault="00234D68" w:rsidP="00234D68">
      <w:r w:rsidRPr="00234D68">
        <w:t>To accomplish this goal let us:</w:t>
      </w:r>
    </w:p>
    <w:p w14:paraId="0DFAE112" w14:textId="3DE83C8B" w:rsidR="00234D68" w:rsidRDefault="00234D68" w:rsidP="004D008F">
      <w:pPr>
        <w:numPr>
          <w:ilvl w:val="0"/>
          <w:numId w:val="7"/>
        </w:numPr>
      </w:pPr>
      <w:r w:rsidRPr="00234D68">
        <w:t xml:space="preserve">Perform simple linear regression on the ambulance fee schedule </w:t>
      </w:r>
      <w:r w:rsidR="003658B3">
        <w:t>to:</w:t>
      </w:r>
    </w:p>
    <w:p w14:paraId="1A746145" w14:textId="37F0FFEF" w:rsidR="003658B3" w:rsidRPr="00234D68" w:rsidRDefault="003658B3" w:rsidP="004D008F">
      <w:pPr>
        <w:numPr>
          <w:ilvl w:val="1"/>
          <w:numId w:val="7"/>
        </w:numPr>
      </w:pPr>
      <w:r>
        <w:t>Predict future fees</w:t>
      </w:r>
    </w:p>
    <w:p w14:paraId="6C993897" w14:textId="548D2517" w:rsidR="00234D68" w:rsidRDefault="00234D68" w:rsidP="004D008F">
      <w:pPr>
        <w:numPr>
          <w:ilvl w:val="0"/>
          <w:numId w:val="7"/>
        </w:numPr>
      </w:pPr>
      <w:r w:rsidRPr="00234D68">
        <w:t xml:space="preserve">Perform ARIMA time series forecasting on their historical monthly </w:t>
      </w:r>
      <w:r w:rsidR="00AE52F2">
        <w:t>ambulance ride</w:t>
      </w:r>
      <w:r w:rsidRPr="00234D68">
        <w:t xml:space="preserve"> data</w:t>
      </w:r>
      <w:r w:rsidR="003658B3">
        <w:t xml:space="preserve"> to:</w:t>
      </w:r>
    </w:p>
    <w:p w14:paraId="6CCDF73A" w14:textId="29212F9A" w:rsidR="003658B3" w:rsidRPr="00234D68" w:rsidRDefault="003658B3" w:rsidP="004D008F">
      <w:pPr>
        <w:numPr>
          <w:ilvl w:val="1"/>
          <w:numId w:val="7"/>
        </w:numPr>
      </w:pPr>
      <w:r>
        <w:t>Predict future ambulance usage</w:t>
      </w:r>
    </w:p>
    <w:p w14:paraId="4D1CFCE1" w14:textId="77777777" w:rsidR="00234D68" w:rsidRPr="00234D68" w:rsidRDefault="00234D68" w:rsidP="004D008F">
      <w:pPr>
        <w:numPr>
          <w:ilvl w:val="0"/>
          <w:numId w:val="7"/>
        </w:numPr>
      </w:pPr>
      <w:r w:rsidRPr="00234D68">
        <w:t>Combine the regression and time series forecast to get revenue</w:t>
      </w:r>
    </w:p>
    <w:p w14:paraId="1D677996" w14:textId="77777777" w:rsidR="004D008F" w:rsidRDefault="004D008F" w:rsidP="004D008F">
      <w:pPr>
        <w:pStyle w:val="Heading3"/>
      </w:pPr>
    </w:p>
    <w:p w14:paraId="6AB35D64" w14:textId="25B03554" w:rsidR="00234D68" w:rsidRPr="00565E7A" w:rsidRDefault="004D008F" w:rsidP="00565E7A">
      <w:pPr>
        <w:rPr>
          <w:b/>
          <w:bCs/>
          <w:u w:val="single"/>
        </w:rPr>
      </w:pPr>
      <w:r w:rsidRPr="00565E7A">
        <w:rPr>
          <w:b/>
          <w:bCs/>
          <w:u w:val="single"/>
        </w:rPr>
        <w:t>Simple Linear Regression – Fee Prediction</w:t>
      </w:r>
    </w:p>
    <w:p w14:paraId="57E22BEA" w14:textId="7ADFB428" w:rsidR="004D008F" w:rsidRDefault="00D52092" w:rsidP="004D008F">
      <w:r>
        <w:t xml:space="preserve">Simple linear regression was used to predict future ambulance fees. </w:t>
      </w:r>
      <w:r w:rsidR="00910046">
        <w:t>Regression results</w:t>
      </w:r>
      <w:r>
        <w:t xml:space="preserve"> for an example location can be found in Figure</w:t>
      </w:r>
      <w:r w:rsidR="009857AE">
        <w:t xml:space="preserve"> 10</w:t>
      </w:r>
      <w:r>
        <w:t>.</w:t>
      </w:r>
    </w:p>
    <w:p w14:paraId="6E22ACC4" w14:textId="77777777" w:rsidR="009857AE" w:rsidRDefault="009857AE" w:rsidP="004D008F"/>
    <w:p w14:paraId="3B2A6D64" w14:textId="1F2592E6" w:rsidR="00910046" w:rsidRDefault="00910046" w:rsidP="00910046">
      <w:r>
        <w:rPr>
          <w:noProof/>
        </w:rPr>
        <w:drawing>
          <wp:inline distT="0" distB="0" distL="0" distR="0" wp14:anchorId="7A9B842B" wp14:editId="063E4D3B">
            <wp:extent cx="5943600" cy="244919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449195"/>
                    </a:xfrm>
                    <a:prstGeom prst="rect">
                      <a:avLst/>
                    </a:prstGeom>
                    <a:noFill/>
                    <a:ln>
                      <a:noFill/>
                    </a:ln>
                  </pic:spPr>
                </pic:pic>
              </a:graphicData>
            </a:graphic>
          </wp:inline>
        </w:drawing>
      </w:r>
    </w:p>
    <w:p w14:paraId="4BE91399" w14:textId="7D098378" w:rsidR="00D52092" w:rsidRDefault="00D52092" w:rsidP="004D008F"/>
    <w:p w14:paraId="6662CF4B" w14:textId="4046F3F3" w:rsidR="009857AE" w:rsidRPr="009857AE" w:rsidRDefault="009857AE" w:rsidP="009857AE">
      <w:pPr>
        <w:jc w:val="center"/>
        <w:rPr>
          <w:i/>
          <w:iCs/>
        </w:rPr>
      </w:pPr>
      <w:r>
        <w:rPr>
          <w:i/>
          <w:iCs/>
        </w:rPr>
        <w:t>Figure 10:</w:t>
      </w:r>
      <w:r w:rsidR="00910046">
        <w:rPr>
          <w:i/>
          <w:iCs/>
        </w:rPr>
        <w:t xml:space="preserve"> Simple linear regression to predict future ambulance fees</w:t>
      </w:r>
    </w:p>
    <w:p w14:paraId="3B30ADD1" w14:textId="77777777" w:rsidR="00D52092" w:rsidRDefault="00D52092" w:rsidP="004D008F"/>
    <w:p w14:paraId="5C1C97B2" w14:textId="3AC9A40F" w:rsidR="004D008F" w:rsidRPr="00565E7A" w:rsidRDefault="00D52092" w:rsidP="00565E7A">
      <w:pPr>
        <w:rPr>
          <w:b/>
          <w:bCs/>
          <w:u w:val="single"/>
        </w:rPr>
      </w:pPr>
      <w:r w:rsidRPr="00565E7A">
        <w:rPr>
          <w:b/>
          <w:bCs/>
          <w:u w:val="single"/>
        </w:rPr>
        <w:t>ARIMA Forecasting – Ambulance Ride Prediction</w:t>
      </w:r>
    </w:p>
    <w:p w14:paraId="6DDD1D11" w14:textId="0D411EA5" w:rsidR="004D008F" w:rsidRDefault="00D52092" w:rsidP="00D52092">
      <w:r w:rsidRPr="00D52092">
        <w:t>Auto</w:t>
      </w:r>
      <w:r>
        <w:t>r</w:t>
      </w:r>
      <w:r w:rsidRPr="00D52092">
        <w:t>egressive Integrated Moving Average</w:t>
      </w:r>
      <w:r>
        <w:t xml:space="preserve"> (ARIMA) forecasting is a machine learning method that uses past values to predict future ones. </w:t>
      </w:r>
      <w:r w:rsidR="00910046">
        <w:t xml:space="preserve">This method can handle seasonality in a time series. </w:t>
      </w:r>
      <w:r>
        <w:t>At the time of this analysis, no ambulance ride data could be found. Synthetic data was introduced to show how this methodology could prove useful if hospitals/providers were to offer ambulance ride data.</w:t>
      </w:r>
      <w:r w:rsidR="00910046">
        <w:t xml:space="preserve"> ARIMA </w:t>
      </w:r>
      <w:r w:rsidR="00AE52F2">
        <w:t xml:space="preserve">ambulance ride </w:t>
      </w:r>
      <w:r w:rsidR="00910046">
        <w:t>forecast</w:t>
      </w:r>
      <w:r w:rsidR="00AE52F2">
        <w:t>s</w:t>
      </w:r>
      <w:r w:rsidR="00910046">
        <w:t xml:space="preserve"> are displayed in Figure 11.</w:t>
      </w:r>
    </w:p>
    <w:tbl>
      <w:tblPr>
        <w:tblStyle w:val="TableGrid"/>
        <w:tblW w:w="0" w:type="auto"/>
        <w:tblLook w:val="04A0" w:firstRow="1" w:lastRow="0" w:firstColumn="1" w:lastColumn="0" w:noHBand="0" w:noVBand="1"/>
      </w:tblPr>
      <w:tblGrid>
        <w:gridCol w:w="9350"/>
      </w:tblGrid>
      <w:tr w:rsidR="009857AE" w14:paraId="2609C8B5" w14:textId="77777777" w:rsidTr="009857AE">
        <w:trPr>
          <w:trHeight w:val="3312"/>
        </w:trPr>
        <w:tc>
          <w:tcPr>
            <w:tcW w:w="9350" w:type="dxa"/>
          </w:tcPr>
          <w:p w14:paraId="33BCEF3E" w14:textId="5947C7CE" w:rsidR="009857AE" w:rsidRDefault="009857AE" w:rsidP="009857AE">
            <w:pPr>
              <w:keepNext/>
              <w:keepLines/>
            </w:pPr>
            <w:r>
              <w:rPr>
                <w:noProof/>
              </w:rPr>
              <w:lastRenderedPageBreak/>
              <w:drawing>
                <wp:inline distT="0" distB="0" distL="0" distR="0" wp14:anchorId="159FEFBD" wp14:editId="51A7D614">
                  <wp:extent cx="5820458" cy="277036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08906" cy="2812459"/>
                          </a:xfrm>
                          <a:prstGeom prst="rect">
                            <a:avLst/>
                          </a:prstGeom>
                          <a:noFill/>
                          <a:ln>
                            <a:noFill/>
                          </a:ln>
                        </pic:spPr>
                      </pic:pic>
                    </a:graphicData>
                  </a:graphic>
                </wp:inline>
              </w:drawing>
            </w:r>
          </w:p>
          <w:p w14:paraId="66DC21CE" w14:textId="77777777" w:rsidR="009857AE" w:rsidRDefault="009857AE" w:rsidP="009857AE">
            <w:pPr>
              <w:keepNext/>
              <w:keepLines/>
            </w:pPr>
          </w:p>
        </w:tc>
      </w:tr>
      <w:tr w:rsidR="009857AE" w14:paraId="3584FAEF" w14:textId="77777777" w:rsidTr="009857AE">
        <w:trPr>
          <w:trHeight w:val="3312"/>
        </w:trPr>
        <w:tc>
          <w:tcPr>
            <w:tcW w:w="9350" w:type="dxa"/>
          </w:tcPr>
          <w:p w14:paraId="235C56AC" w14:textId="78367645" w:rsidR="009857AE" w:rsidRDefault="009857AE" w:rsidP="009857AE">
            <w:pPr>
              <w:keepNext/>
              <w:keepLines/>
            </w:pPr>
            <w:r>
              <w:rPr>
                <w:noProof/>
              </w:rPr>
              <w:drawing>
                <wp:inline distT="0" distB="0" distL="0" distR="0" wp14:anchorId="2D61FE0F" wp14:editId="222C77EC">
                  <wp:extent cx="5820092" cy="290616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50094" cy="2921144"/>
                          </a:xfrm>
                          <a:prstGeom prst="rect">
                            <a:avLst/>
                          </a:prstGeom>
                          <a:noFill/>
                          <a:ln>
                            <a:noFill/>
                          </a:ln>
                        </pic:spPr>
                      </pic:pic>
                    </a:graphicData>
                  </a:graphic>
                </wp:inline>
              </w:drawing>
            </w:r>
          </w:p>
          <w:p w14:paraId="60659EAB" w14:textId="77777777" w:rsidR="009857AE" w:rsidRDefault="009857AE" w:rsidP="009857AE">
            <w:pPr>
              <w:keepNext/>
              <w:keepLines/>
            </w:pPr>
          </w:p>
        </w:tc>
      </w:tr>
    </w:tbl>
    <w:p w14:paraId="044E48FC" w14:textId="079292C9" w:rsidR="009857AE" w:rsidRDefault="009857AE" w:rsidP="009857AE">
      <w:pPr>
        <w:keepNext/>
        <w:keepLines/>
      </w:pPr>
    </w:p>
    <w:p w14:paraId="7389252D" w14:textId="1C6B5B3B" w:rsidR="009857AE" w:rsidRPr="009857AE" w:rsidRDefault="009857AE" w:rsidP="009857AE">
      <w:pPr>
        <w:keepNext/>
        <w:keepLines/>
        <w:jc w:val="center"/>
        <w:rPr>
          <w:i/>
          <w:iCs/>
        </w:rPr>
      </w:pPr>
      <w:r>
        <w:rPr>
          <w:i/>
          <w:iCs/>
        </w:rPr>
        <w:t>Figure 11:</w:t>
      </w:r>
      <w:r w:rsidR="00910046">
        <w:rPr>
          <w:i/>
          <w:iCs/>
        </w:rPr>
        <w:t xml:space="preserve"> ARIMA forecast of basic life support and advanced life support ambulance rides</w:t>
      </w:r>
    </w:p>
    <w:p w14:paraId="015289DE" w14:textId="567FB209" w:rsidR="00D52092" w:rsidRDefault="00D52092" w:rsidP="00D52092"/>
    <w:p w14:paraId="7BDDD96F" w14:textId="28B9AB8D" w:rsidR="00D52092" w:rsidRPr="00565E7A" w:rsidRDefault="00D52092" w:rsidP="00565E7A">
      <w:pPr>
        <w:keepNext/>
        <w:keepLines/>
        <w:rPr>
          <w:b/>
          <w:bCs/>
          <w:u w:val="single"/>
        </w:rPr>
      </w:pPr>
      <w:r w:rsidRPr="00565E7A">
        <w:rPr>
          <w:b/>
          <w:bCs/>
          <w:u w:val="single"/>
        </w:rPr>
        <w:lastRenderedPageBreak/>
        <w:t>Revenue Forecasting</w:t>
      </w:r>
    </w:p>
    <w:p w14:paraId="75F70A53" w14:textId="0117A4C1" w:rsidR="00D52092" w:rsidRDefault="00D52092" w:rsidP="00565E7A">
      <w:pPr>
        <w:keepNext/>
        <w:keepLines/>
      </w:pPr>
      <w:r>
        <w:t xml:space="preserve">Simply put, predicted ambulance fees from regression were combined with ambulance ride forecasts to project revenue into the future. Results for the example location can be found in Figure </w:t>
      </w:r>
      <w:r w:rsidR="00910046">
        <w:t>12</w:t>
      </w:r>
      <w:r>
        <w:t>.</w:t>
      </w:r>
    </w:p>
    <w:p w14:paraId="689289D5" w14:textId="038B7B35" w:rsidR="00D52092" w:rsidRDefault="00D52092" w:rsidP="00565E7A">
      <w:pPr>
        <w:keepNext/>
        <w:keepLines/>
      </w:pPr>
    </w:p>
    <w:p w14:paraId="7AB7585E" w14:textId="476E5C04" w:rsidR="00910046" w:rsidRDefault="00910046" w:rsidP="00910046">
      <w:r>
        <w:rPr>
          <w:noProof/>
        </w:rPr>
        <w:drawing>
          <wp:inline distT="0" distB="0" distL="0" distR="0" wp14:anchorId="06801521" wp14:editId="5E1E31EE">
            <wp:extent cx="5943600" cy="280162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801620"/>
                    </a:xfrm>
                    <a:prstGeom prst="rect">
                      <a:avLst/>
                    </a:prstGeom>
                    <a:noFill/>
                    <a:ln>
                      <a:noFill/>
                    </a:ln>
                  </pic:spPr>
                </pic:pic>
              </a:graphicData>
            </a:graphic>
          </wp:inline>
        </w:drawing>
      </w:r>
    </w:p>
    <w:p w14:paraId="1902480B" w14:textId="1F015A86" w:rsidR="009857AE" w:rsidRDefault="009857AE" w:rsidP="00D52092"/>
    <w:p w14:paraId="11FA8C97" w14:textId="42B1DCB1" w:rsidR="009857AE" w:rsidRDefault="009857AE" w:rsidP="009857AE">
      <w:pPr>
        <w:jc w:val="center"/>
        <w:rPr>
          <w:i/>
          <w:iCs/>
        </w:rPr>
      </w:pPr>
      <w:r>
        <w:rPr>
          <w:i/>
          <w:iCs/>
        </w:rPr>
        <w:t xml:space="preserve">Figure </w:t>
      </w:r>
      <w:r w:rsidR="00910046">
        <w:rPr>
          <w:i/>
          <w:iCs/>
        </w:rPr>
        <w:t>12</w:t>
      </w:r>
      <w:r>
        <w:rPr>
          <w:i/>
          <w:iCs/>
        </w:rPr>
        <w:t>:</w:t>
      </w:r>
      <w:r w:rsidR="00910046">
        <w:rPr>
          <w:i/>
          <w:iCs/>
        </w:rPr>
        <w:t xml:space="preserve"> Revenue forecasts from basic life support and advanced life support ambulance rides</w:t>
      </w:r>
    </w:p>
    <w:p w14:paraId="3C6C597B" w14:textId="77777777" w:rsidR="00910046" w:rsidRPr="009857AE" w:rsidRDefault="00910046" w:rsidP="009857AE">
      <w:pPr>
        <w:jc w:val="center"/>
        <w:rPr>
          <w:i/>
          <w:iCs/>
        </w:rPr>
      </w:pPr>
    </w:p>
    <w:p w14:paraId="25DF7D6F" w14:textId="6FF59825" w:rsidR="00D52092" w:rsidRPr="00565E7A" w:rsidRDefault="00D52092" w:rsidP="00565E7A">
      <w:pPr>
        <w:rPr>
          <w:b/>
          <w:bCs/>
          <w:u w:val="single"/>
        </w:rPr>
      </w:pPr>
      <w:r w:rsidRPr="00565E7A">
        <w:rPr>
          <w:b/>
          <w:bCs/>
          <w:u w:val="single"/>
        </w:rPr>
        <w:t>Revenue Forecasting Tool</w:t>
      </w:r>
    </w:p>
    <w:p w14:paraId="3BDAA992" w14:textId="201E7707" w:rsidR="00D52092" w:rsidRDefault="00D52092" w:rsidP="009857AE">
      <w:pPr>
        <w:keepLines/>
      </w:pPr>
      <w:r>
        <w:t xml:space="preserve">A function was developed so that revenue could be projected for any </w:t>
      </w:r>
      <w:r w:rsidR="009857AE">
        <w:t>city in the dataset, for any number of months into future, and</w:t>
      </w:r>
      <w:r>
        <w:t xml:space="preserve"> for any type of ambulance service (Basic life support, advanced life support, etc.). Simple linear regression, ARIMA forecasting, and revenue calculation are performed within </w:t>
      </w:r>
      <w:r w:rsidR="009857AE">
        <w:t xml:space="preserve">this function and generate three </w:t>
      </w:r>
      <w:r>
        <w:t xml:space="preserve">standard plots (see Figure </w:t>
      </w:r>
      <w:r w:rsidR="00910046">
        <w:t>13</w:t>
      </w:r>
      <w:r>
        <w:t xml:space="preserve">). </w:t>
      </w:r>
    </w:p>
    <w:p w14:paraId="626E252A" w14:textId="3694A742" w:rsidR="00D52092" w:rsidRDefault="00D52092" w:rsidP="009857AE">
      <w:pPr>
        <w:keepLines/>
      </w:pPr>
    </w:p>
    <w:p w14:paraId="7FE15122" w14:textId="226E7DC2" w:rsidR="00D52092" w:rsidRDefault="00D52092" w:rsidP="009857AE">
      <w:pPr>
        <w:keepLines/>
      </w:pPr>
      <w:r>
        <w:t>Revenue Forecasting Function</w:t>
      </w:r>
      <w:r w:rsidR="009857AE">
        <w:t>:</w:t>
      </w:r>
    </w:p>
    <w:p w14:paraId="03DB3E8B" w14:textId="511EAD3C" w:rsidR="009857AE" w:rsidRDefault="009857AE" w:rsidP="009857AE">
      <w:pPr>
        <w:keepLines/>
      </w:pPr>
      <w:r w:rsidRPr="009857AE">
        <w:rPr>
          <w:noProof/>
        </w:rPr>
        <w:drawing>
          <wp:inline distT="0" distB="0" distL="0" distR="0" wp14:anchorId="6CBAFBF0" wp14:editId="1F210738">
            <wp:extent cx="5943600" cy="2298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29870"/>
                    </a:xfrm>
                    <a:prstGeom prst="rect">
                      <a:avLst/>
                    </a:prstGeom>
                  </pic:spPr>
                </pic:pic>
              </a:graphicData>
            </a:graphic>
          </wp:inline>
        </w:drawing>
      </w:r>
    </w:p>
    <w:p w14:paraId="20E8B1FD" w14:textId="65DFCDBC" w:rsidR="009857AE" w:rsidRDefault="009857AE" w:rsidP="009857AE">
      <w:pPr>
        <w:keepLines/>
      </w:pPr>
    </w:p>
    <w:tbl>
      <w:tblPr>
        <w:tblStyle w:val="TableGrid"/>
        <w:tblW w:w="0" w:type="auto"/>
        <w:tblLook w:val="04A0" w:firstRow="1" w:lastRow="0" w:firstColumn="1" w:lastColumn="0" w:noHBand="0" w:noVBand="1"/>
      </w:tblPr>
      <w:tblGrid>
        <w:gridCol w:w="9350"/>
      </w:tblGrid>
      <w:tr w:rsidR="009857AE" w14:paraId="78662611" w14:textId="77777777" w:rsidTr="009857AE">
        <w:tc>
          <w:tcPr>
            <w:tcW w:w="9350" w:type="dxa"/>
          </w:tcPr>
          <w:p w14:paraId="365F026C" w14:textId="33B0DD6B" w:rsidR="009857AE" w:rsidRDefault="009857AE" w:rsidP="009857AE">
            <w:pPr>
              <w:keepNext/>
              <w:keepLines/>
            </w:pPr>
            <w:r>
              <w:rPr>
                <w:noProof/>
              </w:rPr>
              <w:lastRenderedPageBreak/>
              <w:drawing>
                <wp:inline distT="0" distB="0" distL="0" distR="0" wp14:anchorId="4BB6942B" wp14:editId="407990E1">
                  <wp:extent cx="5839485" cy="2416274"/>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50001" cy="2420625"/>
                          </a:xfrm>
                          <a:prstGeom prst="rect">
                            <a:avLst/>
                          </a:prstGeom>
                          <a:noFill/>
                          <a:ln>
                            <a:noFill/>
                          </a:ln>
                        </pic:spPr>
                      </pic:pic>
                    </a:graphicData>
                  </a:graphic>
                </wp:inline>
              </w:drawing>
            </w:r>
          </w:p>
          <w:p w14:paraId="5FEF3F8E" w14:textId="77777777" w:rsidR="009857AE" w:rsidRDefault="009857AE" w:rsidP="009857AE">
            <w:pPr>
              <w:keepNext/>
              <w:keepLines/>
            </w:pPr>
          </w:p>
        </w:tc>
      </w:tr>
      <w:tr w:rsidR="009857AE" w14:paraId="07053871" w14:textId="77777777" w:rsidTr="009857AE">
        <w:tc>
          <w:tcPr>
            <w:tcW w:w="9350" w:type="dxa"/>
          </w:tcPr>
          <w:p w14:paraId="35B2E1AD" w14:textId="57EDA207" w:rsidR="009857AE" w:rsidRDefault="009857AE" w:rsidP="009857AE">
            <w:pPr>
              <w:keepNext/>
              <w:keepLines/>
            </w:pPr>
            <w:r>
              <w:rPr>
                <w:noProof/>
              </w:rPr>
              <w:drawing>
                <wp:inline distT="0" distB="0" distL="0" distR="0" wp14:anchorId="623F692E" wp14:editId="5F9832B6">
                  <wp:extent cx="5839460" cy="2456816"/>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40266" cy="2457155"/>
                          </a:xfrm>
                          <a:prstGeom prst="rect">
                            <a:avLst/>
                          </a:prstGeom>
                          <a:noFill/>
                          <a:ln>
                            <a:noFill/>
                          </a:ln>
                        </pic:spPr>
                      </pic:pic>
                    </a:graphicData>
                  </a:graphic>
                </wp:inline>
              </w:drawing>
            </w:r>
          </w:p>
          <w:p w14:paraId="01CF4135" w14:textId="77777777" w:rsidR="009857AE" w:rsidRDefault="009857AE" w:rsidP="009857AE">
            <w:pPr>
              <w:keepNext/>
              <w:keepLines/>
            </w:pPr>
          </w:p>
        </w:tc>
      </w:tr>
      <w:tr w:rsidR="009857AE" w14:paraId="01E60441" w14:textId="77777777" w:rsidTr="009857AE">
        <w:tc>
          <w:tcPr>
            <w:tcW w:w="9350" w:type="dxa"/>
          </w:tcPr>
          <w:p w14:paraId="329A878F" w14:textId="65B54072" w:rsidR="009857AE" w:rsidRDefault="009857AE" w:rsidP="009857AE">
            <w:pPr>
              <w:keepNext/>
              <w:keepLines/>
            </w:pPr>
            <w:r>
              <w:rPr>
                <w:noProof/>
              </w:rPr>
              <w:drawing>
                <wp:inline distT="0" distB="0" distL="0" distR="0" wp14:anchorId="6F5F35A9" wp14:editId="419DB4E3">
                  <wp:extent cx="5839460" cy="2397548"/>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77499" cy="2413166"/>
                          </a:xfrm>
                          <a:prstGeom prst="rect">
                            <a:avLst/>
                          </a:prstGeom>
                          <a:noFill/>
                          <a:ln>
                            <a:noFill/>
                          </a:ln>
                        </pic:spPr>
                      </pic:pic>
                    </a:graphicData>
                  </a:graphic>
                </wp:inline>
              </w:drawing>
            </w:r>
          </w:p>
          <w:p w14:paraId="6E5304A4" w14:textId="77777777" w:rsidR="009857AE" w:rsidRDefault="009857AE" w:rsidP="009857AE">
            <w:pPr>
              <w:keepNext/>
              <w:keepLines/>
            </w:pPr>
          </w:p>
        </w:tc>
      </w:tr>
    </w:tbl>
    <w:p w14:paraId="55E49F34" w14:textId="77777777" w:rsidR="009857AE" w:rsidRDefault="009857AE" w:rsidP="009857AE">
      <w:pPr>
        <w:keepNext/>
        <w:keepLines/>
      </w:pPr>
    </w:p>
    <w:p w14:paraId="3F79E439" w14:textId="1DD7C7E1" w:rsidR="009857AE" w:rsidRDefault="009857AE" w:rsidP="009857AE">
      <w:pPr>
        <w:keepNext/>
        <w:keepLines/>
        <w:jc w:val="center"/>
      </w:pPr>
      <w:r>
        <w:rPr>
          <w:i/>
          <w:iCs/>
        </w:rPr>
        <w:t>Figure</w:t>
      </w:r>
      <w:r w:rsidR="00910046">
        <w:rPr>
          <w:i/>
          <w:iCs/>
        </w:rPr>
        <w:t xml:space="preserve"> 13</w:t>
      </w:r>
      <w:r>
        <w:rPr>
          <w:i/>
          <w:iCs/>
        </w:rPr>
        <w:t xml:space="preserve">: </w:t>
      </w:r>
      <w:r w:rsidR="00910046">
        <w:rPr>
          <w:i/>
          <w:iCs/>
        </w:rPr>
        <w:t>Output from revenue forecasting tool</w:t>
      </w:r>
    </w:p>
    <w:p w14:paraId="7A1BCBCA" w14:textId="420FA91B" w:rsidR="003004A7" w:rsidRDefault="003004A7" w:rsidP="000B60B6">
      <w:pPr>
        <w:pStyle w:val="Heading1"/>
      </w:pPr>
      <w:bookmarkStart w:id="6" w:name="_Toc49416140"/>
      <w:r>
        <w:lastRenderedPageBreak/>
        <w:t>Conclusion</w:t>
      </w:r>
      <w:bookmarkEnd w:id="6"/>
    </w:p>
    <w:p w14:paraId="1A9097AF" w14:textId="77777777" w:rsidR="00AE52F2" w:rsidRDefault="003004A7" w:rsidP="003004A7">
      <w:r>
        <w:t xml:space="preserve">The </w:t>
      </w:r>
      <w:r w:rsidRPr="003004A7">
        <w:t>Ambulance Fee Schedule</w:t>
      </w:r>
      <w:r>
        <w:t xml:space="preserve"> dictates the pay-out to ambulance providers for Medicare and Medicaid eligible clients. Through data cleaning and transformation, </w:t>
      </w:r>
      <w:r w:rsidR="00DF7860">
        <w:t xml:space="preserve">this data </w:t>
      </w:r>
      <w:r>
        <w:t xml:space="preserve">can now be analyzed at a national, state, and city level. </w:t>
      </w:r>
    </w:p>
    <w:p w14:paraId="0802B71E" w14:textId="77777777" w:rsidR="00AE52F2" w:rsidRDefault="00AE52F2" w:rsidP="003004A7"/>
    <w:p w14:paraId="6DD74939" w14:textId="5F1B6405" w:rsidR="003004A7" w:rsidRPr="00DF7860" w:rsidRDefault="003004A7" w:rsidP="003004A7">
      <w:r>
        <w:t xml:space="preserve">From preliminary analysis, </w:t>
      </w:r>
      <w:r w:rsidR="00DF7860">
        <w:t xml:space="preserve">it was found that the distribution of ambulance fees across the nation has not changed dramatically since 2012. Since 2012, the primary driving factor for increasing ambulance fees is the base level rate multiplier. Essentially, from year to year the </w:t>
      </w:r>
      <w:r w:rsidR="00DF7860" w:rsidRPr="003004A7">
        <w:rPr>
          <w:i/>
          <w:iCs/>
        </w:rPr>
        <w:t>Centers for Medicare &amp; Medicaid Services</w:t>
      </w:r>
      <w:r w:rsidR="00DF7860">
        <w:t xml:space="preserve"> increases the base level rate multiplier and nothing else. Additionally, this analysis demonstrate</w:t>
      </w:r>
      <w:r w:rsidR="00AE52F2">
        <w:t>s</w:t>
      </w:r>
      <w:r w:rsidR="00DF7860">
        <w:t xml:space="preserve"> that ambulance revenue can be forecasted by combining simple linear regression and ARIMA forecasting. The primary value of this project is in that it organizes a previously disparate and disorganized dataset for use in a firm or dashboard that analyzes </w:t>
      </w:r>
      <w:r w:rsidR="00AE52F2">
        <w:t>ambulance rides</w:t>
      </w:r>
      <w:r w:rsidR="00DF7860">
        <w:t xml:space="preserve"> across the U.S.  </w:t>
      </w:r>
    </w:p>
    <w:sectPr w:rsidR="003004A7" w:rsidRPr="00DF78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63838"/>
    <w:multiLevelType w:val="hybridMultilevel"/>
    <w:tmpl w:val="0409000F"/>
    <w:lvl w:ilvl="0" w:tplc="39AE410C">
      <w:start w:val="1"/>
      <w:numFmt w:val="decimal"/>
      <w:lvlText w:val="%1."/>
      <w:lvlJc w:val="left"/>
      <w:pPr>
        <w:ind w:left="720" w:hanging="360"/>
      </w:pPr>
      <w:rPr>
        <w:rFonts w:hint="default"/>
        <w:sz w:val="20"/>
      </w:rPr>
    </w:lvl>
    <w:lvl w:ilvl="1" w:tplc="B65ED54E">
      <w:start w:val="1"/>
      <w:numFmt w:val="lowerLetter"/>
      <w:lvlText w:val="%2."/>
      <w:lvlJc w:val="left"/>
      <w:pPr>
        <w:ind w:left="1440" w:hanging="360"/>
      </w:pPr>
      <w:rPr>
        <w:rFonts w:hint="default"/>
        <w:sz w:val="20"/>
      </w:rPr>
    </w:lvl>
    <w:lvl w:ilvl="2" w:tplc="912E1F46" w:tentative="1">
      <w:start w:val="1"/>
      <w:numFmt w:val="lowerRoman"/>
      <w:lvlText w:val="%3."/>
      <w:lvlJc w:val="right"/>
      <w:pPr>
        <w:ind w:left="2160" w:hanging="180"/>
      </w:pPr>
      <w:rPr>
        <w:rFonts w:hint="default"/>
        <w:sz w:val="20"/>
      </w:rPr>
    </w:lvl>
    <w:lvl w:ilvl="3" w:tplc="4AF617AE" w:tentative="1">
      <w:start w:val="1"/>
      <w:numFmt w:val="decimal"/>
      <w:lvlText w:val="%4."/>
      <w:lvlJc w:val="left"/>
      <w:pPr>
        <w:ind w:left="2880" w:hanging="360"/>
      </w:pPr>
      <w:rPr>
        <w:rFonts w:hint="default"/>
        <w:sz w:val="20"/>
      </w:rPr>
    </w:lvl>
    <w:lvl w:ilvl="4" w:tplc="E858F6DC" w:tentative="1">
      <w:start w:val="1"/>
      <w:numFmt w:val="lowerLetter"/>
      <w:lvlText w:val="%5."/>
      <w:lvlJc w:val="left"/>
      <w:pPr>
        <w:ind w:left="3600" w:hanging="360"/>
      </w:pPr>
      <w:rPr>
        <w:rFonts w:hint="default"/>
        <w:sz w:val="20"/>
      </w:rPr>
    </w:lvl>
    <w:lvl w:ilvl="5" w:tplc="09509A66" w:tentative="1">
      <w:start w:val="1"/>
      <w:numFmt w:val="lowerRoman"/>
      <w:lvlText w:val="%6."/>
      <w:lvlJc w:val="right"/>
      <w:pPr>
        <w:ind w:left="4320" w:hanging="180"/>
      </w:pPr>
      <w:rPr>
        <w:rFonts w:hint="default"/>
        <w:sz w:val="20"/>
      </w:rPr>
    </w:lvl>
    <w:lvl w:ilvl="6" w:tplc="D55850F8" w:tentative="1">
      <w:start w:val="1"/>
      <w:numFmt w:val="decimal"/>
      <w:lvlText w:val="%7."/>
      <w:lvlJc w:val="left"/>
      <w:pPr>
        <w:ind w:left="5040" w:hanging="360"/>
      </w:pPr>
      <w:rPr>
        <w:rFonts w:hint="default"/>
        <w:sz w:val="20"/>
      </w:rPr>
    </w:lvl>
    <w:lvl w:ilvl="7" w:tplc="A790DAFA" w:tentative="1">
      <w:start w:val="1"/>
      <w:numFmt w:val="lowerLetter"/>
      <w:lvlText w:val="%8."/>
      <w:lvlJc w:val="left"/>
      <w:pPr>
        <w:ind w:left="5760" w:hanging="360"/>
      </w:pPr>
      <w:rPr>
        <w:rFonts w:hint="default"/>
        <w:sz w:val="20"/>
      </w:rPr>
    </w:lvl>
    <w:lvl w:ilvl="8" w:tplc="4484E304" w:tentative="1">
      <w:start w:val="1"/>
      <w:numFmt w:val="lowerRoman"/>
      <w:lvlText w:val="%9."/>
      <w:lvlJc w:val="right"/>
      <w:pPr>
        <w:ind w:left="6480" w:hanging="180"/>
      </w:pPr>
      <w:rPr>
        <w:rFonts w:hint="default"/>
        <w:sz w:val="20"/>
      </w:rPr>
    </w:lvl>
  </w:abstractNum>
  <w:abstractNum w:abstractNumId="1" w15:restartNumberingAfterBreak="0">
    <w:nsid w:val="19AB6C58"/>
    <w:multiLevelType w:val="hybridMultilevel"/>
    <w:tmpl w:val="74EE4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0C7FC5"/>
    <w:multiLevelType w:val="multilevel"/>
    <w:tmpl w:val="03F63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D51E1F"/>
    <w:multiLevelType w:val="multilevel"/>
    <w:tmpl w:val="759C8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C913C20"/>
    <w:multiLevelType w:val="hybridMultilevel"/>
    <w:tmpl w:val="9C32A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FA0C56"/>
    <w:multiLevelType w:val="hybridMultilevel"/>
    <w:tmpl w:val="CFB03D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F1693F"/>
    <w:multiLevelType w:val="multilevel"/>
    <w:tmpl w:val="C5D2A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6"/>
  </w:num>
  <w:num w:numId="4">
    <w:abstractNumId w:val="5"/>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B15"/>
    <w:rsid w:val="000325F8"/>
    <w:rsid w:val="000B60B6"/>
    <w:rsid w:val="001931FD"/>
    <w:rsid w:val="001F5149"/>
    <w:rsid w:val="0023477F"/>
    <w:rsid w:val="00234D68"/>
    <w:rsid w:val="003004A7"/>
    <w:rsid w:val="003658B3"/>
    <w:rsid w:val="00380D0D"/>
    <w:rsid w:val="003B217A"/>
    <w:rsid w:val="003E0125"/>
    <w:rsid w:val="004D008F"/>
    <w:rsid w:val="00565E7A"/>
    <w:rsid w:val="005B20F3"/>
    <w:rsid w:val="005F14E6"/>
    <w:rsid w:val="00713016"/>
    <w:rsid w:val="00722B28"/>
    <w:rsid w:val="00755681"/>
    <w:rsid w:val="008D4756"/>
    <w:rsid w:val="00910046"/>
    <w:rsid w:val="009857AE"/>
    <w:rsid w:val="009C775D"/>
    <w:rsid w:val="00A26B15"/>
    <w:rsid w:val="00AE52F2"/>
    <w:rsid w:val="00CE2DB2"/>
    <w:rsid w:val="00D52092"/>
    <w:rsid w:val="00DF7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3D98B"/>
  <w15:chartTrackingRefBased/>
  <w15:docId w15:val="{63DC00A9-851D-3247-8717-E5A1C9DD6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57AE"/>
    <w:rPr>
      <w:rFonts w:ascii="Times New Roman" w:eastAsia="Times New Roman" w:hAnsi="Times New Roman" w:cs="Times New Roman"/>
    </w:rPr>
  </w:style>
  <w:style w:type="paragraph" w:styleId="Heading1">
    <w:name w:val="heading 1"/>
    <w:basedOn w:val="Normal"/>
    <w:next w:val="Normal"/>
    <w:link w:val="Heading1Char"/>
    <w:uiPriority w:val="9"/>
    <w:qFormat/>
    <w:rsid w:val="00A26B1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008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2092"/>
    <w:pPr>
      <w:keepNext/>
      <w:keepLines/>
      <w:spacing w:before="40"/>
      <w:outlineLvl w:val="2"/>
    </w:pPr>
    <w:rPr>
      <w:rFonts w:asciiTheme="majorHAnsi" w:eastAsiaTheme="majorEastAsia" w:hAnsiTheme="majorHAnsi" w:cstheme="majorBidi"/>
      <w:color w:val="1F3763" w:themeColor="accent1" w:themeShade="7F"/>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6B1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6B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6B15"/>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A26B15"/>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A26B1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26B15"/>
    <w:pPr>
      <w:ind w:left="720"/>
      <w:contextualSpacing/>
    </w:pPr>
  </w:style>
  <w:style w:type="table" w:styleId="TableGrid">
    <w:name w:val="Table Grid"/>
    <w:basedOn w:val="TableNormal"/>
    <w:uiPriority w:val="39"/>
    <w:rsid w:val="001931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B20F3"/>
    <w:pPr>
      <w:spacing w:before="480" w:line="276" w:lineRule="auto"/>
      <w:outlineLvl w:val="9"/>
    </w:pPr>
    <w:rPr>
      <w:b/>
      <w:bCs/>
      <w:sz w:val="28"/>
      <w:szCs w:val="28"/>
    </w:rPr>
  </w:style>
  <w:style w:type="paragraph" w:styleId="TOC1">
    <w:name w:val="toc 1"/>
    <w:basedOn w:val="Normal"/>
    <w:next w:val="Normal"/>
    <w:autoRedefine/>
    <w:uiPriority w:val="39"/>
    <w:unhideWhenUsed/>
    <w:rsid w:val="005B20F3"/>
    <w:pPr>
      <w:spacing w:before="120"/>
    </w:pPr>
    <w:rPr>
      <w:rFonts w:asciiTheme="minorHAnsi" w:hAnsiTheme="minorHAnsi"/>
      <w:b/>
      <w:bCs/>
      <w:i/>
      <w:iCs/>
    </w:rPr>
  </w:style>
  <w:style w:type="character" w:styleId="Hyperlink">
    <w:name w:val="Hyperlink"/>
    <w:basedOn w:val="DefaultParagraphFont"/>
    <w:uiPriority w:val="99"/>
    <w:unhideWhenUsed/>
    <w:rsid w:val="005B20F3"/>
    <w:rPr>
      <w:color w:val="0563C1" w:themeColor="hyperlink"/>
      <w:u w:val="single"/>
    </w:rPr>
  </w:style>
  <w:style w:type="paragraph" w:styleId="TOC2">
    <w:name w:val="toc 2"/>
    <w:basedOn w:val="Normal"/>
    <w:next w:val="Normal"/>
    <w:autoRedefine/>
    <w:uiPriority w:val="39"/>
    <w:unhideWhenUsed/>
    <w:rsid w:val="005B20F3"/>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rsid w:val="005B20F3"/>
    <w:pPr>
      <w:ind w:left="480"/>
    </w:pPr>
    <w:rPr>
      <w:rFonts w:asciiTheme="minorHAnsi" w:hAnsiTheme="minorHAnsi"/>
      <w:sz w:val="20"/>
      <w:szCs w:val="20"/>
    </w:rPr>
  </w:style>
  <w:style w:type="paragraph" w:styleId="TOC4">
    <w:name w:val="toc 4"/>
    <w:basedOn w:val="Normal"/>
    <w:next w:val="Normal"/>
    <w:autoRedefine/>
    <w:uiPriority w:val="39"/>
    <w:semiHidden/>
    <w:unhideWhenUsed/>
    <w:rsid w:val="005B20F3"/>
    <w:pPr>
      <w:ind w:left="720"/>
    </w:pPr>
    <w:rPr>
      <w:rFonts w:asciiTheme="minorHAnsi" w:hAnsiTheme="minorHAnsi"/>
      <w:sz w:val="20"/>
      <w:szCs w:val="20"/>
    </w:rPr>
  </w:style>
  <w:style w:type="paragraph" w:styleId="TOC5">
    <w:name w:val="toc 5"/>
    <w:basedOn w:val="Normal"/>
    <w:next w:val="Normal"/>
    <w:autoRedefine/>
    <w:uiPriority w:val="39"/>
    <w:semiHidden/>
    <w:unhideWhenUsed/>
    <w:rsid w:val="005B20F3"/>
    <w:pPr>
      <w:ind w:left="960"/>
    </w:pPr>
    <w:rPr>
      <w:rFonts w:asciiTheme="minorHAnsi" w:hAnsiTheme="minorHAnsi"/>
      <w:sz w:val="20"/>
      <w:szCs w:val="20"/>
    </w:rPr>
  </w:style>
  <w:style w:type="paragraph" w:styleId="TOC6">
    <w:name w:val="toc 6"/>
    <w:basedOn w:val="Normal"/>
    <w:next w:val="Normal"/>
    <w:autoRedefine/>
    <w:uiPriority w:val="39"/>
    <w:semiHidden/>
    <w:unhideWhenUsed/>
    <w:rsid w:val="005B20F3"/>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5B20F3"/>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5B20F3"/>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5B20F3"/>
    <w:pPr>
      <w:ind w:left="1920"/>
    </w:pPr>
    <w:rPr>
      <w:rFonts w:asciiTheme="minorHAnsi" w:hAnsiTheme="minorHAnsi"/>
      <w:sz w:val="20"/>
      <w:szCs w:val="20"/>
    </w:rPr>
  </w:style>
  <w:style w:type="character" w:customStyle="1" w:styleId="Heading2Char">
    <w:name w:val="Heading 2 Char"/>
    <w:basedOn w:val="DefaultParagraphFont"/>
    <w:link w:val="Heading2"/>
    <w:uiPriority w:val="9"/>
    <w:rsid w:val="004D008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52092"/>
    <w:rPr>
      <w:rFonts w:asciiTheme="majorHAnsi" w:eastAsiaTheme="majorEastAsia" w:hAnsiTheme="majorHAnsi" w:cstheme="majorBidi"/>
      <w:color w:val="1F3763" w:themeColor="accent1" w:themeShade="7F"/>
      <w:sz w:val="26"/>
    </w:rPr>
  </w:style>
  <w:style w:type="character" w:styleId="UnresolvedMention">
    <w:name w:val="Unresolved Mention"/>
    <w:basedOn w:val="DefaultParagraphFont"/>
    <w:uiPriority w:val="99"/>
    <w:semiHidden/>
    <w:unhideWhenUsed/>
    <w:rsid w:val="009C77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414014">
      <w:bodyDiv w:val="1"/>
      <w:marLeft w:val="0"/>
      <w:marRight w:val="0"/>
      <w:marTop w:val="0"/>
      <w:marBottom w:val="0"/>
      <w:divBdr>
        <w:top w:val="none" w:sz="0" w:space="0" w:color="auto"/>
        <w:left w:val="none" w:sz="0" w:space="0" w:color="auto"/>
        <w:bottom w:val="none" w:sz="0" w:space="0" w:color="auto"/>
        <w:right w:val="none" w:sz="0" w:space="0" w:color="auto"/>
      </w:divBdr>
    </w:div>
    <w:div w:id="257522979">
      <w:bodyDiv w:val="1"/>
      <w:marLeft w:val="0"/>
      <w:marRight w:val="0"/>
      <w:marTop w:val="0"/>
      <w:marBottom w:val="0"/>
      <w:divBdr>
        <w:top w:val="none" w:sz="0" w:space="0" w:color="auto"/>
        <w:left w:val="none" w:sz="0" w:space="0" w:color="auto"/>
        <w:bottom w:val="none" w:sz="0" w:space="0" w:color="auto"/>
        <w:right w:val="none" w:sz="0" w:space="0" w:color="auto"/>
      </w:divBdr>
    </w:div>
    <w:div w:id="368653455">
      <w:bodyDiv w:val="1"/>
      <w:marLeft w:val="0"/>
      <w:marRight w:val="0"/>
      <w:marTop w:val="0"/>
      <w:marBottom w:val="0"/>
      <w:divBdr>
        <w:top w:val="none" w:sz="0" w:space="0" w:color="auto"/>
        <w:left w:val="none" w:sz="0" w:space="0" w:color="auto"/>
        <w:bottom w:val="none" w:sz="0" w:space="0" w:color="auto"/>
        <w:right w:val="none" w:sz="0" w:space="0" w:color="auto"/>
      </w:divBdr>
    </w:div>
    <w:div w:id="373237975">
      <w:bodyDiv w:val="1"/>
      <w:marLeft w:val="0"/>
      <w:marRight w:val="0"/>
      <w:marTop w:val="0"/>
      <w:marBottom w:val="0"/>
      <w:divBdr>
        <w:top w:val="none" w:sz="0" w:space="0" w:color="auto"/>
        <w:left w:val="none" w:sz="0" w:space="0" w:color="auto"/>
        <w:bottom w:val="none" w:sz="0" w:space="0" w:color="auto"/>
        <w:right w:val="none" w:sz="0" w:space="0" w:color="auto"/>
      </w:divBdr>
    </w:div>
    <w:div w:id="411246543">
      <w:bodyDiv w:val="1"/>
      <w:marLeft w:val="0"/>
      <w:marRight w:val="0"/>
      <w:marTop w:val="0"/>
      <w:marBottom w:val="0"/>
      <w:divBdr>
        <w:top w:val="none" w:sz="0" w:space="0" w:color="auto"/>
        <w:left w:val="none" w:sz="0" w:space="0" w:color="auto"/>
        <w:bottom w:val="none" w:sz="0" w:space="0" w:color="auto"/>
        <w:right w:val="none" w:sz="0" w:space="0" w:color="auto"/>
      </w:divBdr>
    </w:div>
    <w:div w:id="417093217">
      <w:bodyDiv w:val="1"/>
      <w:marLeft w:val="0"/>
      <w:marRight w:val="0"/>
      <w:marTop w:val="0"/>
      <w:marBottom w:val="0"/>
      <w:divBdr>
        <w:top w:val="none" w:sz="0" w:space="0" w:color="auto"/>
        <w:left w:val="none" w:sz="0" w:space="0" w:color="auto"/>
        <w:bottom w:val="none" w:sz="0" w:space="0" w:color="auto"/>
        <w:right w:val="none" w:sz="0" w:space="0" w:color="auto"/>
      </w:divBdr>
    </w:div>
    <w:div w:id="446856100">
      <w:bodyDiv w:val="1"/>
      <w:marLeft w:val="0"/>
      <w:marRight w:val="0"/>
      <w:marTop w:val="0"/>
      <w:marBottom w:val="0"/>
      <w:divBdr>
        <w:top w:val="none" w:sz="0" w:space="0" w:color="auto"/>
        <w:left w:val="none" w:sz="0" w:space="0" w:color="auto"/>
        <w:bottom w:val="none" w:sz="0" w:space="0" w:color="auto"/>
        <w:right w:val="none" w:sz="0" w:space="0" w:color="auto"/>
      </w:divBdr>
    </w:div>
    <w:div w:id="541480415">
      <w:bodyDiv w:val="1"/>
      <w:marLeft w:val="0"/>
      <w:marRight w:val="0"/>
      <w:marTop w:val="0"/>
      <w:marBottom w:val="0"/>
      <w:divBdr>
        <w:top w:val="none" w:sz="0" w:space="0" w:color="auto"/>
        <w:left w:val="none" w:sz="0" w:space="0" w:color="auto"/>
        <w:bottom w:val="none" w:sz="0" w:space="0" w:color="auto"/>
        <w:right w:val="none" w:sz="0" w:space="0" w:color="auto"/>
      </w:divBdr>
    </w:div>
    <w:div w:id="641689938">
      <w:bodyDiv w:val="1"/>
      <w:marLeft w:val="0"/>
      <w:marRight w:val="0"/>
      <w:marTop w:val="0"/>
      <w:marBottom w:val="0"/>
      <w:divBdr>
        <w:top w:val="none" w:sz="0" w:space="0" w:color="auto"/>
        <w:left w:val="none" w:sz="0" w:space="0" w:color="auto"/>
        <w:bottom w:val="none" w:sz="0" w:space="0" w:color="auto"/>
        <w:right w:val="none" w:sz="0" w:space="0" w:color="auto"/>
      </w:divBdr>
    </w:div>
    <w:div w:id="660428728">
      <w:bodyDiv w:val="1"/>
      <w:marLeft w:val="0"/>
      <w:marRight w:val="0"/>
      <w:marTop w:val="0"/>
      <w:marBottom w:val="0"/>
      <w:divBdr>
        <w:top w:val="none" w:sz="0" w:space="0" w:color="auto"/>
        <w:left w:val="none" w:sz="0" w:space="0" w:color="auto"/>
        <w:bottom w:val="none" w:sz="0" w:space="0" w:color="auto"/>
        <w:right w:val="none" w:sz="0" w:space="0" w:color="auto"/>
      </w:divBdr>
    </w:div>
    <w:div w:id="680666525">
      <w:bodyDiv w:val="1"/>
      <w:marLeft w:val="0"/>
      <w:marRight w:val="0"/>
      <w:marTop w:val="0"/>
      <w:marBottom w:val="0"/>
      <w:divBdr>
        <w:top w:val="none" w:sz="0" w:space="0" w:color="auto"/>
        <w:left w:val="none" w:sz="0" w:space="0" w:color="auto"/>
        <w:bottom w:val="none" w:sz="0" w:space="0" w:color="auto"/>
        <w:right w:val="none" w:sz="0" w:space="0" w:color="auto"/>
      </w:divBdr>
    </w:div>
    <w:div w:id="754472935">
      <w:bodyDiv w:val="1"/>
      <w:marLeft w:val="0"/>
      <w:marRight w:val="0"/>
      <w:marTop w:val="0"/>
      <w:marBottom w:val="0"/>
      <w:divBdr>
        <w:top w:val="none" w:sz="0" w:space="0" w:color="auto"/>
        <w:left w:val="none" w:sz="0" w:space="0" w:color="auto"/>
        <w:bottom w:val="none" w:sz="0" w:space="0" w:color="auto"/>
        <w:right w:val="none" w:sz="0" w:space="0" w:color="auto"/>
      </w:divBdr>
    </w:div>
    <w:div w:id="761532132">
      <w:bodyDiv w:val="1"/>
      <w:marLeft w:val="0"/>
      <w:marRight w:val="0"/>
      <w:marTop w:val="0"/>
      <w:marBottom w:val="0"/>
      <w:divBdr>
        <w:top w:val="none" w:sz="0" w:space="0" w:color="auto"/>
        <w:left w:val="none" w:sz="0" w:space="0" w:color="auto"/>
        <w:bottom w:val="none" w:sz="0" w:space="0" w:color="auto"/>
        <w:right w:val="none" w:sz="0" w:space="0" w:color="auto"/>
      </w:divBdr>
    </w:div>
    <w:div w:id="763571493">
      <w:bodyDiv w:val="1"/>
      <w:marLeft w:val="0"/>
      <w:marRight w:val="0"/>
      <w:marTop w:val="0"/>
      <w:marBottom w:val="0"/>
      <w:divBdr>
        <w:top w:val="none" w:sz="0" w:space="0" w:color="auto"/>
        <w:left w:val="none" w:sz="0" w:space="0" w:color="auto"/>
        <w:bottom w:val="none" w:sz="0" w:space="0" w:color="auto"/>
        <w:right w:val="none" w:sz="0" w:space="0" w:color="auto"/>
      </w:divBdr>
    </w:div>
    <w:div w:id="804929790">
      <w:bodyDiv w:val="1"/>
      <w:marLeft w:val="0"/>
      <w:marRight w:val="0"/>
      <w:marTop w:val="0"/>
      <w:marBottom w:val="0"/>
      <w:divBdr>
        <w:top w:val="none" w:sz="0" w:space="0" w:color="auto"/>
        <w:left w:val="none" w:sz="0" w:space="0" w:color="auto"/>
        <w:bottom w:val="none" w:sz="0" w:space="0" w:color="auto"/>
        <w:right w:val="none" w:sz="0" w:space="0" w:color="auto"/>
      </w:divBdr>
    </w:div>
    <w:div w:id="908153561">
      <w:bodyDiv w:val="1"/>
      <w:marLeft w:val="0"/>
      <w:marRight w:val="0"/>
      <w:marTop w:val="0"/>
      <w:marBottom w:val="0"/>
      <w:divBdr>
        <w:top w:val="none" w:sz="0" w:space="0" w:color="auto"/>
        <w:left w:val="none" w:sz="0" w:space="0" w:color="auto"/>
        <w:bottom w:val="none" w:sz="0" w:space="0" w:color="auto"/>
        <w:right w:val="none" w:sz="0" w:space="0" w:color="auto"/>
      </w:divBdr>
    </w:div>
    <w:div w:id="935752023">
      <w:bodyDiv w:val="1"/>
      <w:marLeft w:val="0"/>
      <w:marRight w:val="0"/>
      <w:marTop w:val="0"/>
      <w:marBottom w:val="0"/>
      <w:divBdr>
        <w:top w:val="none" w:sz="0" w:space="0" w:color="auto"/>
        <w:left w:val="none" w:sz="0" w:space="0" w:color="auto"/>
        <w:bottom w:val="none" w:sz="0" w:space="0" w:color="auto"/>
        <w:right w:val="none" w:sz="0" w:space="0" w:color="auto"/>
      </w:divBdr>
    </w:div>
    <w:div w:id="960114439">
      <w:bodyDiv w:val="1"/>
      <w:marLeft w:val="0"/>
      <w:marRight w:val="0"/>
      <w:marTop w:val="0"/>
      <w:marBottom w:val="0"/>
      <w:divBdr>
        <w:top w:val="none" w:sz="0" w:space="0" w:color="auto"/>
        <w:left w:val="none" w:sz="0" w:space="0" w:color="auto"/>
        <w:bottom w:val="none" w:sz="0" w:space="0" w:color="auto"/>
        <w:right w:val="none" w:sz="0" w:space="0" w:color="auto"/>
      </w:divBdr>
      <w:divsChild>
        <w:div w:id="1806434986">
          <w:marLeft w:val="0"/>
          <w:marRight w:val="0"/>
          <w:marTop w:val="0"/>
          <w:marBottom w:val="0"/>
          <w:divBdr>
            <w:top w:val="none" w:sz="0" w:space="0" w:color="auto"/>
            <w:left w:val="none" w:sz="0" w:space="0" w:color="auto"/>
            <w:bottom w:val="none" w:sz="0" w:space="0" w:color="auto"/>
            <w:right w:val="none" w:sz="0" w:space="0" w:color="auto"/>
          </w:divBdr>
        </w:div>
        <w:div w:id="1406493616">
          <w:marLeft w:val="0"/>
          <w:marRight w:val="0"/>
          <w:marTop w:val="0"/>
          <w:marBottom w:val="0"/>
          <w:divBdr>
            <w:top w:val="none" w:sz="0" w:space="0" w:color="auto"/>
            <w:left w:val="none" w:sz="0" w:space="0" w:color="auto"/>
            <w:bottom w:val="none" w:sz="0" w:space="0" w:color="auto"/>
            <w:right w:val="none" w:sz="0" w:space="0" w:color="auto"/>
          </w:divBdr>
          <w:divsChild>
            <w:div w:id="46144927">
              <w:marLeft w:val="0"/>
              <w:marRight w:val="0"/>
              <w:marTop w:val="0"/>
              <w:marBottom w:val="0"/>
              <w:divBdr>
                <w:top w:val="none" w:sz="0" w:space="0" w:color="auto"/>
                <w:left w:val="none" w:sz="0" w:space="0" w:color="auto"/>
                <w:bottom w:val="none" w:sz="0" w:space="0" w:color="auto"/>
                <w:right w:val="none" w:sz="0" w:space="0" w:color="auto"/>
              </w:divBdr>
            </w:div>
            <w:div w:id="2114468820">
              <w:marLeft w:val="0"/>
              <w:marRight w:val="0"/>
              <w:marTop w:val="0"/>
              <w:marBottom w:val="0"/>
              <w:divBdr>
                <w:top w:val="none" w:sz="0" w:space="0" w:color="auto"/>
                <w:left w:val="none" w:sz="0" w:space="0" w:color="auto"/>
                <w:bottom w:val="none" w:sz="0" w:space="0" w:color="auto"/>
                <w:right w:val="none" w:sz="0" w:space="0" w:color="auto"/>
              </w:divBdr>
            </w:div>
          </w:divsChild>
        </w:div>
        <w:div w:id="1810321305">
          <w:marLeft w:val="0"/>
          <w:marRight w:val="0"/>
          <w:marTop w:val="0"/>
          <w:marBottom w:val="0"/>
          <w:divBdr>
            <w:top w:val="none" w:sz="0" w:space="0" w:color="auto"/>
            <w:left w:val="none" w:sz="0" w:space="0" w:color="auto"/>
            <w:bottom w:val="none" w:sz="0" w:space="0" w:color="auto"/>
            <w:right w:val="none" w:sz="0" w:space="0" w:color="auto"/>
          </w:divBdr>
        </w:div>
      </w:divsChild>
    </w:div>
    <w:div w:id="1012875840">
      <w:bodyDiv w:val="1"/>
      <w:marLeft w:val="0"/>
      <w:marRight w:val="0"/>
      <w:marTop w:val="0"/>
      <w:marBottom w:val="0"/>
      <w:divBdr>
        <w:top w:val="none" w:sz="0" w:space="0" w:color="auto"/>
        <w:left w:val="none" w:sz="0" w:space="0" w:color="auto"/>
        <w:bottom w:val="none" w:sz="0" w:space="0" w:color="auto"/>
        <w:right w:val="none" w:sz="0" w:space="0" w:color="auto"/>
      </w:divBdr>
    </w:div>
    <w:div w:id="1059785609">
      <w:bodyDiv w:val="1"/>
      <w:marLeft w:val="0"/>
      <w:marRight w:val="0"/>
      <w:marTop w:val="0"/>
      <w:marBottom w:val="0"/>
      <w:divBdr>
        <w:top w:val="none" w:sz="0" w:space="0" w:color="auto"/>
        <w:left w:val="none" w:sz="0" w:space="0" w:color="auto"/>
        <w:bottom w:val="none" w:sz="0" w:space="0" w:color="auto"/>
        <w:right w:val="none" w:sz="0" w:space="0" w:color="auto"/>
      </w:divBdr>
    </w:div>
    <w:div w:id="1082987851">
      <w:bodyDiv w:val="1"/>
      <w:marLeft w:val="0"/>
      <w:marRight w:val="0"/>
      <w:marTop w:val="0"/>
      <w:marBottom w:val="0"/>
      <w:divBdr>
        <w:top w:val="none" w:sz="0" w:space="0" w:color="auto"/>
        <w:left w:val="none" w:sz="0" w:space="0" w:color="auto"/>
        <w:bottom w:val="none" w:sz="0" w:space="0" w:color="auto"/>
        <w:right w:val="none" w:sz="0" w:space="0" w:color="auto"/>
      </w:divBdr>
    </w:div>
    <w:div w:id="1143886119">
      <w:bodyDiv w:val="1"/>
      <w:marLeft w:val="0"/>
      <w:marRight w:val="0"/>
      <w:marTop w:val="0"/>
      <w:marBottom w:val="0"/>
      <w:divBdr>
        <w:top w:val="none" w:sz="0" w:space="0" w:color="auto"/>
        <w:left w:val="none" w:sz="0" w:space="0" w:color="auto"/>
        <w:bottom w:val="none" w:sz="0" w:space="0" w:color="auto"/>
        <w:right w:val="none" w:sz="0" w:space="0" w:color="auto"/>
      </w:divBdr>
    </w:div>
    <w:div w:id="1154681298">
      <w:bodyDiv w:val="1"/>
      <w:marLeft w:val="0"/>
      <w:marRight w:val="0"/>
      <w:marTop w:val="0"/>
      <w:marBottom w:val="0"/>
      <w:divBdr>
        <w:top w:val="none" w:sz="0" w:space="0" w:color="auto"/>
        <w:left w:val="none" w:sz="0" w:space="0" w:color="auto"/>
        <w:bottom w:val="none" w:sz="0" w:space="0" w:color="auto"/>
        <w:right w:val="none" w:sz="0" w:space="0" w:color="auto"/>
      </w:divBdr>
    </w:div>
    <w:div w:id="1266158846">
      <w:bodyDiv w:val="1"/>
      <w:marLeft w:val="0"/>
      <w:marRight w:val="0"/>
      <w:marTop w:val="0"/>
      <w:marBottom w:val="0"/>
      <w:divBdr>
        <w:top w:val="none" w:sz="0" w:space="0" w:color="auto"/>
        <w:left w:val="none" w:sz="0" w:space="0" w:color="auto"/>
        <w:bottom w:val="none" w:sz="0" w:space="0" w:color="auto"/>
        <w:right w:val="none" w:sz="0" w:space="0" w:color="auto"/>
      </w:divBdr>
    </w:div>
    <w:div w:id="1304920010">
      <w:bodyDiv w:val="1"/>
      <w:marLeft w:val="0"/>
      <w:marRight w:val="0"/>
      <w:marTop w:val="0"/>
      <w:marBottom w:val="0"/>
      <w:divBdr>
        <w:top w:val="none" w:sz="0" w:space="0" w:color="auto"/>
        <w:left w:val="none" w:sz="0" w:space="0" w:color="auto"/>
        <w:bottom w:val="none" w:sz="0" w:space="0" w:color="auto"/>
        <w:right w:val="none" w:sz="0" w:space="0" w:color="auto"/>
      </w:divBdr>
    </w:div>
    <w:div w:id="1316107117">
      <w:bodyDiv w:val="1"/>
      <w:marLeft w:val="0"/>
      <w:marRight w:val="0"/>
      <w:marTop w:val="0"/>
      <w:marBottom w:val="0"/>
      <w:divBdr>
        <w:top w:val="none" w:sz="0" w:space="0" w:color="auto"/>
        <w:left w:val="none" w:sz="0" w:space="0" w:color="auto"/>
        <w:bottom w:val="none" w:sz="0" w:space="0" w:color="auto"/>
        <w:right w:val="none" w:sz="0" w:space="0" w:color="auto"/>
      </w:divBdr>
    </w:div>
    <w:div w:id="1403522074">
      <w:bodyDiv w:val="1"/>
      <w:marLeft w:val="0"/>
      <w:marRight w:val="0"/>
      <w:marTop w:val="0"/>
      <w:marBottom w:val="0"/>
      <w:divBdr>
        <w:top w:val="none" w:sz="0" w:space="0" w:color="auto"/>
        <w:left w:val="none" w:sz="0" w:space="0" w:color="auto"/>
        <w:bottom w:val="none" w:sz="0" w:space="0" w:color="auto"/>
        <w:right w:val="none" w:sz="0" w:space="0" w:color="auto"/>
      </w:divBdr>
    </w:div>
    <w:div w:id="1465465767">
      <w:bodyDiv w:val="1"/>
      <w:marLeft w:val="0"/>
      <w:marRight w:val="0"/>
      <w:marTop w:val="0"/>
      <w:marBottom w:val="0"/>
      <w:divBdr>
        <w:top w:val="none" w:sz="0" w:space="0" w:color="auto"/>
        <w:left w:val="none" w:sz="0" w:space="0" w:color="auto"/>
        <w:bottom w:val="none" w:sz="0" w:space="0" w:color="auto"/>
        <w:right w:val="none" w:sz="0" w:space="0" w:color="auto"/>
      </w:divBdr>
    </w:div>
    <w:div w:id="1540899357">
      <w:bodyDiv w:val="1"/>
      <w:marLeft w:val="0"/>
      <w:marRight w:val="0"/>
      <w:marTop w:val="0"/>
      <w:marBottom w:val="0"/>
      <w:divBdr>
        <w:top w:val="none" w:sz="0" w:space="0" w:color="auto"/>
        <w:left w:val="none" w:sz="0" w:space="0" w:color="auto"/>
        <w:bottom w:val="none" w:sz="0" w:space="0" w:color="auto"/>
        <w:right w:val="none" w:sz="0" w:space="0" w:color="auto"/>
      </w:divBdr>
    </w:div>
    <w:div w:id="1577473508">
      <w:bodyDiv w:val="1"/>
      <w:marLeft w:val="0"/>
      <w:marRight w:val="0"/>
      <w:marTop w:val="0"/>
      <w:marBottom w:val="0"/>
      <w:divBdr>
        <w:top w:val="none" w:sz="0" w:space="0" w:color="auto"/>
        <w:left w:val="none" w:sz="0" w:space="0" w:color="auto"/>
        <w:bottom w:val="none" w:sz="0" w:space="0" w:color="auto"/>
        <w:right w:val="none" w:sz="0" w:space="0" w:color="auto"/>
      </w:divBdr>
    </w:div>
    <w:div w:id="1641885005">
      <w:bodyDiv w:val="1"/>
      <w:marLeft w:val="0"/>
      <w:marRight w:val="0"/>
      <w:marTop w:val="0"/>
      <w:marBottom w:val="0"/>
      <w:divBdr>
        <w:top w:val="none" w:sz="0" w:space="0" w:color="auto"/>
        <w:left w:val="none" w:sz="0" w:space="0" w:color="auto"/>
        <w:bottom w:val="none" w:sz="0" w:space="0" w:color="auto"/>
        <w:right w:val="none" w:sz="0" w:space="0" w:color="auto"/>
      </w:divBdr>
    </w:div>
    <w:div w:id="1658458298">
      <w:bodyDiv w:val="1"/>
      <w:marLeft w:val="0"/>
      <w:marRight w:val="0"/>
      <w:marTop w:val="0"/>
      <w:marBottom w:val="0"/>
      <w:divBdr>
        <w:top w:val="none" w:sz="0" w:space="0" w:color="auto"/>
        <w:left w:val="none" w:sz="0" w:space="0" w:color="auto"/>
        <w:bottom w:val="none" w:sz="0" w:space="0" w:color="auto"/>
        <w:right w:val="none" w:sz="0" w:space="0" w:color="auto"/>
      </w:divBdr>
    </w:div>
    <w:div w:id="1687904816">
      <w:bodyDiv w:val="1"/>
      <w:marLeft w:val="0"/>
      <w:marRight w:val="0"/>
      <w:marTop w:val="0"/>
      <w:marBottom w:val="0"/>
      <w:divBdr>
        <w:top w:val="none" w:sz="0" w:space="0" w:color="auto"/>
        <w:left w:val="none" w:sz="0" w:space="0" w:color="auto"/>
        <w:bottom w:val="none" w:sz="0" w:space="0" w:color="auto"/>
        <w:right w:val="none" w:sz="0" w:space="0" w:color="auto"/>
      </w:divBdr>
    </w:div>
    <w:div w:id="1706058900">
      <w:bodyDiv w:val="1"/>
      <w:marLeft w:val="0"/>
      <w:marRight w:val="0"/>
      <w:marTop w:val="0"/>
      <w:marBottom w:val="0"/>
      <w:divBdr>
        <w:top w:val="none" w:sz="0" w:space="0" w:color="auto"/>
        <w:left w:val="none" w:sz="0" w:space="0" w:color="auto"/>
        <w:bottom w:val="none" w:sz="0" w:space="0" w:color="auto"/>
        <w:right w:val="none" w:sz="0" w:space="0" w:color="auto"/>
      </w:divBdr>
      <w:divsChild>
        <w:div w:id="1801650538">
          <w:marLeft w:val="0"/>
          <w:marRight w:val="0"/>
          <w:marTop w:val="0"/>
          <w:marBottom w:val="0"/>
          <w:divBdr>
            <w:top w:val="none" w:sz="0" w:space="0" w:color="auto"/>
            <w:left w:val="none" w:sz="0" w:space="0" w:color="auto"/>
            <w:bottom w:val="none" w:sz="0" w:space="0" w:color="auto"/>
            <w:right w:val="none" w:sz="0" w:space="0" w:color="auto"/>
          </w:divBdr>
        </w:div>
        <w:div w:id="1026978903">
          <w:marLeft w:val="0"/>
          <w:marRight w:val="0"/>
          <w:marTop w:val="0"/>
          <w:marBottom w:val="0"/>
          <w:divBdr>
            <w:top w:val="none" w:sz="0" w:space="0" w:color="auto"/>
            <w:left w:val="none" w:sz="0" w:space="0" w:color="auto"/>
            <w:bottom w:val="none" w:sz="0" w:space="0" w:color="auto"/>
            <w:right w:val="none" w:sz="0" w:space="0" w:color="auto"/>
          </w:divBdr>
          <w:divsChild>
            <w:div w:id="355235578">
              <w:marLeft w:val="0"/>
              <w:marRight w:val="0"/>
              <w:marTop w:val="0"/>
              <w:marBottom w:val="0"/>
              <w:divBdr>
                <w:top w:val="none" w:sz="0" w:space="0" w:color="auto"/>
                <w:left w:val="none" w:sz="0" w:space="0" w:color="auto"/>
                <w:bottom w:val="none" w:sz="0" w:space="0" w:color="auto"/>
                <w:right w:val="none" w:sz="0" w:space="0" w:color="auto"/>
              </w:divBdr>
            </w:div>
            <w:div w:id="1992561340">
              <w:marLeft w:val="0"/>
              <w:marRight w:val="0"/>
              <w:marTop w:val="0"/>
              <w:marBottom w:val="0"/>
              <w:divBdr>
                <w:top w:val="none" w:sz="0" w:space="0" w:color="auto"/>
                <w:left w:val="none" w:sz="0" w:space="0" w:color="auto"/>
                <w:bottom w:val="none" w:sz="0" w:space="0" w:color="auto"/>
                <w:right w:val="none" w:sz="0" w:space="0" w:color="auto"/>
              </w:divBdr>
            </w:div>
          </w:divsChild>
        </w:div>
        <w:div w:id="1117993223">
          <w:marLeft w:val="0"/>
          <w:marRight w:val="0"/>
          <w:marTop w:val="0"/>
          <w:marBottom w:val="0"/>
          <w:divBdr>
            <w:top w:val="none" w:sz="0" w:space="0" w:color="auto"/>
            <w:left w:val="none" w:sz="0" w:space="0" w:color="auto"/>
            <w:bottom w:val="none" w:sz="0" w:space="0" w:color="auto"/>
            <w:right w:val="none" w:sz="0" w:space="0" w:color="auto"/>
          </w:divBdr>
        </w:div>
      </w:divsChild>
    </w:div>
    <w:div w:id="1866095434">
      <w:bodyDiv w:val="1"/>
      <w:marLeft w:val="0"/>
      <w:marRight w:val="0"/>
      <w:marTop w:val="0"/>
      <w:marBottom w:val="0"/>
      <w:divBdr>
        <w:top w:val="none" w:sz="0" w:space="0" w:color="auto"/>
        <w:left w:val="none" w:sz="0" w:space="0" w:color="auto"/>
        <w:bottom w:val="none" w:sz="0" w:space="0" w:color="auto"/>
        <w:right w:val="none" w:sz="0" w:space="0" w:color="auto"/>
      </w:divBdr>
    </w:div>
    <w:div w:id="1905799228">
      <w:bodyDiv w:val="1"/>
      <w:marLeft w:val="0"/>
      <w:marRight w:val="0"/>
      <w:marTop w:val="0"/>
      <w:marBottom w:val="0"/>
      <w:divBdr>
        <w:top w:val="none" w:sz="0" w:space="0" w:color="auto"/>
        <w:left w:val="none" w:sz="0" w:space="0" w:color="auto"/>
        <w:bottom w:val="none" w:sz="0" w:space="0" w:color="auto"/>
        <w:right w:val="none" w:sz="0" w:space="0" w:color="auto"/>
      </w:divBdr>
    </w:div>
    <w:div w:id="1931348659">
      <w:bodyDiv w:val="1"/>
      <w:marLeft w:val="0"/>
      <w:marRight w:val="0"/>
      <w:marTop w:val="0"/>
      <w:marBottom w:val="0"/>
      <w:divBdr>
        <w:top w:val="none" w:sz="0" w:space="0" w:color="auto"/>
        <w:left w:val="none" w:sz="0" w:space="0" w:color="auto"/>
        <w:bottom w:val="none" w:sz="0" w:space="0" w:color="auto"/>
        <w:right w:val="none" w:sz="0" w:space="0" w:color="auto"/>
      </w:divBdr>
    </w:div>
    <w:div w:id="1942954970">
      <w:bodyDiv w:val="1"/>
      <w:marLeft w:val="0"/>
      <w:marRight w:val="0"/>
      <w:marTop w:val="0"/>
      <w:marBottom w:val="0"/>
      <w:divBdr>
        <w:top w:val="none" w:sz="0" w:space="0" w:color="auto"/>
        <w:left w:val="none" w:sz="0" w:space="0" w:color="auto"/>
        <w:bottom w:val="none" w:sz="0" w:space="0" w:color="auto"/>
        <w:right w:val="none" w:sz="0" w:space="0" w:color="auto"/>
      </w:divBdr>
    </w:div>
    <w:div w:id="2019842212">
      <w:bodyDiv w:val="1"/>
      <w:marLeft w:val="0"/>
      <w:marRight w:val="0"/>
      <w:marTop w:val="0"/>
      <w:marBottom w:val="0"/>
      <w:divBdr>
        <w:top w:val="none" w:sz="0" w:space="0" w:color="auto"/>
        <w:left w:val="none" w:sz="0" w:space="0" w:color="auto"/>
        <w:bottom w:val="none" w:sz="0" w:space="0" w:color="auto"/>
        <w:right w:val="none" w:sz="0" w:space="0" w:color="auto"/>
      </w:divBdr>
    </w:div>
    <w:div w:id="2103257797">
      <w:bodyDiv w:val="1"/>
      <w:marLeft w:val="0"/>
      <w:marRight w:val="0"/>
      <w:marTop w:val="0"/>
      <w:marBottom w:val="0"/>
      <w:divBdr>
        <w:top w:val="none" w:sz="0" w:space="0" w:color="auto"/>
        <w:left w:val="none" w:sz="0" w:space="0" w:color="auto"/>
        <w:bottom w:val="none" w:sz="0" w:space="0" w:color="auto"/>
        <w:right w:val="none" w:sz="0" w:space="0" w:color="auto"/>
      </w:divBdr>
    </w:div>
    <w:div w:id="2105102139">
      <w:bodyDiv w:val="1"/>
      <w:marLeft w:val="0"/>
      <w:marRight w:val="0"/>
      <w:marTop w:val="0"/>
      <w:marBottom w:val="0"/>
      <w:divBdr>
        <w:top w:val="none" w:sz="0" w:space="0" w:color="auto"/>
        <w:left w:val="none" w:sz="0" w:space="0" w:color="auto"/>
        <w:bottom w:val="none" w:sz="0" w:space="0" w:color="auto"/>
        <w:right w:val="none" w:sz="0" w:space="0" w:color="auto"/>
      </w:divBdr>
    </w:div>
    <w:div w:id="2112889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hyperlink" Target="https://nbviewer.jupyter.org/github/Data-Science-Link/Call_the_Ambulance/blob/master/_Ambulance_Fee_Schedule_Analysis.ipynb"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hyperlink" Target="https://github.com/Data-Science-Link/Call_the_Ambulance" TargetMode="Externa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24E8F2-E576-9542-ABC7-B58DBDA6C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1433</Words>
  <Characters>8171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link</dc:creator>
  <cp:keywords/>
  <dc:description/>
  <cp:lastModifiedBy>michael link</cp:lastModifiedBy>
  <cp:revision>2</cp:revision>
  <dcterms:created xsi:type="dcterms:W3CDTF">2020-09-03T11:36:00Z</dcterms:created>
  <dcterms:modified xsi:type="dcterms:W3CDTF">2020-09-03T11:36:00Z</dcterms:modified>
</cp:coreProperties>
</file>