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行业现状与痛点"/>
    <w:p>
      <w:pPr>
        <w:pStyle w:val="Heading3"/>
      </w:pPr>
      <w:r>
        <w:rPr>
          <w:rFonts w:hint="eastAsia"/>
        </w:rPr>
        <w:t xml:space="preserve">行业现状与痛点</w:t>
      </w:r>
    </w:p>
    <w:p>
      <w:pPr>
        <w:numPr>
          <w:ilvl w:val="0"/>
          <w:numId w:val="1001"/>
        </w:numPr>
      </w:pPr>
      <w:r>
        <w:rPr>
          <w:rFonts w:hint="eastAsia"/>
          <w:b/>
          <w:bCs/>
        </w:rPr>
        <w:t xml:space="preserve">数据集格式不统一</w:t>
      </w:r>
    </w:p>
    <w:p>
      <w:pPr>
        <w:numPr>
          <w:ilvl w:val="1"/>
          <w:numId w:val="1002"/>
        </w:numPr>
      </w:pPr>
      <w:r>
        <w:rPr>
          <w:rFonts w:hint="eastAsia"/>
        </w:rPr>
        <w:t xml:space="preserve">目前，数据集的多样性使得企业、科研机构在使用时需要针对不同的数据格式进行适配和转换。各个机构发布的数据集往往依据各自的需求设定格式，缺乏统一的标准。这种格式的不统一给算法训练带来了极大的不便，增加了数据处理的时间和成本。</w:t>
      </w:r>
    </w:p>
    <w:p>
      <w:pPr>
        <w:numPr>
          <w:ilvl w:val="0"/>
          <w:numId w:val="1001"/>
        </w:numPr>
      </w:pPr>
      <w:r>
        <w:rPr>
          <w:rFonts w:hint="eastAsia"/>
          <w:b/>
          <w:bCs/>
        </w:rPr>
        <w:t xml:space="preserve">数据集的长期利用不足</w:t>
      </w:r>
    </w:p>
    <w:p>
      <w:pPr>
        <w:numPr>
          <w:ilvl w:val="1"/>
          <w:numId w:val="1003"/>
        </w:numPr>
      </w:pPr>
      <w:r>
        <w:rPr>
          <w:rFonts w:hint="eastAsia"/>
        </w:rPr>
        <w:t xml:space="preserve">很多数据集在发布后可能因使用频率低而被闲置，无法发挥其潜在价值。这不仅浪费了宝贵的研究和开发资源，也影响了行业整体的数据共享与复用效率。</w:t>
      </w:r>
    </w:p>
    <w:p>
      <w:pPr>
        <w:numPr>
          <w:ilvl w:val="0"/>
          <w:numId w:val="1001"/>
        </w:numPr>
      </w:pPr>
      <w:r>
        <w:rPr>
          <w:rFonts w:hint="eastAsia"/>
          <w:b/>
          <w:bCs/>
        </w:rPr>
        <w:t xml:space="preserve">算法与数据集的复杂适配</w:t>
      </w:r>
    </w:p>
    <w:p>
      <w:pPr>
        <w:numPr>
          <w:ilvl w:val="1"/>
          <w:numId w:val="1004"/>
        </w:numPr>
      </w:pPr>
      <w:r>
        <w:rPr>
          <w:rFonts w:hint="eastAsia"/>
        </w:rPr>
        <w:t xml:space="preserve">不同的算法对不同的数据集需要进行专门的适配，往往需要手动调整、清洗和预处理数据，这一过程冗长且重复性高，增加了研发的复杂性。同时，算法的部署和环境配置也成为了技术团队的瓶颈。</w:t>
      </w:r>
    </w:p>
    <w:p>
      <w:pPr>
        <w:numPr>
          <w:ilvl w:val="0"/>
          <w:numId w:val="1001"/>
        </w:numPr>
      </w:pPr>
      <w:r>
        <w:rPr>
          <w:rFonts w:hint="eastAsia"/>
          <w:b/>
          <w:bCs/>
        </w:rPr>
        <w:t xml:space="preserve">算力资源的分散与环境搭建复杂</w:t>
      </w:r>
    </w:p>
    <w:p>
      <w:pPr>
        <w:numPr>
          <w:ilvl w:val="1"/>
          <w:numId w:val="1005"/>
        </w:numPr>
      </w:pPr>
      <w:r>
        <w:rPr>
          <w:rFonts w:hint="eastAsia"/>
        </w:rPr>
        <w:t xml:space="preserve">算力需求日益增长，但用户往往需要依赖第三方平台租赁服务器或云计算资源。这导致用户在进行AI模型训练时，需要在多个平台之间进行切换。搭建合适的运行环境不仅需要较高的技术门槛，时间成本也非常高，进一步降低了开发效率。</w:t>
      </w:r>
    </w:p>
    <w:p>
      <w:r>
        <w:pict>
          <v:rect style="width:0;height:1.5pt" o:hralign="center" o:hrstd="t" o:hr="t"/>
        </w:pict>
      </w:r>
    </w:p>
    <w:bookmarkEnd w:id="20"/>
    <w:bookmarkStart w:id="21" w:name="公司目标"/>
    <w:p>
      <w:pPr>
        <w:pStyle w:val="Heading3"/>
      </w:pPr>
      <w:r>
        <w:rPr>
          <w:rFonts w:hint="eastAsia"/>
        </w:rPr>
        <w:t xml:space="preserve">公司目标</w:t>
      </w:r>
    </w:p>
    <w:p>
      <w:pPr>
        <w:numPr>
          <w:ilvl w:val="0"/>
          <w:numId w:val="1006"/>
        </w:numPr>
      </w:pPr>
      <w:r>
        <w:rPr>
          <w:rFonts w:hint="eastAsia"/>
          <w:b/>
          <w:bCs/>
        </w:rPr>
        <w:t xml:space="preserve">打造一站式AI训练平台</w:t>
      </w:r>
    </w:p>
    <w:p>
      <w:pPr>
        <w:numPr>
          <w:ilvl w:val="1"/>
          <w:numId w:val="1007"/>
        </w:numPr>
      </w:pPr>
      <w:r>
        <w:rPr>
          <w:rFonts w:hint="eastAsia"/>
        </w:rPr>
        <w:t xml:space="preserve">我们的目标是打通数据、算法、算力三者之间的壁垒，提供一个集数据管理、算法适配、算力资源于一体的服务平台，简化AI训练过程。用户可以在平台上轻松实现任意数据集与任意算法的快速匹配与部署，大幅度提高开发效率。</w:t>
      </w:r>
    </w:p>
    <w:p>
      <w:pPr>
        <w:numPr>
          <w:ilvl w:val="0"/>
          <w:numId w:val="1006"/>
        </w:numPr>
      </w:pPr>
      <w:r>
        <w:rPr>
          <w:rFonts w:hint="eastAsia"/>
          <w:b/>
          <w:bCs/>
        </w:rPr>
        <w:t xml:space="preserve">制定统一数据集标准</w:t>
      </w:r>
    </w:p>
    <w:p>
      <w:pPr>
        <w:numPr>
          <w:ilvl w:val="1"/>
          <w:numId w:val="1008"/>
        </w:numPr>
      </w:pPr>
      <w:r>
        <w:rPr>
          <w:rFonts w:hint="eastAsia"/>
        </w:rPr>
        <w:t xml:space="preserve">我们将制定统一的数据集格式标准，使不同机构的数据可以高效互通与共享，避免数据适配的重复工作。通过标准化的格式，用户能够更便捷地使用各种公开或私有数据集，推动数据的高效利用和价值最大化。</w:t>
      </w:r>
    </w:p>
    <w:p>
      <w:pPr>
        <w:numPr>
          <w:ilvl w:val="0"/>
          <w:numId w:val="1006"/>
        </w:numPr>
      </w:pPr>
      <w:r>
        <w:rPr>
          <w:rFonts w:hint="eastAsia"/>
          <w:b/>
          <w:bCs/>
        </w:rPr>
        <w:t xml:space="preserve">一键部署任意算法</w:t>
      </w:r>
    </w:p>
    <w:p>
      <w:pPr>
        <w:numPr>
          <w:ilvl w:val="1"/>
          <w:numId w:val="1009"/>
        </w:numPr>
      </w:pPr>
      <w:r>
        <w:rPr>
          <w:rFonts w:hint="eastAsia"/>
        </w:rPr>
        <w:t xml:space="preserve">我们平台提供任意算法的一键部署功能，自动适配算法与数据集，简化AI开发人员的工作流程。用户无需在算法调试上花费大量时间，即可快速验证和运行模型。</w:t>
      </w:r>
    </w:p>
    <w:p>
      <w:pPr>
        <w:numPr>
          <w:ilvl w:val="0"/>
          <w:numId w:val="1006"/>
        </w:numPr>
      </w:pPr>
      <w:r>
        <w:rPr>
          <w:rFonts w:hint="eastAsia"/>
          <w:b/>
          <w:bCs/>
        </w:rPr>
        <w:t xml:space="preserve">提供灵活的算力资源</w:t>
      </w:r>
    </w:p>
    <w:p>
      <w:pPr>
        <w:numPr>
          <w:ilvl w:val="1"/>
          <w:numId w:val="1010"/>
        </w:numPr>
      </w:pPr>
      <w:r>
        <w:rPr>
          <w:rFonts w:hint="eastAsia"/>
        </w:rPr>
        <w:t xml:space="preserve">我们将提供便捷的服务器租赁服务，确保用户能够根据实际需求灵活获取算力资源，无需额外寻找外部供应商。平台内置的算力资源与算法部署环境高度集成，用户可以在几分钟内完成环境配置，快速开始训练任务。</w:t>
      </w:r>
    </w:p>
    <w:p>
      <w:pPr>
        <w:numPr>
          <w:ilvl w:val="0"/>
          <w:numId w:val="1006"/>
        </w:numPr>
      </w:pPr>
      <w:r>
        <w:rPr>
          <w:rFonts w:hint="eastAsia"/>
          <w:b/>
          <w:bCs/>
        </w:rPr>
        <w:t xml:space="preserve">推动AI行业效率提升</w:t>
      </w:r>
    </w:p>
    <w:p>
      <w:pPr>
        <w:numPr>
          <w:ilvl w:val="1"/>
          <w:numId w:val="1011"/>
        </w:numPr>
      </w:pPr>
      <w:r>
        <w:rPr>
          <w:rFonts w:hint="eastAsia"/>
        </w:rPr>
        <w:t xml:space="preserve">通过集成数据、算法、算力三大核心资源，我们的目标是降低AI开发和研究的门槛，帮助企业和科研机构更高效地完成AI训练任务，推动整个行业的创新与发展。</w:t>
      </w:r>
    </w:p>
    <w:p>
      <w:r>
        <w:pict>
          <v:rect style="width:0;height:1.5pt" o:hralign="center" o:hrstd="t" o:hr="t"/>
        </w:pict>
      </w:r>
    </w:p>
    <w:bookmarkEnd w:id="21"/>
    <w:bookmarkStart w:id="34" w:name="团队成果"/>
    <w:p>
      <w:pPr>
        <w:pStyle w:val="Heading3"/>
      </w:pPr>
      <w:r>
        <w:rPr>
          <w:rFonts w:hint="eastAsia"/>
        </w:rPr>
        <w:t xml:space="preserve">团队成果</w:t>
      </w:r>
    </w:p>
    <w:p>
      <w:pPr>
        <w:numPr>
          <w:ilvl w:val="0"/>
          <w:numId w:val="1012"/>
        </w:numPr>
      </w:pPr>
      <w:r>
        <w:rPr>
          <w:rFonts w:hint="eastAsia"/>
          <w:b/>
          <w:bCs/>
        </w:rPr>
        <w:t xml:space="preserve">数据集格式转换的成功实践</w:t>
      </w:r>
    </w:p>
    <w:p>
      <w:pPr>
        <w:numPr>
          <w:ilvl w:val="1"/>
          <w:numId w:val="1013"/>
        </w:numPr>
      </w:pPr>
      <w:r>
        <w:rPr>
          <w:rFonts w:hint="eastAsia"/>
        </w:rPr>
        <w:t xml:space="preserve">我们团队基于开源框架</w:t>
      </w:r>
      <w:r>
        <w:t xml:space="preserve"> </w:t>
      </w:r>
      <w:r>
        <w:rPr>
          <w:b/>
          <w:bCs/>
        </w:rPr>
        <w:t xml:space="preserve">xviz</w:t>
      </w:r>
      <w:r>
        <w:rPr>
          <w:rFonts w:hint="eastAsia"/>
        </w:rPr>
        <w:t xml:space="preserve">，已经成功完成了对</w:t>
      </w:r>
      <w:r>
        <w:t xml:space="preserve"> </w:t>
      </w:r>
      <w:r>
        <w:rPr>
          <w:b/>
          <w:bCs/>
        </w:rPr>
        <w:t xml:space="preserve">Kitti</w:t>
      </w:r>
      <w:r>
        <w:t xml:space="preserve"> </w:t>
      </w:r>
      <w:r>
        <w:rPr>
          <w:rFonts w:hint="eastAsia"/>
        </w:rPr>
        <w:t xml:space="preserve">和</w:t>
      </w:r>
      <w:r>
        <w:t xml:space="preserve"> </w:t>
      </w:r>
      <w:r>
        <w:rPr>
          <w:b/>
          <w:bCs/>
        </w:rPr>
        <w:t xml:space="preserve">nuScenes</w:t>
      </w:r>
      <w:r>
        <w:t xml:space="preserve"> </w:t>
      </w:r>
      <w:r>
        <w:rPr>
          <w:rFonts w:hint="eastAsia"/>
        </w:rPr>
        <w:t xml:space="preserve">数据集的格式转换工作。这一成果展示了我们团队在数据标准化方面的技术能力，为实现数据集的统一格式打下了坚实的基础。这一转换的实践极大简化了不同数据集在算法训练中的适配过程。</w:t>
      </w:r>
    </w:p>
    <w:p>
      <w:pPr>
        <w:numPr>
          <w:ilvl w:val="1"/>
          <w:numId w:val="1000"/>
        </w:numPr>
      </w:pPr>
      <w:r>
        <w:drawing>
          <wp:inline>
            <wp:extent cx="3234978" cy="5524820"/>
            <wp:effectExtent b="0" l="0" r="0" t="0"/>
            <wp:docPr descr="" title="fig:" id="23" name="Picture"/>
            <a:graphic>
              <a:graphicData uri="http://schemas.openxmlformats.org/drawingml/2006/picture">
                <pic:pic>
                  <pic:nvPicPr>
                    <pic:cNvPr descr="C:\Users\uncle\OneDrive\docs\tongji\S3_1\Software-Engineering\Project\bp-stage\kitti-structure.png" id="24" name="Picture"/>
                    <pic:cNvPicPr>
                      <a:picLocks noChangeArrowheads="1" noChangeAspect="1"/>
                    </pic:cNvPicPr>
                  </pic:nvPicPr>
                  <pic:blipFill>
                    <a:blip r:embed="rId22"/>
                    <a:stretch>
                      <a:fillRect/>
                    </a:stretch>
                  </pic:blipFill>
                  <pic:spPr bwMode="auto">
                    <a:xfrm>
                      <a:off x="0" y="0"/>
                      <a:ext cx="3234978" cy="5524820"/>
                    </a:xfrm>
                    <a:prstGeom prst="rect">
                      <a:avLst/>
                    </a:prstGeom>
                    <a:noFill/>
                    <a:ln w="9525">
                      <a:noFill/>
                      <a:headEnd/>
                      <a:tailEnd/>
                    </a:ln>
                  </pic:spPr>
                </pic:pic>
              </a:graphicData>
            </a:graphic>
          </wp:inline>
        </w:drawing>
      </w:r>
    </w:p>
    <w:p>
      <w:pPr>
        <w:numPr>
          <w:ilvl w:val="1"/>
          <w:numId w:val="1000"/>
        </w:numPr>
      </w:pPr>
      <w:r>
        <w:drawing>
          <wp:inline>
            <wp:extent cx="1705855" cy="7576457"/>
            <wp:effectExtent b="0" l="0" r="0" t="0"/>
            <wp:docPr descr="" title="fig:" id="26" name="Picture"/>
            <a:graphic>
              <a:graphicData uri="http://schemas.openxmlformats.org/drawingml/2006/picture">
                <pic:pic>
                  <pic:nvPicPr>
                    <pic:cNvPr descr="C:\Users\uncle\OneDrive\docs\tongji\S3_1\Software-Engineering\Project\bp-stage\nuScene-structure.png" id="27" name="Picture"/>
                    <pic:cNvPicPr>
                      <a:picLocks noChangeArrowheads="1" noChangeAspect="1"/>
                    </pic:cNvPicPr>
                  </pic:nvPicPr>
                  <pic:blipFill>
                    <a:blip r:embed="rId25"/>
                    <a:stretch>
                      <a:fillRect/>
                    </a:stretch>
                  </pic:blipFill>
                  <pic:spPr bwMode="auto">
                    <a:xfrm>
                      <a:off x="0" y="0"/>
                      <a:ext cx="1705855" cy="7576457"/>
                    </a:xfrm>
                    <a:prstGeom prst="rect">
                      <a:avLst/>
                    </a:prstGeom>
                    <a:noFill/>
                    <a:ln w="9525">
                      <a:noFill/>
                      <a:headEnd/>
                      <a:tailEnd/>
                    </a:ln>
                  </pic:spPr>
                </pic:pic>
              </a:graphicData>
            </a:graphic>
          </wp:inline>
        </w:drawing>
      </w:r>
    </w:p>
    <w:p>
      <w:pPr>
        <w:numPr>
          <w:ilvl w:val="0"/>
          <w:numId w:val="1012"/>
        </w:numPr>
      </w:pPr>
      <w:r>
        <w:rPr>
          <w:rFonts w:hint="eastAsia"/>
          <w:b/>
          <w:bCs/>
        </w:rPr>
        <w:t xml:space="preserve">数据集可视化工具的开发</w:t>
      </w:r>
    </w:p>
    <w:p>
      <w:pPr>
        <w:numPr>
          <w:ilvl w:val="1"/>
          <w:numId w:val="1014"/>
        </w:numPr>
      </w:pPr>
      <w:r>
        <w:rPr>
          <w:rFonts w:hint="eastAsia"/>
        </w:rPr>
        <w:t xml:space="preserve">为了更好地展示和分析数据，我们利用</w:t>
      </w:r>
      <w:r>
        <w:t xml:space="preserve"> </w:t>
      </w:r>
      <w:r>
        <w:rPr>
          <w:b/>
          <w:bCs/>
        </w:rPr>
        <w:t xml:space="preserve">streetscape.gl</w:t>
      </w:r>
      <w:r>
        <w:t xml:space="preserve"> </w:t>
      </w:r>
      <w:r>
        <w:rPr>
          <w:rFonts w:hint="eastAsia"/>
        </w:rPr>
        <w:t xml:space="preserve">开源工具对</w:t>
      </w:r>
      <w:r>
        <w:t xml:space="preserve"> Kitti </w:t>
      </w:r>
      <w:r>
        <w:rPr>
          <w:rFonts w:hint="eastAsia"/>
        </w:rPr>
        <w:t xml:space="preserve">和</w:t>
      </w:r>
      <w:r>
        <w:t xml:space="preserve"> nuScenes </w:t>
      </w:r>
      <w:r>
        <w:rPr>
          <w:rFonts w:hint="eastAsia"/>
        </w:rPr>
        <w:t xml:space="preserve">数据集进行了可视化处理。通过这一工具，用户能够直观地查看和分析数据，为后续算法训练和调优提供了重要的支持。</w:t>
      </w:r>
    </w:p>
    <w:p>
      <w:pPr>
        <w:numPr>
          <w:ilvl w:val="1"/>
          <w:numId w:val="1000"/>
        </w:numPr>
      </w:pPr>
      <w:r>
        <w:drawing>
          <wp:inline>
            <wp:extent cx="5334000" cy="3201997"/>
            <wp:effectExtent b="0" l="0" r="0" t="0"/>
            <wp:docPr descr="" title="fig:" id="29" name="Picture"/>
            <a:graphic>
              <a:graphicData uri="http://schemas.openxmlformats.org/drawingml/2006/picture">
                <pic:pic>
                  <pic:nvPicPr>
                    <pic:cNvPr descr="C:\Users\uncle\OneDrive\docs\tongji\S3_1\Software-Engineering\Project\bp-stage\dataset-viz.png" id="30" name="Picture"/>
                    <pic:cNvPicPr>
                      <a:picLocks noChangeArrowheads="1" noChangeAspect="1"/>
                    </pic:cNvPicPr>
                  </pic:nvPicPr>
                  <pic:blipFill>
                    <a:blip r:embed="rId28"/>
                    <a:stretch>
                      <a:fillRect/>
                    </a:stretch>
                  </pic:blipFill>
                  <pic:spPr bwMode="auto">
                    <a:xfrm>
                      <a:off x="0" y="0"/>
                      <a:ext cx="5334000" cy="3201997"/>
                    </a:xfrm>
                    <a:prstGeom prst="rect">
                      <a:avLst/>
                    </a:prstGeom>
                    <a:noFill/>
                    <a:ln w="9525">
                      <a:noFill/>
                      <a:headEnd/>
                      <a:tailEnd/>
                    </a:ln>
                  </pic:spPr>
                </pic:pic>
              </a:graphicData>
            </a:graphic>
          </wp:inline>
        </w:drawing>
      </w:r>
    </w:p>
    <w:p>
      <w:pPr>
        <w:numPr>
          <w:ilvl w:val="0"/>
          <w:numId w:val="1012"/>
        </w:numPr>
      </w:pPr>
      <w:r>
        <w:rPr>
          <w:rFonts w:hint="eastAsia"/>
          <w:b/>
          <w:bCs/>
        </w:rPr>
        <w:t xml:space="preserve">公司网站初步实现</w:t>
      </w:r>
    </w:p>
    <w:p>
      <w:pPr>
        <w:numPr>
          <w:ilvl w:val="1"/>
          <w:numId w:val="1015"/>
        </w:numPr>
      </w:pPr>
      <w:r>
        <w:rPr>
          <w:rFonts w:hint="eastAsia"/>
        </w:rPr>
        <w:t xml:space="preserve">我们团队已经初步设计并实现了公司官网的开发，网站功能包括平台介绍、数据集转换和算法部署的展示。网站的开发为我们后续服务平台的上线打下了基础，未来将进一步扩展功能，支持用户在线使用我们的核心产品。</w:t>
      </w:r>
    </w:p>
    <w:p>
      <w:pPr>
        <w:numPr>
          <w:ilvl w:val="1"/>
          <w:numId w:val="1000"/>
        </w:numPr>
      </w:pPr>
      <w:r>
        <w:drawing>
          <wp:inline>
            <wp:extent cx="5334000" cy="2766527"/>
            <wp:effectExtent b="0" l="0" r="0" t="0"/>
            <wp:docPr descr="" title="fig:" id="32" name="Picture"/>
            <a:graphic>
              <a:graphicData uri="http://schemas.openxmlformats.org/drawingml/2006/picture">
                <pic:pic>
                  <pic:nvPicPr>
                    <pic:cNvPr descr="C:\Users\uncle\OneDrive\docs\tongji\S3_1\Software-Engineering\Project\bp-stage\website.png" id="33" name="Picture"/>
                    <pic:cNvPicPr>
                      <a:picLocks noChangeArrowheads="1" noChangeAspect="1"/>
                    </pic:cNvPicPr>
                  </pic:nvPicPr>
                  <pic:blipFill>
                    <a:blip r:embed="rId31"/>
                    <a:stretch>
                      <a:fillRect/>
                    </a:stretch>
                  </pic:blipFill>
                  <pic:spPr bwMode="auto">
                    <a:xfrm>
                      <a:off x="0" y="0"/>
                      <a:ext cx="5334000" cy="2766527"/>
                    </a:xfrm>
                    <a:prstGeom prst="rect">
                      <a:avLst/>
                    </a:prstGeom>
                    <a:noFill/>
                    <a:ln w="9525">
                      <a:noFill/>
                      <a:headEnd/>
                      <a:tailEnd/>
                    </a:ln>
                  </pic:spPr>
                </pic:pic>
              </a:graphicData>
            </a:graphic>
          </wp:inline>
        </w:drawing>
      </w:r>
    </w:p>
    <w:p>
      <w:pPr>
        <w:pStyle w:val="FirstParagraph"/>
      </w:pPr>
      <w:r>
        <w:rPr>
          <w:rFonts w:hint="eastAsia"/>
        </w:rPr>
        <w:t xml:space="preserve">这些成果展示了我们团队在数据处理、算法开发和前端展示方面的综合能力，同时也为我们实现一站式AI训练平台的目标奠定了技术基础。</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2024-09-11T13:19:18Z</dcterms:created>
  <dcterms:modified xsi:type="dcterms:W3CDTF">2024-09-11T13:19:18Z</dcterms:modified>
</cp:coreProperties>
</file>

<file path=docProps/custom.xml><?xml version="1.0" encoding="utf-8"?>
<Properties xmlns="http://schemas.openxmlformats.org/officeDocument/2006/custom-properties" xmlns:vt="http://schemas.openxmlformats.org/officeDocument/2006/docPropsVTypes"/>
</file>