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8752" w14:textId="77777777"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Integrated Analysis of Voter Turnout, Employment, Age, and Education in Slovakia</w:t>
      </w:r>
    </w:p>
    <w:p w14:paraId="26F5A635" w14:textId="07BB24D8" w:rsidR="00111C47" w:rsidRPr="00111C47" w:rsidRDefault="00111C47" w:rsidP="00111C47">
      <w:pPr>
        <w:rPr>
          <w:rFonts w:ascii="Times New Roman" w:hAnsi="Times New Roman" w:cs="Times New Roman"/>
        </w:rPr>
      </w:pPr>
      <w:r w:rsidRPr="00111C47">
        <w:rPr>
          <w:rFonts w:ascii="Times New Roman" w:hAnsi="Times New Roman" w:cs="Times New Roman"/>
        </w:rPr>
        <w:t>This analysis is based on four visual datasets: voter turnout (perc_volby.png), employment distribution (map_jobs_popul.png), age structure (map_ages_popul.png), and education levels (map_title_popul.png). Together, these maps help explain the different factors that influence how people across Slovakia participate in elections.</w:t>
      </w:r>
    </w:p>
    <w:p w14:paraId="38F5FA86" w14:textId="77777777"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1. Geographic Distribution of Voter Turnout</w:t>
      </w:r>
    </w:p>
    <w:p w14:paraId="4F98B428"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 xml:space="preserve">The voter turnout map shows clear regional differences. Voter turnout is generally higher in Eastern Slovakia. In contrast, the southwest has lower turnout, which may be caused by younger populations, higher migration, or economic instability linked to more urbanized areas. Urbanization appears to affect voting </w:t>
      </w:r>
      <w:proofErr w:type="spellStart"/>
      <w:r w:rsidRPr="00111C47">
        <w:rPr>
          <w:rFonts w:ascii="Times New Roman" w:hAnsi="Times New Roman" w:cs="Times New Roman"/>
        </w:rPr>
        <w:t>behavior</w:t>
      </w:r>
      <w:proofErr w:type="spellEnd"/>
      <w:r w:rsidRPr="00111C47">
        <w:rPr>
          <w:rFonts w:ascii="Times New Roman" w:hAnsi="Times New Roman" w:cs="Times New Roman"/>
        </w:rPr>
        <w:t>, but there is limited evidence connecting election administration differences to turnout rates in Slovakia.</w:t>
      </w:r>
    </w:p>
    <w:p w14:paraId="43BEA657" w14:textId="5B3D9F56" w:rsidR="00111C47" w:rsidRPr="00111C47" w:rsidRDefault="00111C47" w:rsidP="00111C47">
      <w:pPr>
        <w:rPr>
          <w:rFonts w:ascii="Times New Roman" w:hAnsi="Times New Roman" w:cs="Times New Roman"/>
        </w:rPr>
      </w:pPr>
      <w:r w:rsidRPr="00111C47">
        <w:rPr>
          <w:rFonts w:ascii="Times New Roman" w:hAnsi="Times New Roman" w:cs="Times New Roman"/>
        </w:rPr>
        <w:t xml:space="preserve">Source: </w:t>
      </w:r>
      <w:hyperlink r:id="rId5" w:tgtFrame="_new" w:history="1">
        <w:proofErr w:type="spellStart"/>
        <w:r w:rsidRPr="00111C47">
          <w:rPr>
            <w:rStyle w:val="ad"/>
            <w:rFonts w:ascii="Times New Roman" w:hAnsi="Times New Roman" w:cs="Times New Roman"/>
          </w:rPr>
          <w:t>Plesivcak</w:t>
        </w:r>
        <w:proofErr w:type="spellEnd"/>
        <w:r w:rsidRPr="00111C47">
          <w:rPr>
            <w:rStyle w:val="ad"/>
            <w:rFonts w:ascii="Times New Roman" w:hAnsi="Times New Roman" w:cs="Times New Roman"/>
          </w:rPr>
          <w:t xml:space="preserve"> – AUPO </w:t>
        </w:r>
        <w:proofErr w:type="spellStart"/>
        <w:r w:rsidRPr="00111C47">
          <w:rPr>
            <w:rStyle w:val="ad"/>
            <w:rFonts w:ascii="Times New Roman" w:hAnsi="Times New Roman" w:cs="Times New Roman"/>
          </w:rPr>
          <w:t>Geographica</w:t>
        </w:r>
        <w:proofErr w:type="spellEnd"/>
      </w:hyperlink>
    </w:p>
    <w:p w14:paraId="040034BF" w14:textId="77777777"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2. Employment and Turnout</w:t>
      </w:r>
    </w:p>
    <w:p w14:paraId="30A4BC92" w14:textId="092B0C92" w:rsidR="00111C47" w:rsidRPr="00111C47" w:rsidRDefault="00111C47" w:rsidP="00111C47">
      <w:pPr>
        <w:rPr>
          <w:rFonts w:ascii="Times New Roman" w:hAnsi="Times New Roman" w:cs="Times New Roman"/>
        </w:rPr>
      </w:pPr>
      <w:r w:rsidRPr="00111C47">
        <w:rPr>
          <w:rFonts w:ascii="Times New Roman" w:hAnsi="Times New Roman" w:cs="Times New Roman"/>
        </w:rPr>
        <w:t>The employment map shows that most areas are made up of people with salaried jobs. Interestingly, there is no direct connection between employment type and voter turnout. In some regions with high unemployment or many non-regular workers, turnout still remains high. This unusual trend might be explained by stronger political mobilization among people who are economically vulnerable.</w:t>
      </w:r>
    </w:p>
    <w:p w14:paraId="3AE30BC0" w14:textId="77777777"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3. Age Structure and Voter Participation</w:t>
      </w:r>
    </w:p>
    <w:p w14:paraId="33468F01"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The age distribution map highlights how age impacts voter turnout. Regions with more older people (especially those aged 45–59 and above) tend to have higher turnout. This supports well-known patterns: older citizens are more likely to vote, often due to habit and a sense of civic responsibility. On the other hand, areas with a high number of young people (ages 15–29) or many children tend to show lower turnout rates.</w:t>
      </w:r>
    </w:p>
    <w:p w14:paraId="34E8F36E"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Sources:</w:t>
      </w:r>
    </w:p>
    <w:p w14:paraId="1808B773" w14:textId="4F1A6F3D" w:rsidR="00111C47" w:rsidRPr="00111C47" w:rsidRDefault="00111C47" w:rsidP="00111C47">
      <w:pPr>
        <w:numPr>
          <w:ilvl w:val="0"/>
          <w:numId w:val="13"/>
        </w:numPr>
        <w:rPr>
          <w:rFonts w:ascii="Times New Roman" w:hAnsi="Times New Roman" w:cs="Times New Roman"/>
          <w:b/>
          <w:bCs/>
        </w:rPr>
      </w:pPr>
      <w:hyperlink r:id="rId6" w:history="1">
        <w:r w:rsidRPr="007A7229">
          <w:rPr>
            <w:rStyle w:val="ad"/>
            <w:rFonts w:ascii="Times New Roman" w:hAnsi="Times New Roman" w:cs="Times New Roman"/>
          </w:rPr>
          <w:t>https://</w:t>
        </w:r>
        <w:r w:rsidRPr="007A7229">
          <w:rPr>
            <w:rStyle w:val="ad"/>
            <w:rFonts w:ascii="Times New Roman" w:hAnsi="Times New Roman" w:cs="Times New Roman"/>
            <w:b/>
            <w:bCs/>
          </w:rPr>
          <w:t>pure.mpg.de</w:t>
        </w:r>
        <w:r w:rsidRPr="007A7229">
          <w:rPr>
            <w:rStyle w:val="ad"/>
            <w:rFonts w:ascii="Times New Roman" w:hAnsi="Times New Roman" w:cs="Times New Roman"/>
          </w:rPr>
          <w:t>/rest/items/item_1233128_7/component/file_1611181/content</w:t>
        </w:r>
      </w:hyperlink>
    </w:p>
    <w:p w14:paraId="449CBEB2" w14:textId="19B6E1FF" w:rsidR="00111C47" w:rsidRPr="00111C47" w:rsidRDefault="00111C47" w:rsidP="00111C47">
      <w:pPr>
        <w:numPr>
          <w:ilvl w:val="0"/>
          <w:numId w:val="13"/>
        </w:numPr>
        <w:rPr>
          <w:rFonts w:ascii="Times New Roman" w:hAnsi="Times New Roman" w:cs="Times New Roman"/>
          <w:b/>
          <w:bCs/>
        </w:rPr>
      </w:pPr>
      <w:hyperlink r:id="rId7" w:tgtFrame="_new" w:history="1">
        <w:r w:rsidRPr="00111C47">
          <w:rPr>
            <w:rStyle w:val="ad"/>
            <w:rFonts w:ascii="Times New Roman" w:hAnsi="Times New Roman" w:cs="Times New Roman"/>
          </w:rPr>
          <w:t>Wiley Online Library</w:t>
        </w:r>
      </w:hyperlink>
    </w:p>
    <w:p w14:paraId="323805B2" w14:textId="77777777" w:rsidR="00111C47" w:rsidRDefault="00111C47" w:rsidP="00111C47">
      <w:pPr>
        <w:rPr>
          <w:rFonts w:ascii="Times New Roman" w:hAnsi="Times New Roman" w:cs="Times New Roman"/>
        </w:rPr>
      </w:pPr>
    </w:p>
    <w:p w14:paraId="00BF4E43" w14:textId="4C4C9D36"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4. Education and Electoral Engagement</w:t>
      </w:r>
    </w:p>
    <w:p w14:paraId="462A14DD"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In some regions, areas with more people who only have basic education show higher voter turnout. This may reflect a strong tradition of social mobilization, where elections are seen as a way to improve life conditions. However, in places with more highly educated people, turnout can be slightly lower. This may be because they take a more selective or critical approach to voting. Overall, the relationship between education, age, and economic conditions is complex and affects turnout in different ways.</w:t>
      </w:r>
    </w:p>
    <w:p w14:paraId="576F48CA"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pict w14:anchorId="5626F005">
          <v:rect id="_x0000_i1065" style="width:0;height:1.5pt" o:hralign="center" o:hrstd="t" o:hr="t" fillcolor="#a0a0a0" stroked="f"/>
        </w:pict>
      </w:r>
    </w:p>
    <w:p w14:paraId="63483EE7"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lastRenderedPageBreak/>
        <w:t>5. Overall Conclusions and Future Directions</w:t>
      </w:r>
    </w:p>
    <w:p w14:paraId="65A215BB"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To sum up, the analysis of these maps shows that voter turnout in Slovakia is shaped by several connected factors:</w:t>
      </w:r>
    </w:p>
    <w:p w14:paraId="1628A3C4" w14:textId="77777777" w:rsidR="00111C47" w:rsidRPr="00111C47" w:rsidRDefault="00111C47" w:rsidP="00111C47">
      <w:pPr>
        <w:numPr>
          <w:ilvl w:val="0"/>
          <w:numId w:val="14"/>
        </w:numPr>
        <w:rPr>
          <w:rFonts w:ascii="Times New Roman" w:hAnsi="Times New Roman" w:cs="Times New Roman"/>
        </w:rPr>
      </w:pPr>
      <w:r w:rsidRPr="00111C47">
        <w:rPr>
          <w:rFonts w:ascii="Times New Roman" w:hAnsi="Times New Roman" w:cs="Times New Roman"/>
        </w:rPr>
        <w:t>Age is the most important predictor: older people are more likely to vote.</w:t>
      </w:r>
    </w:p>
    <w:p w14:paraId="301F6135" w14:textId="77777777" w:rsidR="00111C47" w:rsidRPr="00111C47" w:rsidRDefault="00111C47" w:rsidP="00111C47">
      <w:pPr>
        <w:numPr>
          <w:ilvl w:val="0"/>
          <w:numId w:val="14"/>
        </w:numPr>
        <w:rPr>
          <w:rFonts w:ascii="Times New Roman" w:hAnsi="Times New Roman" w:cs="Times New Roman"/>
        </w:rPr>
      </w:pPr>
      <w:r w:rsidRPr="00111C47">
        <w:rPr>
          <w:rFonts w:ascii="Times New Roman" w:hAnsi="Times New Roman" w:cs="Times New Roman"/>
        </w:rPr>
        <w:t>Employment status does not clearly predict turnout, but economic hardship may lead to greater political activity.</w:t>
      </w:r>
    </w:p>
    <w:p w14:paraId="58FABE28" w14:textId="0CABB2B9" w:rsidR="00111C47" w:rsidRPr="00111C47" w:rsidRDefault="00111C47" w:rsidP="00111C47">
      <w:pPr>
        <w:numPr>
          <w:ilvl w:val="0"/>
          <w:numId w:val="14"/>
        </w:numPr>
        <w:rPr>
          <w:rFonts w:ascii="Times New Roman" w:hAnsi="Times New Roman" w:cs="Times New Roman"/>
        </w:rPr>
      </w:pPr>
      <w:r w:rsidRPr="00111C47">
        <w:rPr>
          <w:rFonts w:ascii="Times New Roman" w:hAnsi="Times New Roman" w:cs="Times New Roman"/>
        </w:rPr>
        <w:t>Education affects turnout in different ways depending on other social and demographic factors.</w:t>
      </w:r>
    </w:p>
    <w:p w14:paraId="265DFBAB" w14:textId="77777777" w:rsidR="00111C47" w:rsidRPr="00111C47" w:rsidRDefault="00111C47" w:rsidP="00111C47">
      <w:pPr>
        <w:rPr>
          <w:rFonts w:ascii="Times New Roman" w:hAnsi="Times New Roman" w:cs="Times New Roman"/>
          <w:b/>
          <w:bCs/>
        </w:rPr>
      </w:pPr>
      <w:r w:rsidRPr="00111C47">
        <w:rPr>
          <w:rFonts w:ascii="Times New Roman" w:hAnsi="Times New Roman" w:cs="Times New Roman"/>
          <w:b/>
          <w:bCs/>
        </w:rPr>
        <w:t>General Conclusion:</w:t>
      </w:r>
    </w:p>
    <w:p w14:paraId="7E8CA19D"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The analysis shows that many factors together influence voter turnout in Slovakia. The most important one is age—older people tend to take elections more seriously. This is supported by both map observations and data analysis using statistical tools like correlation and regression. Employment had a less clear effect, while education interacted in more complex ways with other social factors.</w:t>
      </w:r>
    </w:p>
    <w:p w14:paraId="742103B6" w14:textId="77777777" w:rsidR="00111C47" w:rsidRPr="00111C47" w:rsidRDefault="00111C47" w:rsidP="00111C47">
      <w:pPr>
        <w:rPr>
          <w:rFonts w:ascii="Times New Roman" w:hAnsi="Times New Roman" w:cs="Times New Roman"/>
        </w:rPr>
      </w:pPr>
      <w:r w:rsidRPr="00111C47">
        <w:rPr>
          <w:rFonts w:ascii="Times New Roman" w:hAnsi="Times New Roman" w:cs="Times New Roman"/>
        </w:rPr>
        <w:t xml:space="preserve">Overall, the findings suggest that age, economy, and education together shape voter </w:t>
      </w:r>
      <w:proofErr w:type="spellStart"/>
      <w:r w:rsidRPr="00111C47">
        <w:rPr>
          <w:rFonts w:ascii="Times New Roman" w:hAnsi="Times New Roman" w:cs="Times New Roman"/>
        </w:rPr>
        <w:t>behavior</w:t>
      </w:r>
      <w:proofErr w:type="spellEnd"/>
      <w:r w:rsidRPr="00111C47">
        <w:rPr>
          <w:rFonts w:ascii="Times New Roman" w:hAnsi="Times New Roman" w:cs="Times New Roman"/>
        </w:rPr>
        <w:t>. This study supports past theories and also offers a base for more detailed research into how Slovak citizens take part in elections.</w:t>
      </w:r>
    </w:p>
    <w:p w14:paraId="6FB41A1C" w14:textId="77777777" w:rsidR="000B3342" w:rsidRPr="000B3342" w:rsidRDefault="000B3342"/>
    <w:sectPr w:rsidR="000B3342" w:rsidRPr="000B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A7D"/>
    <w:multiLevelType w:val="multilevel"/>
    <w:tmpl w:val="114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1C18"/>
    <w:multiLevelType w:val="multilevel"/>
    <w:tmpl w:val="14D0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6137"/>
    <w:multiLevelType w:val="multilevel"/>
    <w:tmpl w:val="8B70B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6171A"/>
    <w:multiLevelType w:val="multilevel"/>
    <w:tmpl w:val="CEA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F0088"/>
    <w:multiLevelType w:val="multilevel"/>
    <w:tmpl w:val="41B6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B4A90"/>
    <w:multiLevelType w:val="multilevel"/>
    <w:tmpl w:val="6EF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5591D"/>
    <w:multiLevelType w:val="multilevel"/>
    <w:tmpl w:val="F44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E6A48"/>
    <w:multiLevelType w:val="multilevel"/>
    <w:tmpl w:val="33D2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1CDA"/>
    <w:multiLevelType w:val="multilevel"/>
    <w:tmpl w:val="2F2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66226"/>
    <w:multiLevelType w:val="multilevel"/>
    <w:tmpl w:val="4430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C6AE6"/>
    <w:multiLevelType w:val="multilevel"/>
    <w:tmpl w:val="96A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C7B6B"/>
    <w:multiLevelType w:val="multilevel"/>
    <w:tmpl w:val="0C60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C36C3"/>
    <w:multiLevelType w:val="multilevel"/>
    <w:tmpl w:val="15B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D79BB"/>
    <w:multiLevelType w:val="multilevel"/>
    <w:tmpl w:val="977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714533">
    <w:abstractNumId w:val="7"/>
  </w:num>
  <w:num w:numId="2" w16cid:durableId="516433937">
    <w:abstractNumId w:val="2"/>
  </w:num>
  <w:num w:numId="3" w16cid:durableId="534779119">
    <w:abstractNumId w:val="11"/>
  </w:num>
  <w:num w:numId="4" w16cid:durableId="348724676">
    <w:abstractNumId w:val="9"/>
  </w:num>
  <w:num w:numId="5" w16cid:durableId="1302807179">
    <w:abstractNumId w:val="1"/>
  </w:num>
  <w:num w:numId="6" w16cid:durableId="77211451">
    <w:abstractNumId w:val="4"/>
  </w:num>
  <w:num w:numId="7" w16cid:durableId="528222019">
    <w:abstractNumId w:val="3"/>
  </w:num>
  <w:num w:numId="8" w16cid:durableId="2053730374">
    <w:abstractNumId w:val="6"/>
  </w:num>
  <w:num w:numId="9" w16cid:durableId="1825270016">
    <w:abstractNumId w:val="0"/>
  </w:num>
  <w:num w:numId="10" w16cid:durableId="1750879588">
    <w:abstractNumId w:val="12"/>
  </w:num>
  <w:num w:numId="11" w16cid:durableId="1462308604">
    <w:abstractNumId w:val="8"/>
  </w:num>
  <w:num w:numId="12" w16cid:durableId="1835140758">
    <w:abstractNumId w:val="10"/>
  </w:num>
  <w:num w:numId="13" w16cid:durableId="194580148">
    <w:abstractNumId w:val="13"/>
  </w:num>
  <w:num w:numId="14" w16cid:durableId="1494683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42"/>
    <w:rsid w:val="000B3342"/>
    <w:rsid w:val="00111C47"/>
    <w:rsid w:val="008B1F86"/>
    <w:rsid w:val="00AE2D31"/>
    <w:rsid w:val="00FA6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FCD8"/>
  <w15:chartTrackingRefBased/>
  <w15:docId w15:val="{5BA04F4E-BD9D-49D1-933E-1190402F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3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B3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B334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B334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B334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B33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33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33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33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34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B334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B334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B334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B334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B33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B3342"/>
    <w:rPr>
      <w:rFonts w:eastAsiaTheme="majorEastAsia" w:cstheme="majorBidi"/>
      <w:color w:val="595959" w:themeColor="text1" w:themeTint="A6"/>
    </w:rPr>
  </w:style>
  <w:style w:type="character" w:customStyle="1" w:styleId="80">
    <w:name w:val="Заголовок 8 Знак"/>
    <w:basedOn w:val="a0"/>
    <w:link w:val="8"/>
    <w:uiPriority w:val="9"/>
    <w:semiHidden/>
    <w:rsid w:val="000B33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B3342"/>
    <w:rPr>
      <w:rFonts w:eastAsiaTheme="majorEastAsia" w:cstheme="majorBidi"/>
      <w:color w:val="272727" w:themeColor="text1" w:themeTint="D8"/>
    </w:rPr>
  </w:style>
  <w:style w:type="paragraph" w:styleId="a3">
    <w:name w:val="Title"/>
    <w:basedOn w:val="a"/>
    <w:next w:val="a"/>
    <w:link w:val="a4"/>
    <w:uiPriority w:val="10"/>
    <w:qFormat/>
    <w:rsid w:val="000B3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B3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3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B33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B3342"/>
    <w:pPr>
      <w:spacing w:before="160"/>
      <w:jc w:val="center"/>
    </w:pPr>
    <w:rPr>
      <w:i/>
      <w:iCs/>
      <w:color w:val="404040" w:themeColor="text1" w:themeTint="BF"/>
    </w:rPr>
  </w:style>
  <w:style w:type="character" w:customStyle="1" w:styleId="22">
    <w:name w:val="Цитата 2 Знак"/>
    <w:basedOn w:val="a0"/>
    <w:link w:val="21"/>
    <w:uiPriority w:val="29"/>
    <w:rsid w:val="000B3342"/>
    <w:rPr>
      <w:i/>
      <w:iCs/>
      <w:color w:val="404040" w:themeColor="text1" w:themeTint="BF"/>
    </w:rPr>
  </w:style>
  <w:style w:type="paragraph" w:styleId="a7">
    <w:name w:val="List Paragraph"/>
    <w:basedOn w:val="a"/>
    <w:uiPriority w:val="34"/>
    <w:qFormat/>
    <w:rsid w:val="000B3342"/>
    <w:pPr>
      <w:ind w:left="720"/>
      <w:contextualSpacing/>
    </w:pPr>
  </w:style>
  <w:style w:type="character" w:styleId="a8">
    <w:name w:val="Intense Emphasis"/>
    <w:basedOn w:val="a0"/>
    <w:uiPriority w:val="21"/>
    <w:qFormat/>
    <w:rsid w:val="000B3342"/>
    <w:rPr>
      <w:i/>
      <w:iCs/>
      <w:color w:val="0F4761" w:themeColor="accent1" w:themeShade="BF"/>
    </w:rPr>
  </w:style>
  <w:style w:type="paragraph" w:styleId="a9">
    <w:name w:val="Intense Quote"/>
    <w:basedOn w:val="a"/>
    <w:next w:val="a"/>
    <w:link w:val="aa"/>
    <w:uiPriority w:val="30"/>
    <w:qFormat/>
    <w:rsid w:val="000B3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B3342"/>
    <w:rPr>
      <w:i/>
      <w:iCs/>
      <w:color w:val="0F4761" w:themeColor="accent1" w:themeShade="BF"/>
    </w:rPr>
  </w:style>
  <w:style w:type="character" w:styleId="ab">
    <w:name w:val="Intense Reference"/>
    <w:basedOn w:val="a0"/>
    <w:uiPriority w:val="32"/>
    <w:qFormat/>
    <w:rsid w:val="000B3342"/>
    <w:rPr>
      <w:b/>
      <w:bCs/>
      <w:smallCaps/>
      <w:color w:val="0F4761" w:themeColor="accent1" w:themeShade="BF"/>
      <w:spacing w:val="5"/>
    </w:rPr>
  </w:style>
  <w:style w:type="character" w:styleId="ac">
    <w:name w:val="Strong"/>
    <w:basedOn w:val="a0"/>
    <w:uiPriority w:val="22"/>
    <w:qFormat/>
    <w:rsid w:val="000B3342"/>
    <w:rPr>
      <w:b/>
      <w:bCs/>
    </w:rPr>
  </w:style>
  <w:style w:type="character" w:styleId="ad">
    <w:name w:val="Hyperlink"/>
    <w:basedOn w:val="a0"/>
    <w:uiPriority w:val="99"/>
    <w:unhideWhenUsed/>
    <w:rsid w:val="00111C47"/>
    <w:rPr>
      <w:color w:val="467886" w:themeColor="hyperlink"/>
      <w:u w:val="single"/>
    </w:rPr>
  </w:style>
  <w:style w:type="character" w:styleId="ae">
    <w:name w:val="Unresolved Mention"/>
    <w:basedOn w:val="a0"/>
    <w:uiPriority w:val="99"/>
    <w:semiHidden/>
    <w:unhideWhenUsed/>
    <w:rsid w:val="00111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930">
      <w:bodyDiv w:val="1"/>
      <w:marLeft w:val="0"/>
      <w:marRight w:val="0"/>
      <w:marTop w:val="0"/>
      <w:marBottom w:val="0"/>
      <w:divBdr>
        <w:top w:val="none" w:sz="0" w:space="0" w:color="auto"/>
        <w:left w:val="none" w:sz="0" w:space="0" w:color="auto"/>
        <w:bottom w:val="none" w:sz="0" w:space="0" w:color="auto"/>
        <w:right w:val="none" w:sz="0" w:space="0" w:color="auto"/>
      </w:divBdr>
    </w:div>
    <w:div w:id="108008858">
      <w:bodyDiv w:val="1"/>
      <w:marLeft w:val="0"/>
      <w:marRight w:val="0"/>
      <w:marTop w:val="0"/>
      <w:marBottom w:val="0"/>
      <w:divBdr>
        <w:top w:val="none" w:sz="0" w:space="0" w:color="auto"/>
        <w:left w:val="none" w:sz="0" w:space="0" w:color="auto"/>
        <w:bottom w:val="none" w:sz="0" w:space="0" w:color="auto"/>
        <w:right w:val="none" w:sz="0" w:space="0" w:color="auto"/>
      </w:divBdr>
    </w:div>
    <w:div w:id="288245437">
      <w:bodyDiv w:val="1"/>
      <w:marLeft w:val="0"/>
      <w:marRight w:val="0"/>
      <w:marTop w:val="0"/>
      <w:marBottom w:val="0"/>
      <w:divBdr>
        <w:top w:val="none" w:sz="0" w:space="0" w:color="auto"/>
        <w:left w:val="none" w:sz="0" w:space="0" w:color="auto"/>
        <w:bottom w:val="none" w:sz="0" w:space="0" w:color="auto"/>
        <w:right w:val="none" w:sz="0" w:space="0" w:color="auto"/>
      </w:divBdr>
    </w:div>
    <w:div w:id="662199364">
      <w:bodyDiv w:val="1"/>
      <w:marLeft w:val="0"/>
      <w:marRight w:val="0"/>
      <w:marTop w:val="0"/>
      <w:marBottom w:val="0"/>
      <w:divBdr>
        <w:top w:val="none" w:sz="0" w:space="0" w:color="auto"/>
        <w:left w:val="none" w:sz="0" w:space="0" w:color="auto"/>
        <w:bottom w:val="none" w:sz="0" w:space="0" w:color="auto"/>
        <w:right w:val="none" w:sz="0" w:space="0" w:color="auto"/>
      </w:divBdr>
    </w:div>
    <w:div w:id="852113864">
      <w:bodyDiv w:val="1"/>
      <w:marLeft w:val="0"/>
      <w:marRight w:val="0"/>
      <w:marTop w:val="0"/>
      <w:marBottom w:val="0"/>
      <w:divBdr>
        <w:top w:val="none" w:sz="0" w:space="0" w:color="auto"/>
        <w:left w:val="none" w:sz="0" w:space="0" w:color="auto"/>
        <w:bottom w:val="none" w:sz="0" w:space="0" w:color="auto"/>
        <w:right w:val="none" w:sz="0" w:space="0" w:color="auto"/>
      </w:divBdr>
    </w:div>
    <w:div w:id="1206917059">
      <w:bodyDiv w:val="1"/>
      <w:marLeft w:val="0"/>
      <w:marRight w:val="0"/>
      <w:marTop w:val="0"/>
      <w:marBottom w:val="0"/>
      <w:divBdr>
        <w:top w:val="none" w:sz="0" w:space="0" w:color="auto"/>
        <w:left w:val="none" w:sz="0" w:space="0" w:color="auto"/>
        <w:bottom w:val="none" w:sz="0" w:space="0" w:color="auto"/>
        <w:right w:val="none" w:sz="0" w:space="0" w:color="auto"/>
      </w:divBdr>
    </w:div>
    <w:div w:id="1274359588">
      <w:bodyDiv w:val="1"/>
      <w:marLeft w:val="0"/>
      <w:marRight w:val="0"/>
      <w:marTop w:val="0"/>
      <w:marBottom w:val="0"/>
      <w:divBdr>
        <w:top w:val="none" w:sz="0" w:space="0" w:color="auto"/>
        <w:left w:val="none" w:sz="0" w:space="0" w:color="auto"/>
        <w:bottom w:val="none" w:sz="0" w:space="0" w:color="auto"/>
        <w:right w:val="none" w:sz="0" w:space="0" w:color="auto"/>
      </w:divBdr>
    </w:div>
    <w:div w:id="1394544890">
      <w:bodyDiv w:val="1"/>
      <w:marLeft w:val="0"/>
      <w:marRight w:val="0"/>
      <w:marTop w:val="0"/>
      <w:marBottom w:val="0"/>
      <w:divBdr>
        <w:top w:val="none" w:sz="0" w:space="0" w:color="auto"/>
        <w:left w:val="none" w:sz="0" w:space="0" w:color="auto"/>
        <w:bottom w:val="none" w:sz="0" w:space="0" w:color="auto"/>
        <w:right w:val="none" w:sz="0" w:space="0" w:color="auto"/>
      </w:divBdr>
    </w:div>
    <w:div w:id="1847867890">
      <w:bodyDiv w:val="1"/>
      <w:marLeft w:val="0"/>
      <w:marRight w:val="0"/>
      <w:marTop w:val="0"/>
      <w:marBottom w:val="0"/>
      <w:divBdr>
        <w:top w:val="none" w:sz="0" w:space="0" w:color="auto"/>
        <w:left w:val="none" w:sz="0" w:space="0" w:color="auto"/>
        <w:bottom w:val="none" w:sz="0" w:space="0" w:color="auto"/>
        <w:right w:val="none" w:sz="0" w:space="0" w:color="auto"/>
      </w:divBdr>
    </w:div>
    <w:div w:id="2025547402">
      <w:bodyDiv w:val="1"/>
      <w:marLeft w:val="0"/>
      <w:marRight w:val="0"/>
      <w:marTop w:val="0"/>
      <w:marBottom w:val="0"/>
      <w:divBdr>
        <w:top w:val="none" w:sz="0" w:space="0" w:color="auto"/>
        <w:left w:val="none" w:sz="0" w:space="0" w:color="auto"/>
        <w:bottom w:val="none" w:sz="0" w:space="0" w:color="auto"/>
        <w:right w:val="none" w:sz="0" w:space="0" w:color="auto"/>
      </w:divBdr>
    </w:div>
    <w:div w:id="20792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10.1111/tgis.132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e.mpg.de/rest/items/item_1233128_7/component/file_1611181/content" TargetMode="External"/><Relationship Id="rId5" Type="http://schemas.openxmlformats.org/officeDocument/2006/relationships/hyperlink" Target="https://geography.upol.cz/soubory/vyzkum/aupo/Acta-43-2/AUPO_Geographica_43-2_Plesivcak.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571</Words>
  <Characters>3255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Svitlychna</dc:creator>
  <cp:keywords/>
  <dc:description/>
  <cp:lastModifiedBy>Elina Svitlychna</cp:lastModifiedBy>
  <cp:revision>2</cp:revision>
  <dcterms:created xsi:type="dcterms:W3CDTF">2025-04-29T13:22:00Z</dcterms:created>
  <dcterms:modified xsi:type="dcterms:W3CDTF">2025-04-29T13:22:00Z</dcterms:modified>
</cp:coreProperties>
</file>