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D8077" w14:textId="77777777" w:rsidR="00017B4A" w:rsidRPr="00793FC8" w:rsidRDefault="00017B4A">
      <w:pPr>
        <w:spacing w:before="1400"/>
        <w:rPr>
          <w:rFonts w:ascii="Times New Roman" w:hAnsi="Times New Roman" w:cs="Times New Roman"/>
          <w:color w:val="auto"/>
        </w:rPr>
      </w:pPr>
    </w:p>
    <w:p w14:paraId="61805905" w14:textId="6D94A20A" w:rsidR="00017B4A" w:rsidRPr="00C27C9D" w:rsidRDefault="00C27C9D" w:rsidP="00C27C9D">
      <w:pPr>
        <w:spacing w:after="80"/>
        <w:jc w:val="center"/>
        <w:rPr>
          <w:rFonts w:ascii="Times New Roman" w:hAnsi="Times New Roman" w:cs="Times New Roman"/>
          <w:b/>
          <w:bCs/>
          <w:color w:val="auto"/>
          <w:sz w:val="34"/>
          <w:szCs w:val="34"/>
        </w:rPr>
      </w:pPr>
      <w:r w:rsidRPr="00C27C9D">
        <w:rPr>
          <w:rFonts w:ascii="Times New Roman" w:hAnsi="Times New Roman" w:cs="Times New Roman"/>
          <w:b/>
          <w:bCs/>
          <w:color w:val="auto"/>
          <w:sz w:val="34"/>
          <w:szCs w:val="34"/>
        </w:rPr>
        <w:t xml:space="preserve">Analysis Of </w:t>
      </w:r>
      <w:proofErr w:type="gramStart"/>
      <w:r w:rsidRPr="00C27C9D">
        <w:rPr>
          <w:rFonts w:ascii="Times New Roman" w:hAnsi="Times New Roman" w:cs="Times New Roman"/>
          <w:b/>
          <w:bCs/>
          <w:color w:val="auto"/>
          <w:sz w:val="34"/>
          <w:szCs w:val="34"/>
        </w:rPr>
        <w:t>The</w:t>
      </w:r>
      <w:proofErr w:type="gramEnd"/>
      <w:r w:rsidRPr="00C27C9D">
        <w:rPr>
          <w:rFonts w:ascii="Times New Roman" w:hAnsi="Times New Roman" w:cs="Times New Roman"/>
          <w:b/>
          <w:bCs/>
          <w:color w:val="auto"/>
          <w:sz w:val="34"/>
          <w:szCs w:val="34"/>
        </w:rPr>
        <w:t xml:space="preserve"> BEPRC Report </w:t>
      </w:r>
    </w:p>
    <w:p w14:paraId="13E4018A" w14:textId="7A193AD0" w:rsidR="00017B4A" w:rsidRPr="00793FC8" w:rsidRDefault="00000000">
      <w:pPr>
        <w:pBdr>
          <w:top w:val="single" w:sz="8" w:space="6" w:color="2E75B6"/>
          <w:bottom w:val="single" w:sz="8" w:space="6" w:color="2E75B6"/>
        </w:pBdr>
        <w:spacing w:after="120"/>
        <w:jc w:val="center"/>
        <w:rPr>
          <w:rFonts w:ascii="Times New Roman" w:hAnsi="Times New Roman" w:cs="Times New Roman"/>
          <w:color w:val="auto"/>
        </w:rPr>
      </w:pPr>
      <w:r w:rsidRPr="00793FC8">
        <w:rPr>
          <w:rFonts w:ascii="Times New Roman" w:hAnsi="Times New Roman" w:cs="Times New Roman"/>
          <w:b/>
          <w:bCs/>
          <w:color w:val="auto"/>
          <w:sz w:val="30"/>
          <w:szCs w:val="30"/>
        </w:rPr>
        <w:t xml:space="preserve">Time-Series Analysis </w:t>
      </w:r>
    </w:p>
    <w:p w14:paraId="2D1BD41D" w14:textId="20CA1FB5" w:rsidR="00017B4A" w:rsidRPr="00793FC8" w:rsidRDefault="00017B4A">
      <w:pPr>
        <w:spacing w:before="200" w:after="600"/>
        <w:jc w:val="center"/>
        <w:rPr>
          <w:rFonts w:ascii="Times New Roman" w:hAnsi="Times New Roman" w:cs="Times New Roman"/>
          <w:color w:val="auto"/>
        </w:rPr>
      </w:pPr>
    </w:p>
    <w:p w14:paraId="1FA5333B" w14:textId="77777777" w:rsidR="00017B4A" w:rsidRPr="00793FC8" w:rsidRDefault="00000000">
      <w:pPr>
        <w:spacing w:after="80"/>
        <w:jc w:val="center"/>
        <w:rPr>
          <w:rFonts w:ascii="Times New Roman" w:hAnsi="Times New Roman" w:cs="Times New Roman"/>
          <w:color w:val="auto"/>
        </w:rPr>
      </w:pPr>
      <w:r w:rsidRPr="00793FC8">
        <w:rPr>
          <w:rFonts w:ascii="Times New Roman" w:hAnsi="Times New Roman" w:cs="Times New Roman"/>
          <w:i/>
          <w:iCs/>
          <w:color w:val="auto"/>
        </w:rPr>
        <w:t>A Chapter Submitted Towards the Overview of the Power Quality Improving System</w:t>
      </w:r>
    </w:p>
    <w:p w14:paraId="1FAB17FB" w14:textId="77777777" w:rsidR="00017B4A" w:rsidRPr="00793FC8" w:rsidRDefault="00000000">
      <w:pPr>
        <w:spacing w:before="400" w:after="60"/>
        <w:jc w:val="center"/>
        <w:rPr>
          <w:rFonts w:ascii="Times New Roman" w:hAnsi="Times New Roman" w:cs="Times New Roman"/>
          <w:color w:val="auto"/>
        </w:rPr>
      </w:pPr>
      <w:r w:rsidRPr="00793FC8">
        <w:rPr>
          <w:rFonts w:ascii="Times New Roman" w:hAnsi="Times New Roman" w:cs="Times New Roman"/>
          <w:color w:val="auto"/>
        </w:rPr>
        <w:t>by</w:t>
      </w:r>
    </w:p>
    <w:p w14:paraId="01C3BED8" w14:textId="79440395" w:rsidR="00017B4A" w:rsidRPr="00793FC8" w:rsidRDefault="00077D8B">
      <w:pPr>
        <w:spacing w:after="40"/>
        <w:jc w:val="center"/>
        <w:rPr>
          <w:rFonts w:ascii="Times New Roman" w:hAnsi="Times New Roman" w:cs="Times New Roman"/>
          <w:color w:val="auto"/>
        </w:rPr>
      </w:pPr>
      <w:r w:rsidRPr="00793FC8">
        <w:rPr>
          <w:rFonts w:ascii="Times New Roman" w:hAnsi="Times New Roman" w:cs="Times New Roman"/>
          <w:b/>
          <w:bCs/>
          <w:color w:val="auto"/>
          <w:sz w:val="26"/>
          <w:szCs w:val="26"/>
        </w:rPr>
        <w:t>Madhure Rani Mondal</w:t>
      </w:r>
    </w:p>
    <w:p w14:paraId="4D7D22F5" w14:textId="45437869" w:rsidR="00017B4A" w:rsidRPr="00793FC8" w:rsidRDefault="00000000">
      <w:pPr>
        <w:spacing w:after="30"/>
        <w:jc w:val="center"/>
        <w:rPr>
          <w:rFonts w:ascii="Times New Roman" w:hAnsi="Times New Roman" w:cs="Times New Roman"/>
          <w:color w:val="auto"/>
        </w:rPr>
      </w:pPr>
      <w:r w:rsidRPr="00793FC8">
        <w:rPr>
          <w:rFonts w:ascii="Times New Roman" w:hAnsi="Times New Roman" w:cs="Times New Roman"/>
          <w:color w:val="auto"/>
        </w:rPr>
        <w:t>Research Ass</w:t>
      </w:r>
      <w:r w:rsidR="00077D8B" w:rsidRPr="00793FC8">
        <w:rPr>
          <w:rFonts w:ascii="Times New Roman" w:hAnsi="Times New Roman" w:cs="Times New Roman"/>
          <w:color w:val="auto"/>
        </w:rPr>
        <w:t>istant</w:t>
      </w:r>
    </w:p>
    <w:p w14:paraId="54B2FD94" w14:textId="77777777" w:rsidR="00017B4A" w:rsidRPr="00793FC8" w:rsidRDefault="00000000">
      <w:pPr>
        <w:spacing w:after="30"/>
        <w:jc w:val="center"/>
        <w:rPr>
          <w:rFonts w:ascii="Times New Roman" w:hAnsi="Times New Roman" w:cs="Times New Roman"/>
          <w:color w:val="auto"/>
        </w:rPr>
      </w:pPr>
      <w:r w:rsidRPr="00793FC8">
        <w:rPr>
          <w:rFonts w:ascii="Times New Roman" w:hAnsi="Times New Roman" w:cs="Times New Roman"/>
          <w:color w:val="auto"/>
        </w:rPr>
        <w:t>Data and Design Lab</w:t>
      </w:r>
    </w:p>
    <w:p w14:paraId="71B6E8CF" w14:textId="77777777" w:rsidR="00017B4A" w:rsidRPr="00793FC8" w:rsidRDefault="00000000">
      <w:pPr>
        <w:spacing w:after="30"/>
        <w:jc w:val="center"/>
        <w:rPr>
          <w:rFonts w:ascii="Times New Roman" w:hAnsi="Times New Roman" w:cs="Times New Roman"/>
          <w:color w:val="auto"/>
        </w:rPr>
      </w:pPr>
      <w:r w:rsidRPr="00793FC8">
        <w:rPr>
          <w:rFonts w:ascii="Times New Roman" w:hAnsi="Times New Roman" w:cs="Times New Roman"/>
          <w:color w:val="auto"/>
        </w:rPr>
        <w:t>Department of Computer Science and Engineering</w:t>
      </w:r>
    </w:p>
    <w:p w14:paraId="110E496F" w14:textId="77777777" w:rsidR="00017B4A" w:rsidRPr="00793FC8" w:rsidRDefault="00000000">
      <w:pPr>
        <w:spacing w:after="30"/>
        <w:jc w:val="center"/>
        <w:rPr>
          <w:rFonts w:ascii="Times New Roman" w:hAnsi="Times New Roman" w:cs="Times New Roman"/>
          <w:color w:val="auto"/>
        </w:rPr>
      </w:pPr>
      <w:r w:rsidRPr="00793FC8">
        <w:rPr>
          <w:rFonts w:ascii="Times New Roman" w:hAnsi="Times New Roman" w:cs="Times New Roman"/>
          <w:color w:val="auto"/>
        </w:rPr>
        <w:t>University of Dhaka</w:t>
      </w:r>
    </w:p>
    <w:p w14:paraId="6C23E117" w14:textId="1FBF997D" w:rsidR="00017B4A" w:rsidRPr="00793FC8" w:rsidRDefault="00077D8B">
      <w:pPr>
        <w:spacing w:before="500"/>
        <w:jc w:val="center"/>
        <w:rPr>
          <w:rFonts w:ascii="Times New Roman" w:hAnsi="Times New Roman" w:cs="Times New Roman"/>
          <w:color w:val="auto"/>
        </w:rPr>
      </w:pPr>
      <w:r w:rsidRPr="00793FC8">
        <w:rPr>
          <w:rFonts w:ascii="Times New Roman" w:hAnsi="Times New Roman" w:cs="Times New Roman"/>
          <w:color w:val="auto"/>
        </w:rPr>
        <w:t>June, 2026</w:t>
      </w:r>
    </w:p>
    <w:p w14:paraId="377F3148" w14:textId="77777777" w:rsidR="00017B4A" w:rsidRPr="00793FC8" w:rsidRDefault="00000000">
      <w:pPr>
        <w:rPr>
          <w:rFonts w:ascii="Times New Roman" w:hAnsi="Times New Roman" w:cs="Times New Roman"/>
          <w:color w:val="auto"/>
        </w:rPr>
      </w:pPr>
      <w:r w:rsidRPr="00793FC8">
        <w:rPr>
          <w:rFonts w:ascii="Times New Roman" w:hAnsi="Times New Roman" w:cs="Times New Roman"/>
          <w:color w:val="auto"/>
        </w:rPr>
        <w:br w:type="page"/>
      </w:r>
    </w:p>
    <w:p w14:paraId="25926FCC" w14:textId="77777777" w:rsidR="00017B4A" w:rsidRPr="00793FC8" w:rsidRDefault="00000000">
      <w:pPr>
        <w:pStyle w:val="Heading1"/>
        <w:rPr>
          <w:rFonts w:ascii="Times New Roman" w:hAnsi="Times New Roman" w:cs="Times New Roman"/>
          <w:color w:val="auto"/>
        </w:rPr>
      </w:pPr>
      <w:bookmarkStart w:id="0" w:name="_Toc233458794"/>
      <w:r w:rsidRPr="00793FC8">
        <w:rPr>
          <w:rFonts w:ascii="Times New Roman" w:hAnsi="Times New Roman" w:cs="Times New Roman"/>
          <w:color w:val="auto"/>
        </w:rPr>
        <w:lastRenderedPageBreak/>
        <w:t>Table of Contents</w:t>
      </w:r>
      <w:bookmarkEnd w:id="0"/>
    </w:p>
    <w:sdt>
      <w:sdtPr>
        <w:rPr>
          <w:rFonts w:ascii="Times New Roman" w:hAnsi="Times New Roman" w:cs="Times New Roman"/>
        </w:rPr>
        <w:alias w:val="Table of Contents"/>
        <w:id w:val="2053967663"/>
      </w:sdtPr>
      <w:sdtContent>
        <w:p w14:paraId="7DD7BA60" w14:textId="77777777" w:rsidR="00077D8B" w:rsidRPr="00793FC8" w:rsidRDefault="00000000">
          <w:pPr>
            <w:pStyle w:val="TOC1"/>
            <w:tabs>
              <w:tab w:val="right" w:leader="dot" w:pos="9350"/>
            </w:tabs>
            <w:rPr>
              <w:rFonts w:ascii="Times New Roman" w:hAnsi="Times New Roman" w:cs="Times New Roman"/>
              <w:noProof/>
            </w:rPr>
          </w:pPr>
          <w:r w:rsidRPr="00793FC8">
            <w:rPr>
              <w:rFonts w:ascii="Times New Roman" w:hAnsi="Times New Roman" w:cs="Times New Roman"/>
            </w:rPr>
            <w:fldChar w:fldCharType="begin"/>
          </w:r>
          <w:r w:rsidRPr="00793FC8">
            <w:rPr>
              <w:rFonts w:ascii="Times New Roman" w:hAnsi="Times New Roman" w:cs="Times New Roman"/>
            </w:rPr>
            <w:instrText>TOC \h \o "1-2"</w:instrText>
          </w:r>
          <w:r w:rsidRPr="00793FC8">
            <w:rPr>
              <w:rFonts w:ascii="Times New Roman" w:hAnsi="Times New Roman" w:cs="Times New Roman"/>
            </w:rPr>
            <w:fldChar w:fldCharType="separate"/>
          </w:r>
          <w:hyperlink w:anchor="_Toc233458794" w:history="1">
            <w:r w:rsidR="00077D8B" w:rsidRPr="00793FC8">
              <w:rPr>
                <w:rStyle w:val="Hyperlink"/>
                <w:rFonts w:ascii="Times New Roman" w:hAnsi="Times New Roman" w:cs="Times New Roman"/>
                <w:noProof/>
              </w:rPr>
              <w:t>Table of Contents</w:t>
            </w:r>
            <w:r w:rsidR="00077D8B" w:rsidRPr="00793FC8">
              <w:rPr>
                <w:rFonts w:ascii="Times New Roman" w:hAnsi="Times New Roman" w:cs="Times New Roman"/>
                <w:noProof/>
              </w:rPr>
              <w:tab/>
            </w:r>
            <w:r w:rsidR="00077D8B" w:rsidRPr="00793FC8">
              <w:rPr>
                <w:rFonts w:ascii="Times New Roman" w:hAnsi="Times New Roman" w:cs="Times New Roman"/>
                <w:noProof/>
              </w:rPr>
              <w:fldChar w:fldCharType="begin"/>
            </w:r>
            <w:r w:rsidR="00077D8B" w:rsidRPr="00793FC8">
              <w:rPr>
                <w:rFonts w:ascii="Times New Roman" w:hAnsi="Times New Roman" w:cs="Times New Roman"/>
                <w:noProof/>
              </w:rPr>
              <w:instrText xml:space="preserve"> PAGEREF _Toc233458794 \h </w:instrText>
            </w:r>
            <w:r w:rsidR="00077D8B" w:rsidRPr="00793FC8">
              <w:rPr>
                <w:rFonts w:ascii="Times New Roman" w:hAnsi="Times New Roman" w:cs="Times New Roman"/>
                <w:noProof/>
              </w:rPr>
            </w:r>
            <w:r w:rsidR="00077D8B" w:rsidRPr="00793FC8">
              <w:rPr>
                <w:rFonts w:ascii="Times New Roman" w:hAnsi="Times New Roman" w:cs="Times New Roman"/>
                <w:noProof/>
              </w:rPr>
              <w:fldChar w:fldCharType="separate"/>
            </w:r>
            <w:r w:rsidR="00077D8B" w:rsidRPr="00793FC8">
              <w:rPr>
                <w:rFonts w:ascii="Times New Roman" w:hAnsi="Times New Roman" w:cs="Times New Roman"/>
                <w:noProof/>
              </w:rPr>
              <w:t>1</w:t>
            </w:r>
            <w:r w:rsidR="00077D8B" w:rsidRPr="00793FC8">
              <w:rPr>
                <w:rFonts w:ascii="Times New Roman" w:hAnsi="Times New Roman" w:cs="Times New Roman"/>
                <w:noProof/>
              </w:rPr>
              <w:fldChar w:fldCharType="end"/>
            </w:r>
          </w:hyperlink>
        </w:p>
        <w:p w14:paraId="5815E9D6" w14:textId="77777777" w:rsidR="00077D8B" w:rsidRPr="00793FC8" w:rsidRDefault="00077D8B">
          <w:pPr>
            <w:pStyle w:val="TOC1"/>
            <w:tabs>
              <w:tab w:val="right" w:leader="dot" w:pos="9350"/>
            </w:tabs>
            <w:rPr>
              <w:rFonts w:ascii="Times New Roman" w:hAnsi="Times New Roman" w:cs="Times New Roman"/>
              <w:noProof/>
            </w:rPr>
          </w:pPr>
          <w:hyperlink w:anchor="_Toc233458795" w:history="1">
            <w:r w:rsidRPr="00793FC8">
              <w:rPr>
                <w:rStyle w:val="Hyperlink"/>
                <w:rFonts w:ascii="Times New Roman" w:hAnsi="Times New Roman" w:cs="Times New Roman"/>
                <w:noProof/>
              </w:rPr>
              <w:t>Chapter 10</w:t>
            </w:r>
            <w:r w:rsidRPr="00793FC8">
              <w:rPr>
                <w:rFonts w:ascii="Times New Roman" w:hAnsi="Times New Roman" w:cs="Times New Roman"/>
                <w:noProof/>
              </w:rPr>
              <w:tab/>
            </w:r>
            <w:r w:rsidRPr="00793FC8">
              <w:rPr>
                <w:rFonts w:ascii="Times New Roman" w:hAnsi="Times New Roman" w:cs="Times New Roman"/>
                <w:noProof/>
              </w:rPr>
              <w:fldChar w:fldCharType="begin"/>
            </w:r>
            <w:r w:rsidRPr="00793FC8">
              <w:rPr>
                <w:rFonts w:ascii="Times New Roman" w:hAnsi="Times New Roman" w:cs="Times New Roman"/>
                <w:noProof/>
              </w:rPr>
              <w:instrText xml:space="preserve"> PAGEREF _Toc233458795 \h </w:instrText>
            </w:r>
            <w:r w:rsidRPr="00793FC8">
              <w:rPr>
                <w:rFonts w:ascii="Times New Roman" w:hAnsi="Times New Roman" w:cs="Times New Roman"/>
                <w:noProof/>
              </w:rPr>
            </w:r>
            <w:r w:rsidRPr="00793FC8">
              <w:rPr>
                <w:rFonts w:ascii="Times New Roman" w:hAnsi="Times New Roman" w:cs="Times New Roman"/>
                <w:noProof/>
              </w:rPr>
              <w:fldChar w:fldCharType="separate"/>
            </w:r>
            <w:r w:rsidRPr="00793FC8">
              <w:rPr>
                <w:rFonts w:ascii="Times New Roman" w:hAnsi="Times New Roman" w:cs="Times New Roman"/>
                <w:noProof/>
              </w:rPr>
              <w:t>1</w:t>
            </w:r>
            <w:r w:rsidRPr="00793FC8">
              <w:rPr>
                <w:rFonts w:ascii="Times New Roman" w:hAnsi="Times New Roman" w:cs="Times New Roman"/>
                <w:noProof/>
              </w:rPr>
              <w:fldChar w:fldCharType="end"/>
            </w:r>
          </w:hyperlink>
        </w:p>
        <w:p w14:paraId="5BB8A569" w14:textId="77777777" w:rsidR="00077D8B" w:rsidRPr="00793FC8" w:rsidRDefault="00077D8B">
          <w:pPr>
            <w:pStyle w:val="TOC2"/>
            <w:tabs>
              <w:tab w:val="right" w:leader="dot" w:pos="9350"/>
            </w:tabs>
            <w:rPr>
              <w:rFonts w:ascii="Times New Roman" w:hAnsi="Times New Roman" w:cs="Times New Roman"/>
              <w:noProof/>
            </w:rPr>
          </w:pPr>
          <w:hyperlink w:anchor="_Toc233458796" w:history="1">
            <w:r w:rsidRPr="00793FC8">
              <w:rPr>
                <w:rStyle w:val="Hyperlink"/>
                <w:rFonts w:ascii="Times New Roman" w:hAnsi="Times New Roman" w:cs="Times New Roman"/>
                <w:noProof/>
              </w:rPr>
              <w:t>10.1  Introduction</w:t>
            </w:r>
            <w:r w:rsidRPr="00793FC8">
              <w:rPr>
                <w:rFonts w:ascii="Times New Roman" w:hAnsi="Times New Roman" w:cs="Times New Roman"/>
                <w:noProof/>
              </w:rPr>
              <w:tab/>
            </w:r>
            <w:r w:rsidRPr="00793FC8">
              <w:rPr>
                <w:rFonts w:ascii="Times New Roman" w:hAnsi="Times New Roman" w:cs="Times New Roman"/>
                <w:noProof/>
              </w:rPr>
              <w:fldChar w:fldCharType="begin"/>
            </w:r>
            <w:r w:rsidRPr="00793FC8">
              <w:rPr>
                <w:rFonts w:ascii="Times New Roman" w:hAnsi="Times New Roman" w:cs="Times New Roman"/>
                <w:noProof/>
              </w:rPr>
              <w:instrText xml:space="preserve"> PAGEREF _Toc233458796 \h </w:instrText>
            </w:r>
            <w:r w:rsidRPr="00793FC8">
              <w:rPr>
                <w:rFonts w:ascii="Times New Roman" w:hAnsi="Times New Roman" w:cs="Times New Roman"/>
                <w:noProof/>
              </w:rPr>
            </w:r>
            <w:r w:rsidRPr="00793FC8">
              <w:rPr>
                <w:rFonts w:ascii="Times New Roman" w:hAnsi="Times New Roman" w:cs="Times New Roman"/>
                <w:noProof/>
              </w:rPr>
              <w:fldChar w:fldCharType="separate"/>
            </w:r>
            <w:r w:rsidRPr="00793FC8">
              <w:rPr>
                <w:rFonts w:ascii="Times New Roman" w:hAnsi="Times New Roman" w:cs="Times New Roman"/>
                <w:noProof/>
              </w:rPr>
              <w:t>1</w:t>
            </w:r>
            <w:r w:rsidRPr="00793FC8">
              <w:rPr>
                <w:rFonts w:ascii="Times New Roman" w:hAnsi="Times New Roman" w:cs="Times New Roman"/>
                <w:noProof/>
              </w:rPr>
              <w:fldChar w:fldCharType="end"/>
            </w:r>
          </w:hyperlink>
        </w:p>
        <w:p w14:paraId="55AE91D9" w14:textId="77777777" w:rsidR="00077D8B" w:rsidRPr="00793FC8" w:rsidRDefault="00077D8B">
          <w:pPr>
            <w:pStyle w:val="TOC2"/>
            <w:tabs>
              <w:tab w:val="right" w:leader="dot" w:pos="9350"/>
            </w:tabs>
            <w:rPr>
              <w:rFonts w:ascii="Times New Roman" w:hAnsi="Times New Roman" w:cs="Times New Roman"/>
              <w:noProof/>
            </w:rPr>
          </w:pPr>
          <w:hyperlink w:anchor="_Toc233458797" w:history="1">
            <w:r w:rsidRPr="00793FC8">
              <w:rPr>
                <w:rStyle w:val="Hyperlink"/>
                <w:rFonts w:ascii="Times New Roman" w:hAnsi="Times New Roman" w:cs="Times New Roman"/>
                <w:noProof/>
              </w:rPr>
              <w:t>10.2  Monitoring Configuration and Power Quality Standards</w:t>
            </w:r>
            <w:r w:rsidRPr="00793FC8">
              <w:rPr>
                <w:rFonts w:ascii="Times New Roman" w:hAnsi="Times New Roman" w:cs="Times New Roman"/>
                <w:noProof/>
              </w:rPr>
              <w:tab/>
            </w:r>
            <w:r w:rsidRPr="00793FC8">
              <w:rPr>
                <w:rFonts w:ascii="Times New Roman" w:hAnsi="Times New Roman" w:cs="Times New Roman"/>
                <w:noProof/>
              </w:rPr>
              <w:fldChar w:fldCharType="begin"/>
            </w:r>
            <w:r w:rsidRPr="00793FC8">
              <w:rPr>
                <w:rFonts w:ascii="Times New Roman" w:hAnsi="Times New Roman" w:cs="Times New Roman"/>
                <w:noProof/>
              </w:rPr>
              <w:instrText xml:space="preserve"> PAGEREF _Toc233458797 \h </w:instrText>
            </w:r>
            <w:r w:rsidRPr="00793FC8">
              <w:rPr>
                <w:rFonts w:ascii="Times New Roman" w:hAnsi="Times New Roman" w:cs="Times New Roman"/>
                <w:noProof/>
              </w:rPr>
            </w:r>
            <w:r w:rsidRPr="00793FC8">
              <w:rPr>
                <w:rFonts w:ascii="Times New Roman" w:hAnsi="Times New Roman" w:cs="Times New Roman"/>
                <w:noProof/>
              </w:rPr>
              <w:fldChar w:fldCharType="separate"/>
            </w:r>
            <w:r w:rsidRPr="00793FC8">
              <w:rPr>
                <w:rFonts w:ascii="Times New Roman" w:hAnsi="Times New Roman" w:cs="Times New Roman"/>
                <w:noProof/>
              </w:rPr>
              <w:t>1</w:t>
            </w:r>
            <w:r w:rsidRPr="00793FC8">
              <w:rPr>
                <w:rFonts w:ascii="Times New Roman" w:hAnsi="Times New Roman" w:cs="Times New Roman"/>
                <w:noProof/>
              </w:rPr>
              <w:fldChar w:fldCharType="end"/>
            </w:r>
          </w:hyperlink>
        </w:p>
        <w:p w14:paraId="251E1078" w14:textId="77777777" w:rsidR="00077D8B" w:rsidRPr="00793FC8" w:rsidRDefault="00077D8B">
          <w:pPr>
            <w:pStyle w:val="TOC2"/>
            <w:tabs>
              <w:tab w:val="right" w:leader="dot" w:pos="9350"/>
            </w:tabs>
            <w:rPr>
              <w:rFonts w:ascii="Times New Roman" w:hAnsi="Times New Roman" w:cs="Times New Roman"/>
              <w:noProof/>
            </w:rPr>
          </w:pPr>
          <w:hyperlink w:anchor="_Toc233458798" w:history="1">
            <w:r w:rsidRPr="00793FC8">
              <w:rPr>
                <w:rStyle w:val="Hyperlink"/>
                <w:rFonts w:ascii="Times New Roman" w:hAnsi="Times New Roman" w:cs="Times New Roman"/>
                <w:noProof/>
              </w:rPr>
              <w:t>10.3  Time-Series Behaviour of the CPQI</w:t>
            </w:r>
            <w:r w:rsidRPr="00793FC8">
              <w:rPr>
                <w:rFonts w:ascii="Times New Roman" w:hAnsi="Times New Roman" w:cs="Times New Roman"/>
                <w:noProof/>
              </w:rPr>
              <w:tab/>
            </w:r>
            <w:r w:rsidRPr="00793FC8">
              <w:rPr>
                <w:rFonts w:ascii="Times New Roman" w:hAnsi="Times New Roman" w:cs="Times New Roman"/>
                <w:noProof/>
              </w:rPr>
              <w:fldChar w:fldCharType="begin"/>
            </w:r>
            <w:r w:rsidRPr="00793FC8">
              <w:rPr>
                <w:rFonts w:ascii="Times New Roman" w:hAnsi="Times New Roman" w:cs="Times New Roman"/>
                <w:noProof/>
              </w:rPr>
              <w:instrText xml:space="preserve"> PAGEREF _Toc233458798 \h </w:instrText>
            </w:r>
            <w:r w:rsidRPr="00793FC8">
              <w:rPr>
                <w:rFonts w:ascii="Times New Roman" w:hAnsi="Times New Roman" w:cs="Times New Roman"/>
                <w:noProof/>
              </w:rPr>
            </w:r>
            <w:r w:rsidRPr="00793FC8">
              <w:rPr>
                <w:rFonts w:ascii="Times New Roman" w:hAnsi="Times New Roman" w:cs="Times New Roman"/>
                <w:noProof/>
              </w:rPr>
              <w:fldChar w:fldCharType="separate"/>
            </w:r>
            <w:r w:rsidRPr="00793FC8">
              <w:rPr>
                <w:rFonts w:ascii="Times New Roman" w:hAnsi="Times New Roman" w:cs="Times New Roman"/>
                <w:noProof/>
              </w:rPr>
              <w:t>1</w:t>
            </w:r>
            <w:r w:rsidRPr="00793FC8">
              <w:rPr>
                <w:rFonts w:ascii="Times New Roman" w:hAnsi="Times New Roman" w:cs="Times New Roman"/>
                <w:noProof/>
              </w:rPr>
              <w:fldChar w:fldCharType="end"/>
            </w:r>
          </w:hyperlink>
        </w:p>
        <w:p w14:paraId="0D6A8EE2" w14:textId="77777777" w:rsidR="00077D8B" w:rsidRPr="00793FC8" w:rsidRDefault="00077D8B">
          <w:pPr>
            <w:pStyle w:val="TOC2"/>
            <w:tabs>
              <w:tab w:val="right" w:leader="dot" w:pos="9350"/>
            </w:tabs>
            <w:rPr>
              <w:rFonts w:ascii="Times New Roman" w:hAnsi="Times New Roman" w:cs="Times New Roman"/>
              <w:noProof/>
            </w:rPr>
          </w:pPr>
          <w:hyperlink w:anchor="_Toc233458799" w:history="1">
            <w:r w:rsidRPr="00793FC8">
              <w:rPr>
                <w:rStyle w:val="Hyperlink"/>
                <w:rFonts w:ascii="Times New Roman" w:hAnsi="Times New Roman" w:cs="Times New Roman"/>
                <w:noProof/>
              </w:rPr>
              <w:t>10.4  Event-Based Validation</w:t>
            </w:r>
            <w:r w:rsidRPr="00793FC8">
              <w:rPr>
                <w:rFonts w:ascii="Times New Roman" w:hAnsi="Times New Roman" w:cs="Times New Roman"/>
                <w:noProof/>
              </w:rPr>
              <w:tab/>
            </w:r>
            <w:r w:rsidRPr="00793FC8">
              <w:rPr>
                <w:rFonts w:ascii="Times New Roman" w:hAnsi="Times New Roman" w:cs="Times New Roman"/>
                <w:noProof/>
              </w:rPr>
              <w:fldChar w:fldCharType="begin"/>
            </w:r>
            <w:r w:rsidRPr="00793FC8">
              <w:rPr>
                <w:rFonts w:ascii="Times New Roman" w:hAnsi="Times New Roman" w:cs="Times New Roman"/>
                <w:noProof/>
              </w:rPr>
              <w:instrText xml:space="preserve"> PAGEREF _Toc233458799 \h </w:instrText>
            </w:r>
            <w:r w:rsidRPr="00793FC8">
              <w:rPr>
                <w:rFonts w:ascii="Times New Roman" w:hAnsi="Times New Roman" w:cs="Times New Roman"/>
                <w:noProof/>
              </w:rPr>
            </w:r>
            <w:r w:rsidRPr="00793FC8">
              <w:rPr>
                <w:rFonts w:ascii="Times New Roman" w:hAnsi="Times New Roman" w:cs="Times New Roman"/>
                <w:noProof/>
              </w:rPr>
              <w:fldChar w:fldCharType="separate"/>
            </w:r>
            <w:r w:rsidRPr="00793FC8">
              <w:rPr>
                <w:rFonts w:ascii="Times New Roman" w:hAnsi="Times New Roman" w:cs="Times New Roman"/>
                <w:noProof/>
              </w:rPr>
              <w:t>1</w:t>
            </w:r>
            <w:r w:rsidRPr="00793FC8">
              <w:rPr>
                <w:rFonts w:ascii="Times New Roman" w:hAnsi="Times New Roman" w:cs="Times New Roman"/>
                <w:noProof/>
              </w:rPr>
              <w:fldChar w:fldCharType="end"/>
            </w:r>
          </w:hyperlink>
        </w:p>
        <w:p w14:paraId="4BF82BEC" w14:textId="77777777" w:rsidR="00077D8B" w:rsidRPr="00793FC8" w:rsidRDefault="00077D8B">
          <w:pPr>
            <w:pStyle w:val="TOC2"/>
            <w:tabs>
              <w:tab w:val="right" w:leader="dot" w:pos="9350"/>
            </w:tabs>
            <w:rPr>
              <w:rFonts w:ascii="Times New Roman" w:hAnsi="Times New Roman" w:cs="Times New Roman"/>
              <w:noProof/>
            </w:rPr>
          </w:pPr>
          <w:hyperlink w:anchor="_Toc233458800" w:history="1">
            <w:r w:rsidRPr="00793FC8">
              <w:rPr>
                <w:rStyle w:val="Hyperlink"/>
                <w:rFonts w:ascii="Times New Roman" w:hAnsi="Times New Roman" w:cs="Times New Roman"/>
                <w:noProof/>
              </w:rPr>
              <w:t>10.5  Voltage Behaviour</w:t>
            </w:r>
            <w:r w:rsidRPr="00793FC8">
              <w:rPr>
                <w:rFonts w:ascii="Times New Roman" w:hAnsi="Times New Roman" w:cs="Times New Roman"/>
                <w:noProof/>
              </w:rPr>
              <w:tab/>
            </w:r>
            <w:r w:rsidRPr="00793FC8">
              <w:rPr>
                <w:rFonts w:ascii="Times New Roman" w:hAnsi="Times New Roman" w:cs="Times New Roman"/>
                <w:noProof/>
              </w:rPr>
              <w:fldChar w:fldCharType="begin"/>
            </w:r>
            <w:r w:rsidRPr="00793FC8">
              <w:rPr>
                <w:rFonts w:ascii="Times New Roman" w:hAnsi="Times New Roman" w:cs="Times New Roman"/>
                <w:noProof/>
              </w:rPr>
              <w:instrText xml:space="preserve"> PAGEREF _Toc233458800 \h </w:instrText>
            </w:r>
            <w:r w:rsidRPr="00793FC8">
              <w:rPr>
                <w:rFonts w:ascii="Times New Roman" w:hAnsi="Times New Roman" w:cs="Times New Roman"/>
                <w:noProof/>
              </w:rPr>
            </w:r>
            <w:r w:rsidRPr="00793FC8">
              <w:rPr>
                <w:rFonts w:ascii="Times New Roman" w:hAnsi="Times New Roman" w:cs="Times New Roman"/>
                <w:noProof/>
              </w:rPr>
              <w:fldChar w:fldCharType="separate"/>
            </w:r>
            <w:r w:rsidRPr="00793FC8">
              <w:rPr>
                <w:rFonts w:ascii="Times New Roman" w:hAnsi="Times New Roman" w:cs="Times New Roman"/>
                <w:noProof/>
              </w:rPr>
              <w:t>1</w:t>
            </w:r>
            <w:r w:rsidRPr="00793FC8">
              <w:rPr>
                <w:rFonts w:ascii="Times New Roman" w:hAnsi="Times New Roman" w:cs="Times New Roman"/>
                <w:noProof/>
              </w:rPr>
              <w:fldChar w:fldCharType="end"/>
            </w:r>
          </w:hyperlink>
        </w:p>
        <w:p w14:paraId="0AB9E2F1" w14:textId="77777777" w:rsidR="00077D8B" w:rsidRPr="00793FC8" w:rsidRDefault="00077D8B">
          <w:pPr>
            <w:pStyle w:val="TOC2"/>
            <w:tabs>
              <w:tab w:val="right" w:leader="dot" w:pos="9350"/>
            </w:tabs>
            <w:rPr>
              <w:rFonts w:ascii="Times New Roman" w:hAnsi="Times New Roman" w:cs="Times New Roman"/>
              <w:noProof/>
            </w:rPr>
          </w:pPr>
          <w:hyperlink w:anchor="_Toc233458801" w:history="1">
            <w:r w:rsidRPr="00793FC8">
              <w:rPr>
                <w:rStyle w:val="Hyperlink"/>
                <w:rFonts w:ascii="Times New Roman" w:hAnsi="Times New Roman" w:cs="Times New Roman"/>
                <w:noProof/>
              </w:rPr>
              <w:t>10.6  Frequency Behaviour</w:t>
            </w:r>
            <w:r w:rsidRPr="00793FC8">
              <w:rPr>
                <w:rFonts w:ascii="Times New Roman" w:hAnsi="Times New Roman" w:cs="Times New Roman"/>
                <w:noProof/>
              </w:rPr>
              <w:tab/>
            </w:r>
            <w:r w:rsidRPr="00793FC8">
              <w:rPr>
                <w:rFonts w:ascii="Times New Roman" w:hAnsi="Times New Roman" w:cs="Times New Roman"/>
                <w:noProof/>
              </w:rPr>
              <w:fldChar w:fldCharType="begin"/>
            </w:r>
            <w:r w:rsidRPr="00793FC8">
              <w:rPr>
                <w:rFonts w:ascii="Times New Roman" w:hAnsi="Times New Roman" w:cs="Times New Roman"/>
                <w:noProof/>
              </w:rPr>
              <w:instrText xml:space="preserve"> PAGEREF _Toc233458801 \h </w:instrText>
            </w:r>
            <w:r w:rsidRPr="00793FC8">
              <w:rPr>
                <w:rFonts w:ascii="Times New Roman" w:hAnsi="Times New Roman" w:cs="Times New Roman"/>
                <w:noProof/>
              </w:rPr>
            </w:r>
            <w:r w:rsidRPr="00793FC8">
              <w:rPr>
                <w:rFonts w:ascii="Times New Roman" w:hAnsi="Times New Roman" w:cs="Times New Roman"/>
                <w:noProof/>
              </w:rPr>
              <w:fldChar w:fldCharType="separate"/>
            </w:r>
            <w:r w:rsidRPr="00793FC8">
              <w:rPr>
                <w:rFonts w:ascii="Times New Roman" w:hAnsi="Times New Roman" w:cs="Times New Roman"/>
                <w:noProof/>
              </w:rPr>
              <w:t>1</w:t>
            </w:r>
            <w:r w:rsidRPr="00793FC8">
              <w:rPr>
                <w:rFonts w:ascii="Times New Roman" w:hAnsi="Times New Roman" w:cs="Times New Roman"/>
                <w:noProof/>
              </w:rPr>
              <w:fldChar w:fldCharType="end"/>
            </w:r>
          </w:hyperlink>
        </w:p>
        <w:p w14:paraId="1843E1BD" w14:textId="77777777" w:rsidR="00077D8B" w:rsidRPr="00793FC8" w:rsidRDefault="00077D8B">
          <w:pPr>
            <w:pStyle w:val="TOC2"/>
            <w:tabs>
              <w:tab w:val="right" w:leader="dot" w:pos="9350"/>
            </w:tabs>
            <w:rPr>
              <w:rFonts w:ascii="Times New Roman" w:hAnsi="Times New Roman" w:cs="Times New Roman"/>
              <w:noProof/>
            </w:rPr>
          </w:pPr>
          <w:hyperlink w:anchor="_Toc233458802" w:history="1">
            <w:r w:rsidRPr="00793FC8">
              <w:rPr>
                <w:rStyle w:val="Hyperlink"/>
                <w:rFonts w:ascii="Times New Roman" w:hAnsi="Times New Roman" w:cs="Times New Roman"/>
                <w:noProof/>
              </w:rPr>
              <w:t>10.7  Power Factor Behaviour</w:t>
            </w:r>
            <w:r w:rsidRPr="00793FC8">
              <w:rPr>
                <w:rFonts w:ascii="Times New Roman" w:hAnsi="Times New Roman" w:cs="Times New Roman"/>
                <w:noProof/>
              </w:rPr>
              <w:tab/>
            </w:r>
            <w:r w:rsidRPr="00793FC8">
              <w:rPr>
                <w:rFonts w:ascii="Times New Roman" w:hAnsi="Times New Roman" w:cs="Times New Roman"/>
                <w:noProof/>
              </w:rPr>
              <w:fldChar w:fldCharType="begin"/>
            </w:r>
            <w:r w:rsidRPr="00793FC8">
              <w:rPr>
                <w:rFonts w:ascii="Times New Roman" w:hAnsi="Times New Roman" w:cs="Times New Roman"/>
                <w:noProof/>
              </w:rPr>
              <w:instrText xml:space="preserve"> PAGEREF _Toc233458802 \h </w:instrText>
            </w:r>
            <w:r w:rsidRPr="00793FC8">
              <w:rPr>
                <w:rFonts w:ascii="Times New Roman" w:hAnsi="Times New Roman" w:cs="Times New Roman"/>
                <w:noProof/>
              </w:rPr>
            </w:r>
            <w:r w:rsidRPr="00793FC8">
              <w:rPr>
                <w:rFonts w:ascii="Times New Roman" w:hAnsi="Times New Roman" w:cs="Times New Roman"/>
                <w:noProof/>
              </w:rPr>
              <w:fldChar w:fldCharType="separate"/>
            </w:r>
            <w:r w:rsidRPr="00793FC8">
              <w:rPr>
                <w:rFonts w:ascii="Times New Roman" w:hAnsi="Times New Roman" w:cs="Times New Roman"/>
                <w:noProof/>
              </w:rPr>
              <w:t>1</w:t>
            </w:r>
            <w:r w:rsidRPr="00793FC8">
              <w:rPr>
                <w:rFonts w:ascii="Times New Roman" w:hAnsi="Times New Roman" w:cs="Times New Roman"/>
                <w:noProof/>
              </w:rPr>
              <w:fldChar w:fldCharType="end"/>
            </w:r>
          </w:hyperlink>
        </w:p>
        <w:p w14:paraId="7F37CD3F" w14:textId="77777777" w:rsidR="00077D8B" w:rsidRPr="00793FC8" w:rsidRDefault="00077D8B">
          <w:pPr>
            <w:pStyle w:val="TOC2"/>
            <w:tabs>
              <w:tab w:val="right" w:leader="dot" w:pos="9350"/>
            </w:tabs>
            <w:rPr>
              <w:rFonts w:ascii="Times New Roman" w:hAnsi="Times New Roman" w:cs="Times New Roman"/>
              <w:noProof/>
            </w:rPr>
          </w:pPr>
          <w:hyperlink w:anchor="_Toc233458803" w:history="1">
            <w:r w:rsidRPr="00793FC8">
              <w:rPr>
                <w:rStyle w:val="Hyperlink"/>
                <w:rFonts w:ascii="Times New Roman" w:hAnsi="Times New Roman" w:cs="Times New Roman"/>
                <w:noProof/>
              </w:rPr>
              <w:t>10.8  Loading Behaviour</w:t>
            </w:r>
            <w:r w:rsidRPr="00793FC8">
              <w:rPr>
                <w:rFonts w:ascii="Times New Roman" w:hAnsi="Times New Roman" w:cs="Times New Roman"/>
                <w:noProof/>
              </w:rPr>
              <w:tab/>
            </w:r>
            <w:r w:rsidRPr="00793FC8">
              <w:rPr>
                <w:rFonts w:ascii="Times New Roman" w:hAnsi="Times New Roman" w:cs="Times New Roman"/>
                <w:noProof/>
              </w:rPr>
              <w:fldChar w:fldCharType="begin"/>
            </w:r>
            <w:r w:rsidRPr="00793FC8">
              <w:rPr>
                <w:rFonts w:ascii="Times New Roman" w:hAnsi="Times New Roman" w:cs="Times New Roman"/>
                <w:noProof/>
              </w:rPr>
              <w:instrText xml:space="preserve"> PAGEREF _Toc233458803 \h </w:instrText>
            </w:r>
            <w:r w:rsidRPr="00793FC8">
              <w:rPr>
                <w:rFonts w:ascii="Times New Roman" w:hAnsi="Times New Roman" w:cs="Times New Roman"/>
                <w:noProof/>
              </w:rPr>
            </w:r>
            <w:r w:rsidRPr="00793FC8">
              <w:rPr>
                <w:rFonts w:ascii="Times New Roman" w:hAnsi="Times New Roman" w:cs="Times New Roman"/>
                <w:noProof/>
              </w:rPr>
              <w:fldChar w:fldCharType="separate"/>
            </w:r>
            <w:r w:rsidRPr="00793FC8">
              <w:rPr>
                <w:rFonts w:ascii="Times New Roman" w:hAnsi="Times New Roman" w:cs="Times New Roman"/>
                <w:noProof/>
              </w:rPr>
              <w:t>1</w:t>
            </w:r>
            <w:r w:rsidRPr="00793FC8">
              <w:rPr>
                <w:rFonts w:ascii="Times New Roman" w:hAnsi="Times New Roman" w:cs="Times New Roman"/>
                <w:noProof/>
              </w:rPr>
              <w:fldChar w:fldCharType="end"/>
            </w:r>
          </w:hyperlink>
        </w:p>
        <w:p w14:paraId="1AC9F5EE" w14:textId="77777777" w:rsidR="00077D8B" w:rsidRPr="00793FC8" w:rsidRDefault="00077D8B">
          <w:pPr>
            <w:pStyle w:val="TOC2"/>
            <w:tabs>
              <w:tab w:val="right" w:leader="dot" w:pos="9350"/>
            </w:tabs>
            <w:rPr>
              <w:rFonts w:ascii="Times New Roman" w:hAnsi="Times New Roman" w:cs="Times New Roman"/>
              <w:noProof/>
            </w:rPr>
          </w:pPr>
          <w:hyperlink w:anchor="_Toc233458804" w:history="1">
            <w:r w:rsidRPr="00793FC8">
              <w:rPr>
                <w:rStyle w:val="Hyperlink"/>
                <w:rFonts w:ascii="Times New Roman" w:hAnsi="Times New Roman" w:cs="Times New Roman"/>
                <w:noProof/>
              </w:rPr>
              <w:t>10.9  Harmonic Behaviour</w:t>
            </w:r>
            <w:r w:rsidRPr="00793FC8">
              <w:rPr>
                <w:rFonts w:ascii="Times New Roman" w:hAnsi="Times New Roman" w:cs="Times New Roman"/>
                <w:noProof/>
              </w:rPr>
              <w:tab/>
            </w:r>
            <w:r w:rsidRPr="00793FC8">
              <w:rPr>
                <w:rFonts w:ascii="Times New Roman" w:hAnsi="Times New Roman" w:cs="Times New Roman"/>
                <w:noProof/>
              </w:rPr>
              <w:fldChar w:fldCharType="begin"/>
            </w:r>
            <w:r w:rsidRPr="00793FC8">
              <w:rPr>
                <w:rFonts w:ascii="Times New Roman" w:hAnsi="Times New Roman" w:cs="Times New Roman"/>
                <w:noProof/>
              </w:rPr>
              <w:instrText xml:space="preserve"> PAGEREF _Toc233458804 \h </w:instrText>
            </w:r>
            <w:r w:rsidRPr="00793FC8">
              <w:rPr>
                <w:rFonts w:ascii="Times New Roman" w:hAnsi="Times New Roman" w:cs="Times New Roman"/>
                <w:noProof/>
              </w:rPr>
            </w:r>
            <w:r w:rsidRPr="00793FC8">
              <w:rPr>
                <w:rFonts w:ascii="Times New Roman" w:hAnsi="Times New Roman" w:cs="Times New Roman"/>
                <w:noProof/>
              </w:rPr>
              <w:fldChar w:fldCharType="separate"/>
            </w:r>
            <w:r w:rsidRPr="00793FC8">
              <w:rPr>
                <w:rFonts w:ascii="Times New Roman" w:hAnsi="Times New Roman" w:cs="Times New Roman"/>
                <w:noProof/>
              </w:rPr>
              <w:t>1</w:t>
            </w:r>
            <w:r w:rsidRPr="00793FC8">
              <w:rPr>
                <w:rFonts w:ascii="Times New Roman" w:hAnsi="Times New Roman" w:cs="Times New Roman"/>
                <w:noProof/>
              </w:rPr>
              <w:fldChar w:fldCharType="end"/>
            </w:r>
          </w:hyperlink>
        </w:p>
        <w:p w14:paraId="50EC71AB" w14:textId="77777777" w:rsidR="00077D8B" w:rsidRPr="00793FC8" w:rsidRDefault="00077D8B">
          <w:pPr>
            <w:pStyle w:val="TOC2"/>
            <w:tabs>
              <w:tab w:val="right" w:leader="dot" w:pos="9350"/>
            </w:tabs>
            <w:rPr>
              <w:rFonts w:ascii="Times New Roman" w:hAnsi="Times New Roman" w:cs="Times New Roman"/>
              <w:noProof/>
            </w:rPr>
          </w:pPr>
          <w:hyperlink w:anchor="_Toc233458805" w:history="1">
            <w:r w:rsidRPr="00793FC8">
              <w:rPr>
                <w:rStyle w:val="Hyperlink"/>
                <w:rFonts w:ascii="Times New Roman" w:hAnsi="Times New Roman" w:cs="Times New Roman"/>
                <w:noProof/>
              </w:rPr>
              <w:t>10.10  Customer Perspective</w:t>
            </w:r>
            <w:r w:rsidRPr="00793FC8">
              <w:rPr>
                <w:rFonts w:ascii="Times New Roman" w:hAnsi="Times New Roman" w:cs="Times New Roman"/>
                <w:noProof/>
              </w:rPr>
              <w:tab/>
            </w:r>
            <w:r w:rsidRPr="00793FC8">
              <w:rPr>
                <w:rFonts w:ascii="Times New Roman" w:hAnsi="Times New Roman" w:cs="Times New Roman"/>
                <w:noProof/>
              </w:rPr>
              <w:fldChar w:fldCharType="begin"/>
            </w:r>
            <w:r w:rsidRPr="00793FC8">
              <w:rPr>
                <w:rFonts w:ascii="Times New Roman" w:hAnsi="Times New Roman" w:cs="Times New Roman"/>
                <w:noProof/>
              </w:rPr>
              <w:instrText xml:space="preserve"> PAGEREF _Toc233458805 \h </w:instrText>
            </w:r>
            <w:r w:rsidRPr="00793FC8">
              <w:rPr>
                <w:rFonts w:ascii="Times New Roman" w:hAnsi="Times New Roman" w:cs="Times New Roman"/>
                <w:noProof/>
              </w:rPr>
            </w:r>
            <w:r w:rsidRPr="00793FC8">
              <w:rPr>
                <w:rFonts w:ascii="Times New Roman" w:hAnsi="Times New Roman" w:cs="Times New Roman"/>
                <w:noProof/>
              </w:rPr>
              <w:fldChar w:fldCharType="separate"/>
            </w:r>
            <w:r w:rsidRPr="00793FC8">
              <w:rPr>
                <w:rFonts w:ascii="Times New Roman" w:hAnsi="Times New Roman" w:cs="Times New Roman"/>
                <w:noProof/>
              </w:rPr>
              <w:t>1</w:t>
            </w:r>
            <w:r w:rsidRPr="00793FC8">
              <w:rPr>
                <w:rFonts w:ascii="Times New Roman" w:hAnsi="Times New Roman" w:cs="Times New Roman"/>
                <w:noProof/>
              </w:rPr>
              <w:fldChar w:fldCharType="end"/>
            </w:r>
          </w:hyperlink>
        </w:p>
        <w:p w14:paraId="19D18E88" w14:textId="77777777" w:rsidR="00077D8B" w:rsidRPr="00793FC8" w:rsidRDefault="00077D8B">
          <w:pPr>
            <w:pStyle w:val="TOC2"/>
            <w:tabs>
              <w:tab w:val="right" w:leader="dot" w:pos="9350"/>
            </w:tabs>
            <w:rPr>
              <w:rFonts w:ascii="Times New Roman" w:hAnsi="Times New Roman" w:cs="Times New Roman"/>
              <w:noProof/>
            </w:rPr>
          </w:pPr>
          <w:hyperlink w:anchor="_Toc233458806" w:history="1">
            <w:r w:rsidRPr="00793FC8">
              <w:rPr>
                <w:rStyle w:val="Hyperlink"/>
                <w:rFonts w:ascii="Times New Roman" w:hAnsi="Times New Roman" w:cs="Times New Roman"/>
                <w:noProof/>
              </w:rPr>
              <w:t>10.11  Feeder Comparison</w:t>
            </w:r>
            <w:r w:rsidRPr="00793FC8">
              <w:rPr>
                <w:rFonts w:ascii="Times New Roman" w:hAnsi="Times New Roman" w:cs="Times New Roman"/>
                <w:noProof/>
              </w:rPr>
              <w:tab/>
            </w:r>
            <w:r w:rsidRPr="00793FC8">
              <w:rPr>
                <w:rFonts w:ascii="Times New Roman" w:hAnsi="Times New Roman" w:cs="Times New Roman"/>
                <w:noProof/>
              </w:rPr>
              <w:fldChar w:fldCharType="begin"/>
            </w:r>
            <w:r w:rsidRPr="00793FC8">
              <w:rPr>
                <w:rFonts w:ascii="Times New Roman" w:hAnsi="Times New Roman" w:cs="Times New Roman"/>
                <w:noProof/>
              </w:rPr>
              <w:instrText xml:space="preserve"> PAGEREF _Toc233458806 \h </w:instrText>
            </w:r>
            <w:r w:rsidRPr="00793FC8">
              <w:rPr>
                <w:rFonts w:ascii="Times New Roman" w:hAnsi="Times New Roman" w:cs="Times New Roman"/>
                <w:noProof/>
              </w:rPr>
            </w:r>
            <w:r w:rsidRPr="00793FC8">
              <w:rPr>
                <w:rFonts w:ascii="Times New Roman" w:hAnsi="Times New Roman" w:cs="Times New Roman"/>
                <w:noProof/>
              </w:rPr>
              <w:fldChar w:fldCharType="separate"/>
            </w:r>
            <w:r w:rsidRPr="00793FC8">
              <w:rPr>
                <w:rFonts w:ascii="Times New Roman" w:hAnsi="Times New Roman" w:cs="Times New Roman"/>
                <w:noProof/>
              </w:rPr>
              <w:t>1</w:t>
            </w:r>
            <w:r w:rsidRPr="00793FC8">
              <w:rPr>
                <w:rFonts w:ascii="Times New Roman" w:hAnsi="Times New Roman" w:cs="Times New Roman"/>
                <w:noProof/>
              </w:rPr>
              <w:fldChar w:fldCharType="end"/>
            </w:r>
          </w:hyperlink>
        </w:p>
        <w:p w14:paraId="1755AFFB" w14:textId="77777777" w:rsidR="00077D8B" w:rsidRPr="00793FC8" w:rsidRDefault="00077D8B">
          <w:pPr>
            <w:pStyle w:val="TOC2"/>
            <w:tabs>
              <w:tab w:val="right" w:leader="dot" w:pos="9350"/>
            </w:tabs>
            <w:rPr>
              <w:rFonts w:ascii="Times New Roman" w:hAnsi="Times New Roman" w:cs="Times New Roman"/>
              <w:noProof/>
            </w:rPr>
          </w:pPr>
          <w:hyperlink w:anchor="_Toc233458807" w:history="1">
            <w:r w:rsidRPr="00793FC8">
              <w:rPr>
                <w:rStyle w:val="Hyperlink"/>
                <w:rFonts w:ascii="Times New Roman" w:hAnsi="Times New Roman" w:cs="Times New Roman"/>
                <w:noProof/>
              </w:rPr>
              <w:t>10.12  Statistical Validation</w:t>
            </w:r>
            <w:r w:rsidRPr="00793FC8">
              <w:rPr>
                <w:rFonts w:ascii="Times New Roman" w:hAnsi="Times New Roman" w:cs="Times New Roman"/>
                <w:noProof/>
              </w:rPr>
              <w:tab/>
            </w:r>
            <w:r w:rsidRPr="00793FC8">
              <w:rPr>
                <w:rFonts w:ascii="Times New Roman" w:hAnsi="Times New Roman" w:cs="Times New Roman"/>
                <w:noProof/>
              </w:rPr>
              <w:fldChar w:fldCharType="begin"/>
            </w:r>
            <w:r w:rsidRPr="00793FC8">
              <w:rPr>
                <w:rFonts w:ascii="Times New Roman" w:hAnsi="Times New Roman" w:cs="Times New Roman"/>
                <w:noProof/>
              </w:rPr>
              <w:instrText xml:space="preserve"> PAGEREF _Toc233458807 \h </w:instrText>
            </w:r>
            <w:r w:rsidRPr="00793FC8">
              <w:rPr>
                <w:rFonts w:ascii="Times New Roman" w:hAnsi="Times New Roman" w:cs="Times New Roman"/>
                <w:noProof/>
              </w:rPr>
            </w:r>
            <w:r w:rsidRPr="00793FC8">
              <w:rPr>
                <w:rFonts w:ascii="Times New Roman" w:hAnsi="Times New Roman" w:cs="Times New Roman"/>
                <w:noProof/>
              </w:rPr>
              <w:fldChar w:fldCharType="separate"/>
            </w:r>
            <w:r w:rsidRPr="00793FC8">
              <w:rPr>
                <w:rFonts w:ascii="Times New Roman" w:hAnsi="Times New Roman" w:cs="Times New Roman"/>
                <w:noProof/>
              </w:rPr>
              <w:t>1</w:t>
            </w:r>
            <w:r w:rsidRPr="00793FC8">
              <w:rPr>
                <w:rFonts w:ascii="Times New Roman" w:hAnsi="Times New Roman" w:cs="Times New Roman"/>
                <w:noProof/>
              </w:rPr>
              <w:fldChar w:fldCharType="end"/>
            </w:r>
          </w:hyperlink>
        </w:p>
        <w:p w14:paraId="4D4CE8FB" w14:textId="77777777" w:rsidR="00077D8B" w:rsidRPr="00793FC8" w:rsidRDefault="00077D8B">
          <w:pPr>
            <w:pStyle w:val="TOC2"/>
            <w:tabs>
              <w:tab w:val="right" w:leader="dot" w:pos="9350"/>
            </w:tabs>
            <w:rPr>
              <w:rFonts w:ascii="Times New Roman" w:hAnsi="Times New Roman" w:cs="Times New Roman"/>
              <w:noProof/>
            </w:rPr>
          </w:pPr>
          <w:hyperlink w:anchor="_Toc233458808" w:history="1">
            <w:r w:rsidRPr="00793FC8">
              <w:rPr>
                <w:rStyle w:val="Hyperlink"/>
                <w:rFonts w:ascii="Times New Roman" w:hAnsi="Times New Roman" w:cs="Times New Roman"/>
                <w:noProof/>
              </w:rPr>
              <w:t>10.13  Reliability, Availability, and Customer-Experience Validation</w:t>
            </w:r>
            <w:r w:rsidRPr="00793FC8">
              <w:rPr>
                <w:rFonts w:ascii="Times New Roman" w:hAnsi="Times New Roman" w:cs="Times New Roman"/>
                <w:noProof/>
              </w:rPr>
              <w:tab/>
            </w:r>
            <w:r w:rsidRPr="00793FC8">
              <w:rPr>
                <w:rFonts w:ascii="Times New Roman" w:hAnsi="Times New Roman" w:cs="Times New Roman"/>
                <w:noProof/>
              </w:rPr>
              <w:fldChar w:fldCharType="begin"/>
            </w:r>
            <w:r w:rsidRPr="00793FC8">
              <w:rPr>
                <w:rFonts w:ascii="Times New Roman" w:hAnsi="Times New Roman" w:cs="Times New Roman"/>
                <w:noProof/>
              </w:rPr>
              <w:instrText xml:space="preserve"> PAGEREF _Toc233458808 \h </w:instrText>
            </w:r>
            <w:r w:rsidRPr="00793FC8">
              <w:rPr>
                <w:rFonts w:ascii="Times New Roman" w:hAnsi="Times New Roman" w:cs="Times New Roman"/>
                <w:noProof/>
              </w:rPr>
            </w:r>
            <w:r w:rsidRPr="00793FC8">
              <w:rPr>
                <w:rFonts w:ascii="Times New Roman" w:hAnsi="Times New Roman" w:cs="Times New Roman"/>
                <w:noProof/>
              </w:rPr>
              <w:fldChar w:fldCharType="separate"/>
            </w:r>
            <w:r w:rsidRPr="00793FC8">
              <w:rPr>
                <w:rFonts w:ascii="Times New Roman" w:hAnsi="Times New Roman" w:cs="Times New Roman"/>
                <w:noProof/>
              </w:rPr>
              <w:t>1</w:t>
            </w:r>
            <w:r w:rsidRPr="00793FC8">
              <w:rPr>
                <w:rFonts w:ascii="Times New Roman" w:hAnsi="Times New Roman" w:cs="Times New Roman"/>
                <w:noProof/>
              </w:rPr>
              <w:fldChar w:fldCharType="end"/>
            </w:r>
          </w:hyperlink>
        </w:p>
        <w:p w14:paraId="1A92B2E3" w14:textId="77777777" w:rsidR="00077D8B" w:rsidRPr="00793FC8" w:rsidRDefault="00077D8B">
          <w:pPr>
            <w:pStyle w:val="TOC2"/>
            <w:tabs>
              <w:tab w:val="right" w:leader="dot" w:pos="9350"/>
            </w:tabs>
            <w:rPr>
              <w:rFonts w:ascii="Times New Roman" w:hAnsi="Times New Roman" w:cs="Times New Roman"/>
              <w:noProof/>
            </w:rPr>
          </w:pPr>
          <w:hyperlink w:anchor="_Toc233458809" w:history="1">
            <w:r w:rsidRPr="00793FC8">
              <w:rPr>
                <w:rStyle w:val="Hyperlink"/>
                <w:rFonts w:ascii="Times New Roman" w:hAnsi="Times New Roman" w:cs="Times New Roman"/>
                <w:noProof/>
              </w:rPr>
              <w:t>10.14  Sensitivity and Extreme-Event Analysis</w:t>
            </w:r>
            <w:r w:rsidRPr="00793FC8">
              <w:rPr>
                <w:rFonts w:ascii="Times New Roman" w:hAnsi="Times New Roman" w:cs="Times New Roman"/>
                <w:noProof/>
              </w:rPr>
              <w:tab/>
            </w:r>
            <w:r w:rsidRPr="00793FC8">
              <w:rPr>
                <w:rFonts w:ascii="Times New Roman" w:hAnsi="Times New Roman" w:cs="Times New Roman"/>
                <w:noProof/>
              </w:rPr>
              <w:fldChar w:fldCharType="begin"/>
            </w:r>
            <w:r w:rsidRPr="00793FC8">
              <w:rPr>
                <w:rFonts w:ascii="Times New Roman" w:hAnsi="Times New Roman" w:cs="Times New Roman"/>
                <w:noProof/>
              </w:rPr>
              <w:instrText xml:space="preserve"> PAGEREF _Toc233458809 \h </w:instrText>
            </w:r>
            <w:r w:rsidRPr="00793FC8">
              <w:rPr>
                <w:rFonts w:ascii="Times New Roman" w:hAnsi="Times New Roman" w:cs="Times New Roman"/>
                <w:noProof/>
              </w:rPr>
            </w:r>
            <w:r w:rsidRPr="00793FC8">
              <w:rPr>
                <w:rFonts w:ascii="Times New Roman" w:hAnsi="Times New Roman" w:cs="Times New Roman"/>
                <w:noProof/>
              </w:rPr>
              <w:fldChar w:fldCharType="separate"/>
            </w:r>
            <w:r w:rsidRPr="00793FC8">
              <w:rPr>
                <w:rFonts w:ascii="Times New Roman" w:hAnsi="Times New Roman" w:cs="Times New Roman"/>
                <w:noProof/>
              </w:rPr>
              <w:t>1</w:t>
            </w:r>
            <w:r w:rsidRPr="00793FC8">
              <w:rPr>
                <w:rFonts w:ascii="Times New Roman" w:hAnsi="Times New Roman" w:cs="Times New Roman"/>
                <w:noProof/>
              </w:rPr>
              <w:fldChar w:fldCharType="end"/>
            </w:r>
          </w:hyperlink>
        </w:p>
        <w:p w14:paraId="08E56FCE" w14:textId="77777777" w:rsidR="00077D8B" w:rsidRPr="00793FC8" w:rsidRDefault="00077D8B">
          <w:pPr>
            <w:pStyle w:val="TOC2"/>
            <w:tabs>
              <w:tab w:val="right" w:leader="dot" w:pos="9350"/>
            </w:tabs>
            <w:rPr>
              <w:rFonts w:ascii="Times New Roman" w:hAnsi="Times New Roman" w:cs="Times New Roman"/>
              <w:noProof/>
            </w:rPr>
          </w:pPr>
          <w:hyperlink w:anchor="_Toc233458810" w:history="1">
            <w:r w:rsidRPr="00793FC8">
              <w:rPr>
                <w:rStyle w:val="Hyperlink"/>
                <w:rFonts w:ascii="Times New Roman" w:hAnsi="Times New Roman" w:cs="Times New Roman"/>
                <w:noProof/>
              </w:rPr>
              <w:t>10.15  Overall Validation Summary</w:t>
            </w:r>
            <w:r w:rsidRPr="00793FC8">
              <w:rPr>
                <w:rFonts w:ascii="Times New Roman" w:hAnsi="Times New Roman" w:cs="Times New Roman"/>
                <w:noProof/>
              </w:rPr>
              <w:tab/>
            </w:r>
            <w:r w:rsidRPr="00793FC8">
              <w:rPr>
                <w:rFonts w:ascii="Times New Roman" w:hAnsi="Times New Roman" w:cs="Times New Roman"/>
                <w:noProof/>
              </w:rPr>
              <w:fldChar w:fldCharType="begin"/>
            </w:r>
            <w:r w:rsidRPr="00793FC8">
              <w:rPr>
                <w:rFonts w:ascii="Times New Roman" w:hAnsi="Times New Roman" w:cs="Times New Roman"/>
                <w:noProof/>
              </w:rPr>
              <w:instrText xml:space="preserve"> PAGEREF _Toc233458810 \h </w:instrText>
            </w:r>
            <w:r w:rsidRPr="00793FC8">
              <w:rPr>
                <w:rFonts w:ascii="Times New Roman" w:hAnsi="Times New Roman" w:cs="Times New Roman"/>
                <w:noProof/>
              </w:rPr>
            </w:r>
            <w:r w:rsidRPr="00793FC8">
              <w:rPr>
                <w:rFonts w:ascii="Times New Roman" w:hAnsi="Times New Roman" w:cs="Times New Roman"/>
                <w:noProof/>
              </w:rPr>
              <w:fldChar w:fldCharType="separate"/>
            </w:r>
            <w:r w:rsidRPr="00793FC8">
              <w:rPr>
                <w:rFonts w:ascii="Times New Roman" w:hAnsi="Times New Roman" w:cs="Times New Roman"/>
                <w:noProof/>
              </w:rPr>
              <w:t>1</w:t>
            </w:r>
            <w:r w:rsidRPr="00793FC8">
              <w:rPr>
                <w:rFonts w:ascii="Times New Roman" w:hAnsi="Times New Roman" w:cs="Times New Roman"/>
                <w:noProof/>
              </w:rPr>
              <w:fldChar w:fldCharType="end"/>
            </w:r>
          </w:hyperlink>
        </w:p>
        <w:p w14:paraId="64FEF44C" w14:textId="77777777" w:rsidR="00077D8B" w:rsidRPr="00793FC8" w:rsidRDefault="00077D8B">
          <w:pPr>
            <w:pStyle w:val="TOC2"/>
            <w:tabs>
              <w:tab w:val="right" w:leader="dot" w:pos="9350"/>
            </w:tabs>
            <w:rPr>
              <w:rFonts w:ascii="Times New Roman" w:hAnsi="Times New Roman" w:cs="Times New Roman"/>
              <w:noProof/>
            </w:rPr>
          </w:pPr>
          <w:hyperlink w:anchor="_Toc233458811" w:history="1">
            <w:r w:rsidRPr="00793FC8">
              <w:rPr>
                <w:rStyle w:val="Hyperlink"/>
                <w:rFonts w:ascii="Times New Roman" w:hAnsi="Times New Roman" w:cs="Times New Roman"/>
                <w:noProof/>
              </w:rPr>
              <w:t>10.16  Discussion and Implications</w:t>
            </w:r>
            <w:r w:rsidRPr="00793FC8">
              <w:rPr>
                <w:rFonts w:ascii="Times New Roman" w:hAnsi="Times New Roman" w:cs="Times New Roman"/>
                <w:noProof/>
              </w:rPr>
              <w:tab/>
            </w:r>
            <w:r w:rsidRPr="00793FC8">
              <w:rPr>
                <w:rFonts w:ascii="Times New Roman" w:hAnsi="Times New Roman" w:cs="Times New Roman"/>
                <w:noProof/>
              </w:rPr>
              <w:fldChar w:fldCharType="begin"/>
            </w:r>
            <w:r w:rsidRPr="00793FC8">
              <w:rPr>
                <w:rFonts w:ascii="Times New Roman" w:hAnsi="Times New Roman" w:cs="Times New Roman"/>
                <w:noProof/>
              </w:rPr>
              <w:instrText xml:space="preserve"> PAGEREF _Toc233458811 \h </w:instrText>
            </w:r>
            <w:r w:rsidRPr="00793FC8">
              <w:rPr>
                <w:rFonts w:ascii="Times New Roman" w:hAnsi="Times New Roman" w:cs="Times New Roman"/>
                <w:noProof/>
              </w:rPr>
            </w:r>
            <w:r w:rsidRPr="00793FC8">
              <w:rPr>
                <w:rFonts w:ascii="Times New Roman" w:hAnsi="Times New Roman" w:cs="Times New Roman"/>
                <w:noProof/>
              </w:rPr>
              <w:fldChar w:fldCharType="separate"/>
            </w:r>
            <w:r w:rsidRPr="00793FC8">
              <w:rPr>
                <w:rFonts w:ascii="Times New Roman" w:hAnsi="Times New Roman" w:cs="Times New Roman"/>
                <w:noProof/>
              </w:rPr>
              <w:t>1</w:t>
            </w:r>
            <w:r w:rsidRPr="00793FC8">
              <w:rPr>
                <w:rFonts w:ascii="Times New Roman" w:hAnsi="Times New Roman" w:cs="Times New Roman"/>
                <w:noProof/>
              </w:rPr>
              <w:fldChar w:fldCharType="end"/>
            </w:r>
          </w:hyperlink>
        </w:p>
        <w:p w14:paraId="23EEE5DF" w14:textId="1FFCEC6F" w:rsidR="00077D8B" w:rsidRPr="00793FC8" w:rsidRDefault="00077D8B">
          <w:pPr>
            <w:pStyle w:val="TOC2"/>
            <w:tabs>
              <w:tab w:val="right" w:leader="dot" w:pos="9350"/>
            </w:tabs>
            <w:rPr>
              <w:rFonts w:ascii="Times New Roman" w:hAnsi="Times New Roman" w:cs="Times New Roman"/>
              <w:noProof/>
            </w:rPr>
          </w:pPr>
        </w:p>
        <w:p w14:paraId="1EF562D2" w14:textId="77777777" w:rsidR="00017B4A" w:rsidRPr="00793FC8" w:rsidRDefault="00000000">
          <w:pPr>
            <w:rPr>
              <w:rFonts w:ascii="Times New Roman" w:hAnsi="Times New Roman" w:cs="Times New Roman"/>
            </w:rPr>
          </w:pPr>
          <w:r w:rsidRPr="00793FC8">
            <w:rPr>
              <w:rFonts w:ascii="Times New Roman" w:hAnsi="Times New Roman" w:cs="Times New Roman"/>
            </w:rPr>
            <w:fldChar w:fldCharType="end"/>
          </w:r>
        </w:p>
      </w:sdtContent>
    </w:sdt>
    <w:p w14:paraId="46DCDEB7" w14:textId="77777777" w:rsidR="00017B4A" w:rsidRPr="00793FC8" w:rsidRDefault="00000000">
      <w:pPr>
        <w:rPr>
          <w:rFonts w:ascii="Times New Roman" w:hAnsi="Times New Roman" w:cs="Times New Roman"/>
        </w:rPr>
      </w:pPr>
      <w:r w:rsidRPr="00793FC8">
        <w:rPr>
          <w:rFonts w:ascii="Times New Roman" w:hAnsi="Times New Roman" w:cs="Times New Roman"/>
        </w:rPr>
        <w:br w:type="page"/>
      </w:r>
    </w:p>
    <w:p w14:paraId="2258F6D0" w14:textId="7BC0925F" w:rsidR="00017B4A" w:rsidRPr="00793FC8" w:rsidRDefault="00000000">
      <w:pPr>
        <w:pStyle w:val="Heading1"/>
        <w:spacing w:after="120"/>
        <w:rPr>
          <w:rFonts w:ascii="Times New Roman" w:hAnsi="Times New Roman" w:cs="Times New Roman"/>
          <w:color w:val="auto"/>
        </w:rPr>
      </w:pPr>
      <w:bookmarkStart w:id="1" w:name="_Toc233458795"/>
      <w:r w:rsidRPr="00793FC8">
        <w:rPr>
          <w:rFonts w:ascii="Times New Roman" w:hAnsi="Times New Roman" w:cs="Times New Roman"/>
          <w:color w:val="auto"/>
        </w:rPr>
        <w:lastRenderedPageBreak/>
        <w:t>Chapter 1</w:t>
      </w:r>
      <w:bookmarkEnd w:id="1"/>
      <w:r w:rsidR="00C27C9D">
        <w:rPr>
          <w:rFonts w:ascii="Times New Roman" w:hAnsi="Times New Roman" w:cs="Times New Roman"/>
          <w:color w:val="auto"/>
        </w:rPr>
        <w:t>0</w:t>
      </w:r>
    </w:p>
    <w:p w14:paraId="4A01455B" w14:textId="77777777" w:rsidR="00017B4A" w:rsidRPr="00793FC8" w:rsidRDefault="00000000">
      <w:pPr>
        <w:spacing w:after="240"/>
        <w:rPr>
          <w:rFonts w:ascii="Times New Roman" w:hAnsi="Times New Roman" w:cs="Times New Roman"/>
          <w:color w:val="auto"/>
        </w:rPr>
      </w:pPr>
      <w:r w:rsidRPr="00793FC8">
        <w:rPr>
          <w:rFonts w:ascii="Times New Roman" w:hAnsi="Times New Roman" w:cs="Times New Roman"/>
          <w:b/>
          <w:bCs/>
          <w:color w:val="auto"/>
          <w:sz w:val="30"/>
          <w:szCs w:val="30"/>
        </w:rPr>
        <w:t>Time-Series Analysis of the Composite Power Quality Indicator</w:t>
      </w:r>
    </w:p>
    <w:p w14:paraId="2DCE8BF3" w14:textId="77777777" w:rsidR="00017B4A" w:rsidRPr="00C27C9D" w:rsidRDefault="00000000">
      <w:pPr>
        <w:pStyle w:val="Heading2"/>
        <w:rPr>
          <w:rFonts w:ascii="Times New Roman" w:hAnsi="Times New Roman" w:cs="Times New Roman"/>
          <w:color w:val="auto"/>
          <w:sz w:val="24"/>
          <w:szCs w:val="24"/>
        </w:rPr>
      </w:pPr>
      <w:bookmarkStart w:id="2" w:name="_Toc233458796"/>
      <w:proofErr w:type="gramStart"/>
      <w:r w:rsidRPr="00C27C9D">
        <w:rPr>
          <w:rFonts w:ascii="Times New Roman" w:hAnsi="Times New Roman" w:cs="Times New Roman"/>
          <w:color w:val="auto"/>
          <w:sz w:val="24"/>
          <w:szCs w:val="24"/>
        </w:rPr>
        <w:t>10.1  Introduction</w:t>
      </w:r>
      <w:bookmarkEnd w:id="2"/>
      <w:proofErr w:type="gramEnd"/>
    </w:p>
    <w:p w14:paraId="67DBC596" w14:textId="77777777" w:rsidR="00017B4A" w:rsidRPr="00C27C9D" w:rsidRDefault="00000000">
      <w:pPr>
        <w:spacing w:after="160" w:line="276" w:lineRule="auto"/>
        <w:jc w:val="both"/>
        <w:rPr>
          <w:rFonts w:ascii="Times New Roman" w:hAnsi="Times New Roman" w:cs="Times New Roman"/>
          <w:sz w:val="24"/>
          <w:szCs w:val="24"/>
        </w:rPr>
      </w:pPr>
      <w:r w:rsidRPr="00C27C9D">
        <w:rPr>
          <w:rFonts w:ascii="Times New Roman" w:hAnsi="Times New Roman" w:cs="Times New Roman"/>
          <w:sz w:val="24"/>
          <w:szCs w:val="24"/>
        </w:rPr>
        <w:t>Power quality is inherently dynamic. The electrical condition of a distribution feeder evolves continuously in response to load fluctuations, switching operations, weather conditions, seasonal demand cycles, and network disturbances. Whereas statistical and cross-sectional analyses provide a spatial, snapshot-oriented view of feeder performance, time-series analysis investigates how power quality evolves over time and, most importantly, whether a single aggregate indicator can faithfully track that evolution. The central question addressed in this chapter is therefore deceptively simple: does the Composite Power Quality Indicator (CPQI) actually respond to real operational events?</w:t>
      </w:r>
    </w:p>
    <w:p w14:paraId="7538034D" w14:textId="77777777" w:rsidR="00017B4A" w:rsidRPr="00C27C9D" w:rsidRDefault="00000000">
      <w:pPr>
        <w:spacing w:after="160" w:line="276" w:lineRule="auto"/>
        <w:jc w:val="both"/>
        <w:rPr>
          <w:rFonts w:ascii="Times New Roman" w:hAnsi="Times New Roman" w:cs="Times New Roman"/>
          <w:sz w:val="24"/>
          <w:szCs w:val="24"/>
        </w:rPr>
      </w:pPr>
      <w:r w:rsidRPr="00C27C9D">
        <w:rPr>
          <w:rFonts w:ascii="Times New Roman" w:hAnsi="Times New Roman" w:cs="Times New Roman"/>
          <w:sz w:val="24"/>
          <w:szCs w:val="24"/>
        </w:rPr>
        <w:t xml:space="preserve">To answer this question, the CPQI was computed continuously from feeder-level power-logger data and complaint records collected across the service territories of Gazipur PBS-1 and Mymensingh PBS-2 over the period 2024–2026. The indicator integrates five technical pillars—voltage quality, frequency stability, power factor performance, harmonic distortion, and thermal loading—into a single normalized score, and is further validated against reliability, availability, and customer-experience evidence. By examining the temporal </w:t>
      </w:r>
      <w:proofErr w:type="spellStart"/>
      <w:r w:rsidRPr="00C27C9D">
        <w:rPr>
          <w:rFonts w:ascii="Times New Roman" w:hAnsi="Times New Roman" w:cs="Times New Roman"/>
          <w:sz w:val="24"/>
          <w:szCs w:val="24"/>
        </w:rPr>
        <w:t>behaviour</w:t>
      </w:r>
      <w:proofErr w:type="spellEnd"/>
      <w:r w:rsidRPr="00C27C9D">
        <w:rPr>
          <w:rFonts w:ascii="Times New Roman" w:hAnsi="Times New Roman" w:cs="Times New Roman"/>
          <w:sz w:val="24"/>
          <w:szCs w:val="24"/>
        </w:rPr>
        <w:t xml:space="preserve"> of the CPQI at hourly, daily, weekly, monthly, seasonal, and annual scales, and by aligning it with documented disturbance events, this chapter establishes the temporal responsiveness, sensitivity, and engineering credibility of the proposed framework.</w:t>
      </w:r>
    </w:p>
    <w:p w14:paraId="00E38BD3" w14:textId="77777777" w:rsidR="00017B4A" w:rsidRPr="00C27C9D" w:rsidRDefault="00000000">
      <w:pPr>
        <w:spacing w:after="160" w:line="276" w:lineRule="auto"/>
        <w:jc w:val="both"/>
        <w:rPr>
          <w:rFonts w:ascii="Times New Roman" w:hAnsi="Times New Roman" w:cs="Times New Roman"/>
          <w:sz w:val="24"/>
          <w:szCs w:val="24"/>
        </w:rPr>
      </w:pPr>
      <w:r w:rsidRPr="00C27C9D">
        <w:rPr>
          <w:rFonts w:ascii="Times New Roman" w:hAnsi="Times New Roman" w:cs="Times New Roman"/>
          <w:sz w:val="24"/>
          <w:szCs w:val="24"/>
        </w:rPr>
        <w:t xml:space="preserve">In the Bangladesh context, temporal power quality </w:t>
      </w:r>
      <w:proofErr w:type="spellStart"/>
      <w:r w:rsidRPr="00C27C9D">
        <w:rPr>
          <w:rFonts w:ascii="Times New Roman" w:hAnsi="Times New Roman" w:cs="Times New Roman"/>
          <w:sz w:val="24"/>
          <w:szCs w:val="24"/>
        </w:rPr>
        <w:t>behaviour</w:t>
      </w:r>
      <w:proofErr w:type="spellEnd"/>
      <w:r w:rsidRPr="00C27C9D">
        <w:rPr>
          <w:rFonts w:ascii="Times New Roman" w:hAnsi="Times New Roman" w:cs="Times New Roman"/>
          <w:sz w:val="24"/>
          <w:szCs w:val="24"/>
        </w:rPr>
        <w:t xml:space="preserve"> is strongly influenced by climatic conditions, industrial activity cycles, agricultural irrigation demand, religious festivals, and seasonal consumer </w:t>
      </w:r>
      <w:proofErr w:type="spellStart"/>
      <w:r w:rsidRPr="00C27C9D">
        <w:rPr>
          <w:rFonts w:ascii="Times New Roman" w:hAnsi="Times New Roman" w:cs="Times New Roman"/>
          <w:sz w:val="24"/>
          <w:szCs w:val="24"/>
        </w:rPr>
        <w:t>behaviour</w:t>
      </w:r>
      <w:proofErr w:type="spellEnd"/>
      <w:r w:rsidRPr="00C27C9D">
        <w:rPr>
          <w:rFonts w:ascii="Times New Roman" w:hAnsi="Times New Roman" w:cs="Times New Roman"/>
          <w:sz w:val="24"/>
          <w:szCs w:val="24"/>
        </w:rPr>
        <w:t>. During the summer season, increased cooling and industrial demand frequently produce voltage depressions and reduced power factor, while monsoon storms and lightning introduce voltage disturbances, sustained interruptions, and transient events. The time-series treatment presented here therefore not only validates the indicator but also surfaces operational intelligence of direct value to distribution utilities.</w:t>
      </w:r>
    </w:p>
    <w:p w14:paraId="3477D207" w14:textId="77777777" w:rsidR="00017B4A" w:rsidRPr="00C27C9D" w:rsidRDefault="00000000">
      <w:pPr>
        <w:pStyle w:val="Heading3"/>
        <w:rPr>
          <w:rFonts w:ascii="Times New Roman" w:hAnsi="Times New Roman" w:cs="Times New Roman"/>
          <w:color w:val="auto"/>
          <w:sz w:val="24"/>
          <w:szCs w:val="24"/>
        </w:rPr>
      </w:pPr>
      <w:proofErr w:type="gramStart"/>
      <w:r w:rsidRPr="00C27C9D">
        <w:rPr>
          <w:rFonts w:ascii="Times New Roman" w:hAnsi="Times New Roman" w:cs="Times New Roman"/>
          <w:color w:val="auto"/>
          <w:sz w:val="24"/>
          <w:szCs w:val="24"/>
        </w:rPr>
        <w:t>10.1.1  Objectives</w:t>
      </w:r>
      <w:proofErr w:type="gramEnd"/>
      <w:r w:rsidRPr="00C27C9D">
        <w:rPr>
          <w:rFonts w:ascii="Times New Roman" w:hAnsi="Times New Roman" w:cs="Times New Roman"/>
          <w:color w:val="auto"/>
          <w:sz w:val="24"/>
          <w:szCs w:val="24"/>
        </w:rPr>
        <w:t xml:space="preserve"> of the Time-Series Analysis</w:t>
      </w:r>
    </w:p>
    <w:p w14:paraId="73C12F1B" w14:textId="77777777" w:rsidR="00017B4A" w:rsidRPr="00C27C9D" w:rsidRDefault="00000000">
      <w:pPr>
        <w:spacing w:after="160" w:line="276" w:lineRule="auto"/>
        <w:jc w:val="both"/>
        <w:rPr>
          <w:rFonts w:ascii="Times New Roman" w:hAnsi="Times New Roman" w:cs="Times New Roman"/>
          <w:color w:val="auto"/>
          <w:sz w:val="24"/>
          <w:szCs w:val="24"/>
        </w:rPr>
      </w:pPr>
      <w:r w:rsidRPr="00C27C9D">
        <w:rPr>
          <w:rFonts w:ascii="Times New Roman" w:hAnsi="Times New Roman" w:cs="Times New Roman"/>
          <w:color w:val="auto"/>
          <w:sz w:val="24"/>
          <w:szCs w:val="24"/>
        </w:rPr>
        <w:t>The principal objectives of this chapter are:</w:t>
      </w:r>
    </w:p>
    <w:p w14:paraId="55391EF9" w14:textId="77777777" w:rsidR="00017B4A" w:rsidRPr="00C27C9D" w:rsidRDefault="00000000">
      <w:pPr>
        <w:pStyle w:val="ListParagraph"/>
        <w:numPr>
          <w:ilvl w:val="0"/>
          <w:numId w:val="2"/>
        </w:numPr>
        <w:spacing w:after="60" w:line="268" w:lineRule="auto"/>
        <w:rPr>
          <w:rFonts w:ascii="Times New Roman" w:hAnsi="Times New Roman" w:cs="Times New Roman"/>
          <w:color w:val="auto"/>
          <w:sz w:val="24"/>
          <w:szCs w:val="24"/>
        </w:rPr>
      </w:pPr>
      <w:r w:rsidRPr="00C27C9D">
        <w:rPr>
          <w:rFonts w:ascii="Times New Roman" w:hAnsi="Times New Roman" w:cs="Times New Roman"/>
          <w:color w:val="auto"/>
          <w:sz w:val="24"/>
          <w:szCs w:val="24"/>
        </w:rPr>
        <w:t xml:space="preserve">Characterize the long-term and short-term temporal </w:t>
      </w:r>
      <w:proofErr w:type="spellStart"/>
      <w:r w:rsidRPr="00C27C9D">
        <w:rPr>
          <w:rFonts w:ascii="Times New Roman" w:hAnsi="Times New Roman" w:cs="Times New Roman"/>
          <w:color w:val="auto"/>
          <w:sz w:val="24"/>
          <w:szCs w:val="24"/>
        </w:rPr>
        <w:t>behaviour</w:t>
      </w:r>
      <w:proofErr w:type="spellEnd"/>
      <w:r w:rsidRPr="00C27C9D">
        <w:rPr>
          <w:rFonts w:ascii="Times New Roman" w:hAnsi="Times New Roman" w:cs="Times New Roman"/>
          <w:color w:val="auto"/>
          <w:sz w:val="24"/>
          <w:szCs w:val="24"/>
        </w:rPr>
        <w:t xml:space="preserve"> of the CPQI across the monitored feeders.</w:t>
      </w:r>
    </w:p>
    <w:p w14:paraId="0B6617F1" w14:textId="77777777" w:rsidR="00017B4A" w:rsidRPr="00C27C9D" w:rsidRDefault="00000000">
      <w:pPr>
        <w:pStyle w:val="ListParagraph"/>
        <w:numPr>
          <w:ilvl w:val="0"/>
          <w:numId w:val="2"/>
        </w:numPr>
        <w:spacing w:after="60" w:line="268" w:lineRule="auto"/>
        <w:rPr>
          <w:rFonts w:ascii="Times New Roman" w:hAnsi="Times New Roman" w:cs="Times New Roman"/>
          <w:color w:val="auto"/>
          <w:sz w:val="24"/>
          <w:szCs w:val="24"/>
        </w:rPr>
      </w:pPr>
      <w:r w:rsidRPr="00C27C9D">
        <w:rPr>
          <w:rFonts w:ascii="Times New Roman" w:hAnsi="Times New Roman" w:cs="Times New Roman"/>
          <w:color w:val="auto"/>
          <w:sz w:val="24"/>
          <w:szCs w:val="24"/>
        </w:rPr>
        <w:t>Demonstrate that the CPQI responds in the expected direction and magnitude to real operational events such as outages, voltage sags and swells, faults, high loading, low power factor, and harmonic distortion.</w:t>
      </w:r>
    </w:p>
    <w:p w14:paraId="66B13817" w14:textId="77777777" w:rsidR="00017B4A" w:rsidRPr="00C27C9D" w:rsidRDefault="00000000">
      <w:pPr>
        <w:pStyle w:val="ListParagraph"/>
        <w:numPr>
          <w:ilvl w:val="0"/>
          <w:numId w:val="2"/>
        </w:numPr>
        <w:spacing w:after="60" w:line="268" w:lineRule="auto"/>
        <w:rPr>
          <w:rFonts w:ascii="Times New Roman" w:hAnsi="Times New Roman" w:cs="Times New Roman"/>
          <w:color w:val="auto"/>
          <w:sz w:val="24"/>
          <w:szCs w:val="24"/>
        </w:rPr>
      </w:pPr>
      <w:r w:rsidRPr="00C27C9D">
        <w:rPr>
          <w:rFonts w:ascii="Times New Roman" w:hAnsi="Times New Roman" w:cs="Times New Roman"/>
          <w:color w:val="auto"/>
          <w:sz w:val="24"/>
          <w:szCs w:val="24"/>
        </w:rPr>
        <w:t xml:space="preserve">Quantify the temporal </w:t>
      </w:r>
      <w:proofErr w:type="spellStart"/>
      <w:r w:rsidRPr="00C27C9D">
        <w:rPr>
          <w:rFonts w:ascii="Times New Roman" w:hAnsi="Times New Roman" w:cs="Times New Roman"/>
          <w:color w:val="auto"/>
          <w:sz w:val="24"/>
          <w:szCs w:val="24"/>
        </w:rPr>
        <w:t>behaviour</w:t>
      </w:r>
      <w:proofErr w:type="spellEnd"/>
      <w:r w:rsidRPr="00C27C9D">
        <w:rPr>
          <w:rFonts w:ascii="Times New Roman" w:hAnsi="Times New Roman" w:cs="Times New Roman"/>
          <w:color w:val="auto"/>
          <w:sz w:val="24"/>
          <w:szCs w:val="24"/>
        </w:rPr>
        <w:t xml:space="preserve"> of the individual technical dimensions (voltage, frequency, power factor, loading, and harmonics) that constitute the indicator.</w:t>
      </w:r>
    </w:p>
    <w:p w14:paraId="37C1A565" w14:textId="77777777" w:rsidR="00017B4A" w:rsidRPr="00C27C9D" w:rsidRDefault="00000000">
      <w:pPr>
        <w:pStyle w:val="ListParagraph"/>
        <w:numPr>
          <w:ilvl w:val="0"/>
          <w:numId w:val="2"/>
        </w:numPr>
        <w:spacing w:after="60" w:line="268" w:lineRule="auto"/>
        <w:rPr>
          <w:rFonts w:ascii="Times New Roman" w:hAnsi="Times New Roman" w:cs="Times New Roman"/>
          <w:color w:val="auto"/>
          <w:sz w:val="24"/>
          <w:szCs w:val="24"/>
        </w:rPr>
      </w:pPr>
      <w:r w:rsidRPr="00C27C9D">
        <w:rPr>
          <w:rFonts w:ascii="Times New Roman" w:hAnsi="Times New Roman" w:cs="Times New Roman"/>
          <w:color w:val="auto"/>
          <w:sz w:val="24"/>
          <w:szCs w:val="24"/>
        </w:rPr>
        <w:lastRenderedPageBreak/>
        <w:t>Validate the indicator against customer-perceived quality, reliability indices (SAIFI, SAIDI, MTTR), availability, and complaint records.</w:t>
      </w:r>
    </w:p>
    <w:p w14:paraId="1AF2E1C5" w14:textId="77777777" w:rsidR="00017B4A" w:rsidRPr="00C27C9D" w:rsidRDefault="00000000">
      <w:pPr>
        <w:pStyle w:val="ListParagraph"/>
        <w:numPr>
          <w:ilvl w:val="0"/>
          <w:numId w:val="2"/>
        </w:numPr>
        <w:spacing w:after="60" w:line="268" w:lineRule="auto"/>
        <w:rPr>
          <w:rFonts w:ascii="Times New Roman" w:hAnsi="Times New Roman" w:cs="Times New Roman"/>
          <w:color w:val="auto"/>
          <w:sz w:val="24"/>
          <w:szCs w:val="24"/>
        </w:rPr>
      </w:pPr>
      <w:r w:rsidRPr="00C27C9D">
        <w:rPr>
          <w:rFonts w:ascii="Times New Roman" w:hAnsi="Times New Roman" w:cs="Times New Roman"/>
          <w:color w:val="auto"/>
          <w:sz w:val="24"/>
          <w:szCs w:val="24"/>
        </w:rPr>
        <w:t>Assess the robustness of the indicator and its feeder rankings through sensitivity, extreme-event, and statistical-significance testing.</w:t>
      </w:r>
    </w:p>
    <w:p w14:paraId="72CC0061" w14:textId="77777777" w:rsidR="00017B4A" w:rsidRPr="00C27C9D" w:rsidRDefault="00000000">
      <w:pPr>
        <w:pStyle w:val="Heading3"/>
        <w:rPr>
          <w:rFonts w:ascii="Times New Roman" w:hAnsi="Times New Roman" w:cs="Times New Roman"/>
          <w:color w:val="auto"/>
          <w:sz w:val="24"/>
          <w:szCs w:val="24"/>
        </w:rPr>
      </w:pPr>
      <w:proofErr w:type="gramStart"/>
      <w:r w:rsidRPr="00C27C9D">
        <w:rPr>
          <w:rFonts w:ascii="Times New Roman" w:hAnsi="Times New Roman" w:cs="Times New Roman"/>
          <w:color w:val="auto"/>
          <w:sz w:val="24"/>
          <w:szCs w:val="24"/>
        </w:rPr>
        <w:t>10.1.2  Multi</w:t>
      </w:r>
      <w:proofErr w:type="gramEnd"/>
      <w:r w:rsidRPr="00C27C9D">
        <w:rPr>
          <w:rFonts w:ascii="Times New Roman" w:hAnsi="Times New Roman" w:cs="Times New Roman"/>
          <w:color w:val="auto"/>
          <w:sz w:val="24"/>
          <w:szCs w:val="24"/>
        </w:rPr>
        <w:t>-Scale Analytical Framework</w:t>
      </w:r>
    </w:p>
    <w:p w14:paraId="173783D3" w14:textId="77777777" w:rsidR="00017B4A" w:rsidRPr="00C27C9D" w:rsidRDefault="00000000">
      <w:pPr>
        <w:spacing w:after="160" w:line="276" w:lineRule="auto"/>
        <w:jc w:val="both"/>
        <w:rPr>
          <w:rFonts w:ascii="Times New Roman" w:hAnsi="Times New Roman" w:cs="Times New Roman"/>
          <w:color w:val="auto"/>
          <w:sz w:val="24"/>
          <w:szCs w:val="24"/>
        </w:rPr>
      </w:pPr>
      <w:r w:rsidRPr="00C27C9D">
        <w:rPr>
          <w:rFonts w:ascii="Times New Roman" w:hAnsi="Times New Roman" w:cs="Times New Roman"/>
          <w:color w:val="auto"/>
          <w:sz w:val="24"/>
          <w:szCs w:val="24"/>
        </w:rPr>
        <w:t>Following the temporal methodology established earlier in this research, the analysis is organized across four complementary temporal scales. Short-term analysis examines hourly, daily, and weekly variations; medium-term analysis addresses monthly and seasonal variations; long-term analysis evaluates annual trends and multi-year evolution; and event-based analysis isolates the indicator response to discrete disturbances. The multi-scale approach enables identification of both short-duration disturbances and gradual, long-term performance degradation within a single coherent framework.</w:t>
      </w:r>
    </w:p>
    <w:p w14:paraId="47C8EF6C" w14:textId="77777777" w:rsidR="00017B4A" w:rsidRPr="00793FC8" w:rsidRDefault="00000000">
      <w:pPr>
        <w:pStyle w:val="Heading2"/>
        <w:rPr>
          <w:rFonts w:ascii="Times New Roman" w:hAnsi="Times New Roman" w:cs="Times New Roman"/>
          <w:color w:val="auto"/>
        </w:rPr>
      </w:pPr>
      <w:bookmarkStart w:id="3" w:name="_Toc233458797"/>
      <w:proofErr w:type="gramStart"/>
      <w:r w:rsidRPr="00793FC8">
        <w:rPr>
          <w:rFonts w:ascii="Times New Roman" w:hAnsi="Times New Roman" w:cs="Times New Roman"/>
          <w:color w:val="auto"/>
        </w:rPr>
        <w:t>10.2  Monitoring</w:t>
      </w:r>
      <w:proofErr w:type="gramEnd"/>
      <w:r w:rsidRPr="00793FC8">
        <w:rPr>
          <w:rFonts w:ascii="Times New Roman" w:hAnsi="Times New Roman" w:cs="Times New Roman"/>
          <w:color w:val="auto"/>
        </w:rPr>
        <w:t xml:space="preserve"> Configuration and Power Quality Standards</w:t>
      </w:r>
      <w:bookmarkEnd w:id="3"/>
    </w:p>
    <w:p w14:paraId="0295DDCD" w14:textId="77777777" w:rsidR="00017B4A" w:rsidRPr="00C27C9D" w:rsidRDefault="00000000">
      <w:pPr>
        <w:spacing w:after="160" w:line="276" w:lineRule="auto"/>
        <w:jc w:val="both"/>
        <w:rPr>
          <w:rFonts w:ascii="Times New Roman" w:hAnsi="Times New Roman" w:cs="Times New Roman"/>
          <w:sz w:val="24"/>
          <w:szCs w:val="24"/>
        </w:rPr>
      </w:pPr>
      <w:r w:rsidRPr="00C27C9D">
        <w:rPr>
          <w:rFonts w:ascii="Times New Roman" w:hAnsi="Times New Roman" w:cs="Times New Roman"/>
          <w:color w:val="auto"/>
          <w:sz w:val="24"/>
          <w:szCs w:val="24"/>
        </w:rPr>
        <w:t xml:space="preserve">The time-series study was conducted on six representative feeders spanning industrial, commercial, residential, and agricultural consumer profiles. These </w:t>
      </w:r>
      <w:r w:rsidRPr="00C27C9D">
        <w:rPr>
          <w:rFonts w:ascii="Times New Roman" w:hAnsi="Times New Roman" w:cs="Times New Roman"/>
          <w:sz w:val="24"/>
          <w:szCs w:val="24"/>
        </w:rPr>
        <w:t>feeders were selected to capture the diversity of operating conditions observed across Bangladesh’s distribution network, ranging from stabilized industrial feeders to heavily stressed feeders exhibiting frequent disturbances. Table 10.1 summarizes the monitored feeders and their consumer characteristics.</w:t>
      </w:r>
    </w:p>
    <w:p w14:paraId="4A6AB399" w14:textId="77777777" w:rsidR="00017B4A" w:rsidRPr="00C27C9D" w:rsidRDefault="00000000">
      <w:pPr>
        <w:spacing w:before="160" w:after="60"/>
        <w:rPr>
          <w:rFonts w:ascii="Times New Roman" w:hAnsi="Times New Roman" w:cs="Times New Roman"/>
          <w:sz w:val="24"/>
          <w:szCs w:val="24"/>
        </w:rPr>
      </w:pPr>
      <w:r w:rsidRPr="00C27C9D">
        <w:rPr>
          <w:rFonts w:ascii="Times New Roman" w:hAnsi="Times New Roman" w:cs="Times New Roman"/>
          <w:b/>
          <w:bCs/>
          <w:sz w:val="24"/>
          <w:szCs w:val="24"/>
        </w:rPr>
        <w:t>Table 10.1: Monitoring Feeders Considered in the Time-Series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17B4A" w:rsidRPr="00793FC8" w14:paraId="09123BD6" w14:textId="77777777">
        <w:trPr>
          <w:tblHeader/>
        </w:trPr>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7A78E247"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Feeder Name</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0A8DABA4"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Substation Location</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77FE7124"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Voltage Level (kV)</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7747659D"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Consumer Type Profile</w:t>
            </w:r>
          </w:p>
        </w:tc>
      </w:tr>
      <w:tr w:rsidR="00017B4A" w:rsidRPr="00793FC8" w14:paraId="74CA345B"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B8E47B4"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GACHA 1 F3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C617864" w14:textId="77777777" w:rsidR="00017B4A" w:rsidRPr="00793FC8" w:rsidRDefault="00000000">
            <w:pPr>
              <w:jc w:val="center"/>
              <w:rPr>
                <w:rFonts w:ascii="Times New Roman" w:hAnsi="Times New Roman" w:cs="Times New Roman"/>
              </w:rPr>
            </w:pPr>
            <w:proofErr w:type="spellStart"/>
            <w:r w:rsidRPr="00793FC8">
              <w:rPr>
                <w:rFonts w:ascii="Times New Roman" w:hAnsi="Times New Roman" w:cs="Times New Roman"/>
                <w:sz w:val="17"/>
                <w:szCs w:val="17"/>
              </w:rPr>
              <w:t>Gacha</w:t>
            </w:r>
            <w:proofErr w:type="spellEnd"/>
            <w:r w:rsidRPr="00793FC8">
              <w:rPr>
                <w:rFonts w:ascii="Times New Roman" w:hAnsi="Times New Roman" w:cs="Times New Roman"/>
                <w:sz w:val="17"/>
                <w:szCs w:val="17"/>
              </w:rPr>
              <w:t xml:space="preserve"> Substation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254706B"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C697569"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Commercial/Residential</w:t>
            </w:r>
          </w:p>
        </w:tc>
      </w:tr>
      <w:tr w:rsidR="00017B4A" w:rsidRPr="00793FC8" w14:paraId="5361561C"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C477788"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GACHA 1 F4</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CC1423F" w14:textId="77777777" w:rsidR="00017B4A" w:rsidRPr="00793FC8" w:rsidRDefault="00000000">
            <w:pPr>
              <w:jc w:val="center"/>
              <w:rPr>
                <w:rFonts w:ascii="Times New Roman" w:hAnsi="Times New Roman" w:cs="Times New Roman"/>
              </w:rPr>
            </w:pPr>
            <w:proofErr w:type="spellStart"/>
            <w:r w:rsidRPr="00793FC8">
              <w:rPr>
                <w:rFonts w:ascii="Times New Roman" w:hAnsi="Times New Roman" w:cs="Times New Roman"/>
                <w:sz w:val="17"/>
                <w:szCs w:val="17"/>
              </w:rPr>
              <w:t>Gacha</w:t>
            </w:r>
            <w:proofErr w:type="spellEnd"/>
            <w:r w:rsidRPr="00793FC8">
              <w:rPr>
                <w:rFonts w:ascii="Times New Roman" w:hAnsi="Times New Roman" w:cs="Times New Roman"/>
                <w:sz w:val="17"/>
                <w:szCs w:val="17"/>
              </w:rPr>
              <w:t xml:space="preserve"> Substation</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D173A50"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11</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F24D738"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Industrial Heavy</w:t>
            </w:r>
          </w:p>
        </w:tc>
      </w:tr>
      <w:tr w:rsidR="00017B4A" w:rsidRPr="00793FC8" w14:paraId="008E323A"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831570C"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1 F5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7E55042" w14:textId="77777777" w:rsidR="00017B4A" w:rsidRPr="00793FC8" w:rsidRDefault="00000000">
            <w:pPr>
              <w:jc w:val="center"/>
              <w:rPr>
                <w:rFonts w:ascii="Times New Roman" w:hAnsi="Times New Roman" w:cs="Times New Roman"/>
              </w:rPr>
            </w:pPr>
            <w:proofErr w:type="spellStart"/>
            <w:r w:rsidRPr="00793FC8">
              <w:rPr>
                <w:rFonts w:ascii="Times New Roman" w:hAnsi="Times New Roman" w:cs="Times New Roman"/>
                <w:sz w:val="17"/>
                <w:szCs w:val="17"/>
              </w:rPr>
              <w:t>Sreepur</w:t>
            </w:r>
            <w:proofErr w:type="spellEnd"/>
            <w:r w:rsidRPr="00793FC8">
              <w:rPr>
                <w:rFonts w:ascii="Times New Roman" w:hAnsi="Times New Roman" w:cs="Times New Roman"/>
                <w:sz w:val="17"/>
                <w:szCs w:val="17"/>
              </w:rPr>
              <w:t xml:space="preserve"> Substation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344D93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34D8903"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Residential/Agricultural</w:t>
            </w:r>
          </w:p>
        </w:tc>
      </w:tr>
      <w:tr w:rsidR="00017B4A" w:rsidRPr="00793FC8" w14:paraId="2D52F307"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A29918A"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JOYDEBPUR 7 F5</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7C15D5C" w14:textId="77777777" w:rsidR="00017B4A" w:rsidRPr="00793FC8" w:rsidRDefault="00000000">
            <w:pPr>
              <w:jc w:val="center"/>
              <w:rPr>
                <w:rFonts w:ascii="Times New Roman" w:hAnsi="Times New Roman" w:cs="Times New Roman"/>
              </w:rPr>
            </w:pPr>
            <w:proofErr w:type="spellStart"/>
            <w:r w:rsidRPr="00793FC8">
              <w:rPr>
                <w:rFonts w:ascii="Times New Roman" w:hAnsi="Times New Roman" w:cs="Times New Roman"/>
                <w:sz w:val="17"/>
                <w:szCs w:val="17"/>
              </w:rPr>
              <w:t>Joydebpur</w:t>
            </w:r>
            <w:proofErr w:type="spellEnd"/>
            <w:r w:rsidRPr="00793FC8">
              <w:rPr>
                <w:rFonts w:ascii="Times New Roman" w:hAnsi="Times New Roman" w:cs="Times New Roman"/>
                <w:sz w:val="17"/>
                <w:szCs w:val="17"/>
              </w:rPr>
              <w:t xml:space="preserve"> Substation</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0276BE3"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11</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362B8A8"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Mixed Commercial</w:t>
            </w:r>
          </w:p>
        </w:tc>
      </w:tr>
      <w:tr w:rsidR="00017B4A" w:rsidRPr="00793FC8" w14:paraId="5CC65B49"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2421FE5"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7 F1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DCE718E" w14:textId="77777777" w:rsidR="00017B4A" w:rsidRPr="00793FC8" w:rsidRDefault="00000000">
            <w:pPr>
              <w:jc w:val="center"/>
              <w:rPr>
                <w:rFonts w:ascii="Times New Roman" w:hAnsi="Times New Roman" w:cs="Times New Roman"/>
              </w:rPr>
            </w:pPr>
            <w:proofErr w:type="spellStart"/>
            <w:r w:rsidRPr="00793FC8">
              <w:rPr>
                <w:rFonts w:ascii="Times New Roman" w:hAnsi="Times New Roman" w:cs="Times New Roman"/>
                <w:sz w:val="17"/>
                <w:szCs w:val="17"/>
              </w:rPr>
              <w:t>Sreepur</w:t>
            </w:r>
            <w:proofErr w:type="spellEnd"/>
            <w:r w:rsidRPr="00793FC8">
              <w:rPr>
                <w:rFonts w:ascii="Times New Roman" w:hAnsi="Times New Roman" w:cs="Times New Roman"/>
                <w:sz w:val="17"/>
                <w:szCs w:val="17"/>
              </w:rPr>
              <w:t xml:space="preserve"> Substation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3E71481"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30A4A0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Industrial Stressed</w:t>
            </w:r>
          </w:p>
        </w:tc>
      </w:tr>
      <w:tr w:rsidR="00017B4A" w:rsidRPr="00793FC8" w14:paraId="0B8AE808"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0A8E592"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8 F2</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A7BFB04" w14:textId="77777777" w:rsidR="00017B4A" w:rsidRPr="00793FC8" w:rsidRDefault="00000000">
            <w:pPr>
              <w:jc w:val="center"/>
              <w:rPr>
                <w:rFonts w:ascii="Times New Roman" w:hAnsi="Times New Roman" w:cs="Times New Roman"/>
              </w:rPr>
            </w:pPr>
            <w:proofErr w:type="spellStart"/>
            <w:r w:rsidRPr="00793FC8">
              <w:rPr>
                <w:rFonts w:ascii="Times New Roman" w:hAnsi="Times New Roman" w:cs="Times New Roman"/>
                <w:sz w:val="17"/>
                <w:szCs w:val="17"/>
              </w:rPr>
              <w:t>Sreepur</w:t>
            </w:r>
            <w:proofErr w:type="spellEnd"/>
            <w:r w:rsidRPr="00793FC8">
              <w:rPr>
                <w:rFonts w:ascii="Times New Roman" w:hAnsi="Times New Roman" w:cs="Times New Roman"/>
                <w:sz w:val="17"/>
                <w:szCs w:val="17"/>
              </w:rPr>
              <w:t xml:space="preserve"> Substation</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1598E49"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11</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3B46B73"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Stabilized Industrial</w:t>
            </w:r>
          </w:p>
        </w:tc>
      </w:tr>
    </w:tbl>
    <w:p w14:paraId="6AF438CB" w14:textId="77777777" w:rsidR="00017B4A" w:rsidRPr="00793FC8" w:rsidRDefault="00017B4A">
      <w:pPr>
        <w:spacing w:after="200"/>
        <w:rPr>
          <w:rFonts w:ascii="Times New Roman" w:hAnsi="Times New Roman" w:cs="Times New Roman"/>
        </w:rPr>
      </w:pPr>
    </w:p>
    <w:p w14:paraId="3633C54C" w14:textId="77777777" w:rsidR="00017B4A" w:rsidRPr="00C27C9D" w:rsidRDefault="00000000">
      <w:pPr>
        <w:spacing w:after="160" w:line="276" w:lineRule="auto"/>
        <w:jc w:val="both"/>
        <w:rPr>
          <w:rFonts w:ascii="Times New Roman" w:hAnsi="Times New Roman" w:cs="Times New Roman"/>
          <w:sz w:val="24"/>
          <w:szCs w:val="24"/>
        </w:rPr>
      </w:pPr>
      <w:r w:rsidRPr="00C27C9D">
        <w:rPr>
          <w:rFonts w:ascii="Times New Roman" w:hAnsi="Times New Roman" w:cs="Times New Roman"/>
          <w:sz w:val="24"/>
          <w:szCs w:val="24"/>
        </w:rPr>
        <w:t>The evaluation of power quality requires reference thresholds against which measured parameters are scored. Table 10.2 lists the nominal values, allowable boundary limits, and reference standards adopted for each technical parameter, drawn from IEEE 1159, IEEE 519-2022, the Bangladesh Grid Code, and BERC regulations. These limits define the compliance bands used throughout the indicator computation.</w:t>
      </w:r>
    </w:p>
    <w:p w14:paraId="7B24D0B1" w14:textId="77777777" w:rsidR="00017B4A" w:rsidRPr="00C27C9D" w:rsidRDefault="00000000">
      <w:pPr>
        <w:spacing w:before="160" w:after="60"/>
        <w:rPr>
          <w:rFonts w:ascii="Times New Roman" w:hAnsi="Times New Roman" w:cs="Times New Roman"/>
          <w:sz w:val="24"/>
          <w:szCs w:val="24"/>
        </w:rPr>
      </w:pPr>
      <w:r w:rsidRPr="00C27C9D">
        <w:rPr>
          <w:rFonts w:ascii="Times New Roman" w:hAnsi="Times New Roman" w:cs="Times New Roman"/>
          <w:b/>
          <w:bCs/>
          <w:sz w:val="24"/>
          <w:szCs w:val="24"/>
        </w:rPr>
        <w:t>Table 10.2: Power Quality Standards and Compliance Limits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17B4A" w:rsidRPr="00793FC8" w14:paraId="673160BC" w14:textId="77777777">
        <w:trPr>
          <w:tblHeader/>
        </w:trPr>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4E671F92"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Parameter</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6532F4E2"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Nominal / Target Value</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6EE981ED"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Allowable Boundary Limits</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0F2A5CA8"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Reference Standard Standardized</w:t>
            </w:r>
          </w:p>
        </w:tc>
      </w:tr>
      <w:tr w:rsidR="00017B4A" w:rsidRPr="00793FC8" w14:paraId="66AC3C22"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C5905FA"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Voltage Variation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E47476D"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63.5 V (Line-to-Neutral)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F8BE0F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±10% (57.15 V – 69.85 V)</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442185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IEEE 1159 / Grid Code</w:t>
            </w:r>
          </w:p>
        </w:tc>
      </w:tr>
      <w:tr w:rsidR="00017B4A" w:rsidRPr="00793FC8" w14:paraId="78F58E70"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88BDA96"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Grid Frequency</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84D9E76"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50.0 Hz</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4C4D2F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±1.0% (49.50 Hz – 50.50 Hz)</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DDED747"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Bangladesh Grid Standard</w:t>
            </w:r>
          </w:p>
        </w:tc>
      </w:tr>
      <w:tr w:rsidR="00017B4A" w:rsidRPr="00793FC8" w14:paraId="1378BA01"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F66621C"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lastRenderedPageBreak/>
              <w:t>Power Factor (Lagging)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5CEBD17"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0.95 Target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738EB01"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Minimum 0.85 Penalty Threshold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D9C626D"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BERC Regulations</w:t>
            </w:r>
          </w:p>
        </w:tc>
      </w:tr>
      <w:tr w:rsidR="00017B4A" w:rsidRPr="00793FC8" w14:paraId="2FF2DAF7"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9847A01"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Voltage Harmonics (</w:t>
            </w:r>
            <w:proofErr w:type="spellStart"/>
            <w:r w:rsidRPr="00793FC8">
              <w:rPr>
                <w:rFonts w:ascii="Times New Roman" w:hAnsi="Times New Roman" w:cs="Times New Roman"/>
                <w:sz w:val="17"/>
                <w:szCs w:val="17"/>
              </w:rPr>
              <w:t>THDv</w:t>
            </w:r>
            <w:proofErr w:type="spellEnd"/>
            <w:r w:rsidRPr="00793FC8">
              <w:rPr>
                <w:rFonts w:ascii="Times New Roman" w:hAnsi="Times New Roman" w:cs="Times New Roman"/>
                <w:sz w:val="17"/>
                <w:szCs w:val="17"/>
              </w:rPr>
              <w:t>)</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A493057"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0.0 %</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4D0210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Maximum 5.0% Limit</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F8F8520"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IEEE 519-2022</w:t>
            </w:r>
          </w:p>
        </w:tc>
      </w:tr>
      <w:tr w:rsidR="00017B4A" w:rsidRPr="00793FC8" w14:paraId="1F947A62"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2C7145E"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Current Harmonics (</w:t>
            </w:r>
            <w:proofErr w:type="spellStart"/>
            <w:r w:rsidRPr="00793FC8">
              <w:rPr>
                <w:rFonts w:ascii="Times New Roman" w:hAnsi="Times New Roman" w:cs="Times New Roman"/>
                <w:sz w:val="17"/>
                <w:szCs w:val="17"/>
              </w:rPr>
              <w:t>THDi</w:t>
            </w:r>
            <w:proofErr w:type="spellEnd"/>
            <w:r w:rsidRPr="00793FC8">
              <w:rPr>
                <w:rFonts w:ascii="Times New Roman" w:hAnsi="Times New Roman" w:cs="Times New Roman"/>
                <w:sz w:val="17"/>
                <w:szCs w:val="17"/>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A651D6E"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0.0 %</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4270983"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Maximum 8.0% Limit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8A4A681"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IEEE 519-2022</w:t>
            </w:r>
          </w:p>
        </w:tc>
      </w:tr>
    </w:tbl>
    <w:p w14:paraId="1E27BB13" w14:textId="77777777" w:rsidR="00017B4A" w:rsidRPr="00793FC8" w:rsidRDefault="00017B4A">
      <w:pPr>
        <w:spacing w:after="200"/>
        <w:rPr>
          <w:rFonts w:ascii="Times New Roman" w:hAnsi="Times New Roman" w:cs="Times New Roman"/>
        </w:rPr>
      </w:pPr>
    </w:p>
    <w:p w14:paraId="75408797" w14:textId="77777777" w:rsidR="00017B4A" w:rsidRPr="00C27C9D" w:rsidRDefault="00000000">
      <w:pPr>
        <w:spacing w:after="160" w:line="276" w:lineRule="auto"/>
        <w:jc w:val="both"/>
        <w:rPr>
          <w:rFonts w:ascii="Times New Roman" w:hAnsi="Times New Roman" w:cs="Times New Roman"/>
          <w:sz w:val="24"/>
          <w:szCs w:val="24"/>
        </w:rPr>
      </w:pPr>
      <w:r w:rsidRPr="00C27C9D">
        <w:rPr>
          <w:rFonts w:ascii="Times New Roman" w:hAnsi="Times New Roman" w:cs="Times New Roman"/>
          <w:sz w:val="24"/>
          <w:szCs w:val="24"/>
        </w:rPr>
        <w:t>The CPQI aggregates five weighted technical sub-scores into a single index. The weighting scheme, presented in Table 10.3, assigns the largest weight to voltage stability, reflecting its primacy as a service-quality determinant, followed by frequency and power factor, with harmonic distortion and thermal loading contributing the remaining share. The weights sum to unity, preserving the normalization constraint of the framework, and were later subjected to sensitivity testing (Section 10.14).</w:t>
      </w:r>
    </w:p>
    <w:p w14:paraId="479E94D4" w14:textId="77777777" w:rsidR="00017B4A" w:rsidRPr="00C27C9D" w:rsidRDefault="00000000">
      <w:pPr>
        <w:spacing w:before="160" w:after="60"/>
        <w:rPr>
          <w:rFonts w:ascii="Times New Roman" w:hAnsi="Times New Roman" w:cs="Times New Roman"/>
          <w:sz w:val="24"/>
          <w:szCs w:val="24"/>
        </w:rPr>
      </w:pPr>
      <w:r w:rsidRPr="00C27C9D">
        <w:rPr>
          <w:rFonts w:ascii="Times New Roman" w:hAnsi="Times New Roman" w:cs="Times New Roman"/>
          <w:b/>
          <w:bCs/>
          <w:sz w:val="24"/>
          <w:szCs w:val="24"/>
        </w:rPr>
        <w:t>Table 10.3: CPQI Weight Distribution Across Technical Pillars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17B4A" w:rsidRPr="00793FC8" w14:paraId="4D9A1543" w14:textId="77777777">
        <w:trPr>
          <w:tblHeader/>
        </w:trPr>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29C0754A"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Framework Pillar Component</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57605D6A"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Assigned Linear Weight (</w:t>
            </w:r>
            <w:proofErr w:type="spellStart"/>
            <w:r w:rsidRPr="00793FC8">
              <w:rPr>
                <w:rFonts w:ascii="Times New Roman" w:hAnsi="Times New Roman" w:cs="Times New Roman"/>
                <w:b/>
                <w:bCs/>
                <w:color w:val="FFFFFF"/>
                <w:sz w:val="17"/>
                <w:szCs w:val="17"/>
              </w:rPr>
              <w:t>W_i</w:t>
            </w:r>
            <w:proofErr w:type="spellEnd"/>
            <w:r w:rsidRPr="00793FC8">
              <w:rPr>
                <w:rFonts w:ascii="Times New Roman" w:hAnsi="Times New Roman" w:cs="Times New Roman"/>
                <w:b/>
                <w:bCs/>
                <w:color w:val="FFFFFF"/>
                <w:sz w:val="17"/>
                <w:szCs w:val="17"/>
              </w:rPr>
              <w:t>)</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26EC9AEE"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Percentage Contribution (%)</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5E0053C2"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Engineering Optimization Justification</w:t>
            </w:r>
          </w:p>
        </w:tc>
      </w:tr>
      <w:tr w:rsidR="00017B4A" w:rsidRPr="00793FC8" w14:paraId="67A01E8F"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B2E98BD"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Voltage Score (S_V)</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5A645A1"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0.35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6CA0974"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35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FD98A6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Primary indicator for grid stability and drop susceptibility.</w:t>
            </w:r>
          </w:p>
        </w:tc>
      </w:tr>
      <w:tr w:rsidR="00017B4A" w:rsidRPr="00793FC8" w14:paraId="4B7A2438"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4C13F2D"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Frequency Score (S_F)</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4A1520E"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0.2</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BD5991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20</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C5F9F97"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Global grid balance tracker matching load-generation conditions.</w:t>
            </w:r>
          </w:p>
        </w:tc>
      </w:tr>
      <w:tr w:rsidR="00017B4A" w:rsidRPr="00793FC8" w14:paraId="7C00EE9A"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7CC534F"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Power Factor Score (S_PF)</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4A4C4CE"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01EFB23"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20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F95418F"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Direct driver for reactive penalty validation and losses.</w:t>
            </w:r>
          </w:p>
        </w:tc>
      </w:tr>
      <w:tr w:rsidR="00017B4A" w:rsidRPr="00793FC8" w14:paraId="2D20A8F6"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ACE7A1D"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Harmonics Distortion Score (S_H)</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E2F813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0.15</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F7D6DFB"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15</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9F0FCD6"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Tracks equipment lifecycle limits and waveform cleanly.</w:t>
            </w:r>
          </w:p>
        </w:tc>
      </w:tr>
      <w:tr w:rsidR="00017B4A" w:rsidRPr="00793FC8" w14:paraId="05020008"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8FEABB9"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Thermal Loading Score (S_L)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D0EC78D"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B0A42E9"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3B5EAE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Thermal limit monitor to check system loading capabilities.</w:t>
            </w:r>
          </w:p>
        </w:tc>
      </w:tr>
    </w:tbl>
    <w:p w14:paraId="38C7F166" w14:textId="77777777" w:rsidR="00017B4A" w:rsidRPr="00793FC8" w:rsidRDefault="00017B4A">
      <w:pPr>
        <w:spacing w:after="200"/>
        <w:rPr>
          <w:rFonts w:ascii="Times New Roman" w:hAnsi="Times New Roman" w:cs="Times New Roman"/>
        </w:rPr>
      </w:pPr>
    </w:p>
    <w:p w14:paraId="69849C43" w14:textId="77777777" w:rsidR="00017B4A" w:rsidRPr="00793FC8" w:rsidRDefault="00000000">
      <w:pPr>
        <w:pStyle w:val="Heading2"/>
        <w:rPr>
          <w:rFonts w:ascii="Times New Roman" w:hAnsi="Times New Roman" w:cs="Times New Roman"/>
          <w:color w:val="auto"/>
        </w:rPr>
      </w:pPr>
      <w:bookmarkStart w:id="4" w:name="_Toc233458798"/>
      <w:proofErr w:type="gramStart"/>
      <w:r w:rsidRPr="00793FC8">
        <w:rPr>
          <w:rFonts w:ascii="Times New Roman" w:hAnsi="Times New Roman" w:cs="Times New Roman"/>
          <w:color w:val="auto"/>
        </w:rPr>
        <w:t>10.3  Time</w:t>
      </w:r>
      <w:proofErr w:type="gramEnd"/>
      <w:r w:rsidRPr="00793FC8">
        <w:rPr>
          <w:rFonts w:ascii="Times New Roman" w:hAnsi="Times New Roman" w:cs="Times New Roman"/>
          <w:color w:val="auto"/>
        </w:rPr>
        <w:t xml:space="preserve">-Series </w:t>
      </w:r>
      <w:proofErr w:type="spellStart"/>
      <w:r w:rsidRPr="00793FC8">
        <w:rPr>
          <w:rFonts w:ascii="Times New Roman" w:hAnsi="Times New Roman" w:cs="Times New Roman"/>
          <w:color w:val="auto"/>
        </w:rPr>
        <w:t>Behaviour</w:t>
      </w:r>
      <w:proofErr w:type="spellEnd"/>
      <w:r w:rsidRPr="00793FC8">
        <w:rPr>
          <w:rFonts w:ascii="Times New Roman" w:hAnsi="Times New Roman" w:cs="Times New Roman"/>
          <w:color w:val="auto"/>
        </w:rPr>
        <w:t xml:space="preserve"> of the CPQI</w:t>
      </w:r>
      <w:bookmarkEnd w:id="4"/>
    </w:p>
    <w:p w14:paraId="1F6B97C0" w14:textId="77777777" w:rsidR="00017B4A" w:rsidRPr="00C27C9D" w:rsidRDefault="00000000">
      <w:pPr>
        <w:spacing w:after="160" w:line="276" w:lineRule="auto"/>
        <w:jc w:val="both"/>
        <w:rPr>
          <w:rFonts w:ascii="Times New Roman" w:hAnsi="Times New Roman" w:cs="Times New Roman"/>
          <w:color w:val="auto"/>
          <w:sz w:val="24"/>
          <w:szCs w:val="24"/>
        </w:rPr>
      </w:pPr>
      <w:r w:rsidRPr="00C27C9D">
        <w:rPr>
          <w:rFonts w:ascii="Times New Roman" w:hAnsi="Times New Roman" w:cs="Times New Roman"/>
          <w:color w:val="auto"/>
          <w:sz w:val="24"/>
          <w:szCs w:val="24"/>
        </w:rPr>
        <w:t>The first and most fundamental test of the indicator is whether its temporal trajectory is meaningful—that is, whether it remains stable under normal operation and deflects coherently when operating conditions change. Figure 10.1 presents the overall CPQI time series across the full 2024–2026 monitoring window. The trajectory exhibits clear seasonal structure, with elevated values during stable winter and autumn periods and pronounced depressions during summer and monsoon months, when loading and weather stress are greatest. The recurrence of this pattern across successive years indicates that the indicator captures systematic, climate-driven variation rather than random noise.</w:t>
      </w:r>
    </w:p>
    <w:p w14:paraId="7DA95951" w14:textId="77777777" w:rsidR="00017B4A" w:rsidRPr="00C27C9D" w:rsidRDefault="00000000">
      <w:pPr>
        <w:spacing w:before="120" w:after="60"/>
        <w:jc w:val="center"/>
        <w:rPr>
          <w:rFonts w:ascii="Times New Roman" w:hAnsi="Times New Roman" w:cs="Times New Roman"/>
          <w:color w:val="auto"/>
          <w:sz w:val="24"/>
          <w:szCs w:val="24"/>
        </w:rPr>
      </w:pPr>
      <w:r w:rsidRPr="00C27C9D">
        <w:rPr>
          <w:rFonts w:ascii="Times New Roman" w:hAnsi="Times New Roman" w:cs="Times New Roman"/>
          <w:noProof/>
          <w:color w:val="auto"/>
          <w:sz w:val="24"/>
          <w:szCs w:val="24"/>
        </w:rPr>
        <w:lastRenderedPageBreak/>
        <w:drawing>
          <wp:inline distT="0" distB="0" distL="0" distR="0" wp14:anchorId="2219D6D6" wp14:editId="54538983">
            <wp:extent cx="5715000" cy="2009775"/>
            <wp:effectExtent l="0" t="0" r="0" b="0"/>
            <wp:docPr id="1" name="Fig_10_1" descr="Overall CPQI Time Series (2024–2026)" titl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009775"/>
                    </a:xfrm>
                    <a:prstGeom prst="rect">
                      <a:avLst/>
                    </a:prstGeom>
                  </pic:spPr>
                </pic:pic>
              </a:graphicData>
            </a:graphic>
          </wp:inline>
        </w:drawing>
      </w:r>
    </w:p>
    <w:p w14:paraId="64D47DF2" w14:textId="77777777" w:rsidR="00017B4A" w:rsidRPr="00C27C9D" w:rsidRDefault="00000000">
      <w:pPr>
        <w:spacing w:after="200"/>
        <w:jc w:val="center"/>
        <w:rPr>
          <w:rFonts w:ascii="Times New Roman" w:hAnsi="Times New Roman" w:cs="Times New Roman"/>
          <w:color w:val="auto"/>
          <w:sz w:val="24"/>
          <w:szCs w:val="24"/>
        </w:rPr>
      </w:pPr>
      <w:r w:rsidRPr="00C27C9D">
        <w:rPr>
          <w:rFonts w:ascii="Times New Roman" w:hAnsi="Times New Roman" w:cs="Times New Roman"/>
          <w:b/>
          <w:bCs/>
          <w:color w:val="auto"/>
          <w:sz w:val="24"/>
          <w:szCs w:val="24"/>
        </w:rPr>
        <w:t xml:space="preserve">Figure 10.1: </w:t>
      </w:r>
      <w:r w:rsidRPr="00C27C9D">
        <w:rPr>
          <w:rFonts w:ascii="Times New Roman" w:hAnsi="Times New Roman" w:cs="Times New Roman"/>
          <w:color w:val="auto"/>
          <w:sz w:val="24"/>
          <w:szCs w:val="24"/>
        </w:rPr>
        <w:t>Overall CPQI Time Series (2024–2026)</w:t>
      </w:r>
    </w:p>
    <w:p w14:paraId="46F0A121" w14:textId="77777777" w:rsidR="00017B4A" w:rsidRPr="00C27C9D" w:rsidRDefault="00000000">
      <w:pPr>
        <w:spacing w:after="160" w:line="276" w:lineRule="auto"/>
        <w:jc w:val="both"/>
        <w:rPr>
          <w:rFonts w:ascii="Times New Roman" w:hAnsi="Times New Roman" w:cs="Times New Roman"/>
          <w:color w:val="auto"/>
          <w:sz w:val="24"/>
          <w:szCs w:val="24"/>
        </w:rPr>
      </w:pPr>
      <w:r w:rsidRPr="00C27C9D">
        <w:rPr>
          <w:rFonts w:ascii="Times New Roman" w:hAnsi="Times New Roman" w:cs="Times New Roman"/>
          <w:color w:val="auto"/>
          <w:sz w:val="24"/>
          <w:szCs w:val="24"/>
        </w:rPr>
        <w:t xml:space="preserve">Overlaying documented disturbance events on the time series (Figure 10.2) reveals that downward excursions in the CPQI align with recorded operational events. Zooming into the </w:t>
      </w:r>
      <w:proofErr w:type="spellStart"/>
      <w:r w:rsidRPr="00C27C9D">
        <w:rPr>
          <w:rFonts w:ascii="Times New Roman" w:hAnsi="Times New Roman" w:cs="Times New Roman"/>
          <w:color w:val="auto"/>
          <w:sz w:val="24"/>
          <w:szCs w:val="24"/>
        </w:rPr>
        <w:t>neighbourhood</w:t>
      </w:r>
      <w:proofErr w:type="spellEnd"/>
      <w:r w:rsidRPr="00C27C9D">
        <w:rPr>
          <w:rFonts w:ascii="Times New Roman" w:hAnsi="Times New Roman" w:cs="Times New Roman"/>
          <w:color w:val="auto"/>
          <w:sz w:val="24"/>
          <w:szCs w:val="24"/>
        </w:rPr>
        <w:t xml:space="preserve"> of a major event (Figure 10.3) demonstrates the indicator’s sensitivity at fine temporal resolution: the score drops sharply at event onset and recovers progressively as normal conditions are restored. This </w:t>
      </w:r>
      <w:proofErr w:type="spellStart"/>
      <w:r w:rsidRPr="00C27C9D">
        <w:rPr>
          <w:rFonts w:ascii="Times New Roman" w:hAnsi="Times New Roman" w:cs="Times New Roman"/>
          <w:color w:val="auto"/>
          <w:sz w:val="24"/>
          <w:szCs w:val="24"/>
        </w:rPr>
        <w:t>behaviour</w:t>
      </w:r>
      <w:proofErr w:type="spellEnd"/>
      <w:r w:rsidRPr="00C27C9D">
        <w:rPr>
          <w:rFonts w:ascii="Times New Roman" w:hAnsi="Times New Roman" w:cs="Times New Roman"/>
          <w:color w:val="auto"/>
          <w:sz w:val="24"/>
          <w:szCs w:val="24"/>
        </w:rPr>
        <w:t xml:space="preserve"> is the central evidence sought by the guiding research question.</w:t>
      </w:r>
    </w:p>
    <w:p w14:paraId="18623E44" w14:textId="77777777" w:rsidR="00017B4A" w:rsidRPr="00C27C9D" w:rsidRDefault="00000000">
      <w:pPr>
        <w:spacing w:before="120" w:after="60"/>
        <w:jc w:val="center"/>
        <w:rPr>
          <w:rFonts w:ascii="Times New Roman" w:hAnsi="Times New Roman" w:cs="Times New Roman"/>
          <w:color w:val="auto"/>
          <w:sz w:val="24"/>
          <w:szCs w:val="24"/>
        </w:rPr>
      </w:pPr>
      <w:r w:rsidRPr="00C27C9D">
        <w:rPr>
          <w:rFonts w:ascii="Times New Roman" w:hAnsi="Times New Roman" w:cs="Times New Roman"/>
          <w:noProof/>
          <w:color w:val="auto"/>
          <w:sz w:val="24"/>
          <w:szCs w:val="24"/>
        </w:rPr>
        <w:drawing>
          <wp:inline distT="0" distB="0" distL="0" distR="0" wp14:anchorId="23CF4227" wp14:editId="6129AAA8">
            <wp:extent cx="5715000" cy="2009775"/>
            <wp:effectExtent l="0" t="0" r="0" b="0"/>
            <wp:docPr id="2081116355" name="Fig_10_2" descr="CPQI with Event Markers" title="Fig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009775"/>
                    </a:xfrm>
                    <a:prstGeom prst="rect">
                      <a:avLst/>
                    </a:prstGeom>
                  </pic:spPr>
                </pic:pic>
              </a:graphicData>
            </a:graphic>
          </wp:inline>
        </w:drawing>
      </w:r>
    </w:p>
    <w:p w14:paraId="0BFB70ED" w14:textId="77777777" w:rsidR="00017B4A" w:rsidRPr="00C27C9D" w:rsidRDefault="00000000">
      <w:pPr>
        <w:spacing w:after="200"/>
        <w:jc w:val="center"/>
        <w:rPr>
          <w:rFonts w:ascii="Times New Roman" w:hAnsi="Times New Roman" w:cs="Times New Roman"/>
          <w:color w:val="auto"/>
          <w:sz w:val="24"/>
          <w:szCs w:val="24"/>
        </w:rPr>
      </w:pPr>
      <w:r w:rsidRPr="00C27C9D">
        <w:rPr>
          <w:rFonts w:ascii="Times New Roman" w:hAnsi="Times New Roman" w:cs="Times New Roman"/>
          <w:b/>
          <w:bCs/>
          <w:color w:val="auto"/>
          <w:sz w:val="24"/>
          <w:szCs w:val="24"/>
        </w:rPr>
        <w:t xml:space="preserve">Figure 10.2: </w:t>
      </w:r>
      <w:r w:rsidRPr="00C27C9D">
        <w:rPr>
          <w:rFonts w:ascii="Times New Roman" w:hAnsi="Times New Roman" w:cs="Times New Roman"/>
          <w:color w:val="auto"/>
          <w:sz w:val="24"/>
          <w:szCs w:val="24"/>
        </w:rPr>
        <w:t>CPQI with Event Markers</w:t>
      </w:r>
    </w:p>
    <w:p w14:paraId="4827ECBE" w14:textId="77777777" w:rsidR="00017B4A" w:rsidRPr="00C27C9D" w:rsidRDefault="00000000">
      <w:pPr>
        <w:spacing w:before="120" w:after="60"/>
        <w:jc w:val="center"/>
        <w:rPr>
          <w:rFonts w:ascii="Times New Roman" w:hAnsi="Times New Roman" w:cs="Times New Roman"/>
          <w:color w:val="auto"/>
          <w:sz w:val="24"/>
          <w:szCs w:val="24"/>
        </w:rPr>
      </w:pPr>
      <w:r w:rsidRPr="00C27C9D">
        <w:rPr>
          <w:rFonts w:ascii="Times New Roman" w:hAnsi="Times New Roman" w:cs="Times New Roman"/>
          <w:noProof/>
          <w:color w:val="auto"/>
          <w:sz w:val="24"/>
          <w:szCs w:val="24"/>
        </w:rPr>
        <w:drawing>
          <wp:inline distT="0" distB="0" distL="0" distR="0" wp14:anchorId="1684DCBB" wp14:editId="0214A26B">
            <wp:extent cx="5715000" cy="2009775"/>
            <wp:effectExtent l="0" t="0" r="0" b="0"/>
            <wp:docPr id="1188880652" name="Fig_10_3" descr="Zoomed CPQI Around a Major Event" title="Fig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009775"/>
                    </a:xfrm>
                    <a:prstGeom prst="rect">
                      <a:avLst/>
                    </a:prstGeom>
                  </pic:spPr>
                </pic:pic>
              </a:graphicData>
            </a:graphic>
          </wp:inline>
        </w:drawing>
      </w:r>
    </w:p>
    <w:p w14:paraId="3EB21B27" w14:textId="77777777" w:rsidR="00017B4A" w:rsidRPr="00C27C9D" w:rsidRDefault="00000000">
      <w:pPr>
        <w:spacing w:after="200"/>
        <w:jc w:val="center"/>
        <w:rPr>
          <w:rFonts w:ascii="Times New Roman" w:hAnsi="Times New Roman" w:cs="Times New Roman"/>
          <w:color w:val="auto"/>
          <w:sz w:val="24"/>
          <w:szCs w:val="24"/>
        </w:rPr>
      </w:pPr>
      <w:r w:rsidRPr="00C27C9D">
        <w:rPr>
          <w:rFonts w:ascii="Times New Roman" w:hAnsi="Times New Roman" w:cs="Times New Roman"/>
          <w:b/>
          <w:bCs/>
          <w:color w:val="auto"/>
          <w:sz w:val="24"/>
          <w:szCs w:val="24"/>
        </w:rPr>
        <w:t xml:space="preserve">Figure 10.3: </w:t>
      </w:r>
      <w:r w:rsidRPr="00C27C9D">
        <w:rPr>
          <w:rFonts w:ascii="Times New Roman" w:hAnsi="Times New Roman" w:cs="Times New Roman"/>
          <w:color w:val="auto"/>
          <w:sz w:val="24"/>
          <w:szCs w:val="24"/>
        </w:rPr>
        <w:t>Zoomed CPQI Around a Major Event</w:t>
      </w:r>
    </w:p>
    <w:p w14:paraId="51C870BF" w14:textId="77777777" w:rsidR="00017B4A" w:rsidRPr="00C27C9D" w:rsidRDefault="00000000">
      <w:pPr>
        <w:spacing w:after="160" w:line="276" w:lineRule="auto"/>
        <w:jc w:val="both"/>
        <w:rPr>
          <w:rFonts w:ascii="Times New Roman" w:hAnsi="Times New Roman" w:cs="Times New Roman"/>
          <w:color w:val="auto"/>
          <w:sz w:val="24"/>
          <w:szCs w:val="24"/>
        </w:rPr>
      </w:pPr>
      <w:r w:rsidRPr="00C27C9D">
        <w:rPr>
          <w:rFonts w:ascii="Times New Roman" w:hAnsi="Times New Roman" w:cs="Times New Roman"/>
          <w:color w:val="auto"/>
          <w:sz w:val="24"/>
          <w:szCs w:val="24"/>
        </w:rPr>
        <w:lastRenderedPageBreak/>
        <w:t xml:space="preserve">Disaggregating the series by temporal scale clarifies the mechanisms behind these variations. The daily profile (Figure 10.4) reveals diurnal structure associated with consumer </w:t>
      </w:r>
      <w:proofErr w:type="spellStart"/>
      <w:r w:rsidRPr="00C27C9D">
        <w:rPr>
          <w:rFonts w:ascii="Times New Roman" w:hAnsi="Times New Roman" w:cs="Times New Roman"/>
          <w:color w:val="auto"/>
          <w:sz w:val="24"/>
          <w:szCs w:val="24"/>
        </w:rPr>
        <w:t>behaviour</w:t>
      </w:r>
      <w:proofErr w:type="spellEnd"/>
      <w:r w:rsidRPr="00C27C9D">
        <w:rPr>
          <w:rFonts w:ascii="Times New Roman" w:hAnsi="Times New Roman" w:cs="Times New Roman"/>
          <w:color w:val="auto"/>
          <w:sz w:val="24"/>
          <w:szCs w:val="24"/>
        </w:rPr>
        <w:t>, with depressions during peak-demand hours. The weekly trend (Figure 10.5) reflects weekday–weekend differences driven by industrial and commercial activity, while the monthly trend (Figure 10.6) exposes medium-term changes attributable to production cycles, agricultural demand, and weather.</w:t>
      </w:r>
    </w:p>
    <w:p w14:paraId="119A3777" w14:textId="77777777" w:rsidR="00017B4A" w:rsidRPr="00C27C9D" w:rsidRDefault="00000000">
      <w:pPr>
        <w:spacing w:before="120" w:after="60"/>
        <w:jc w:val="center"/>
        <w:rPr>
          <w:rFonts w:ascii="Times New Roman" w:hAnsi="Times New Roman" w:cs="Times New Roman"/>
          <w:color w:val="auto"/>
          <w:sz w:val="24"/>
          <w:szCs w:val="24"/>
        </w:rPr>
      </w:pPr>
      <w:r w:rsidRPr="00C27C9D">
        <w:rPr>
          <w:rFonts w:ascii="Times New Roman" w:hAnsi="Times New Roman" w:cs="Times New Roman"/>
          <w:noProof/>
          <w:color w:val="auto"/>
          <w:sz w:val="24"/>
          <w:szCs w:val="24"/>
        </w:rPr>
        <w:drawing>
          <wp:inline distT="0" distB="0" distL="0" distR="0" wp14:anchorId="6CA783FD" wp14:editId="717F65B0">
            <wp:extent cx="5715000" cy="2009775"/>
            <wp:effectExtent l="0" t="0" r="0" b="0"/>
            <wp:docPr id="1579842650" name="Fig_10_4" descr="Daily CPQI Profile" title="Fig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009775"/>
                    </a:xfrm>
                    <a:prstGeom prst="rect">
                      <a:avLst/>
                    </a:prstGeom>
                  </pic:spPr>
                </pic:pic>
              </a:graphicData>
            </a:graphic>
          </wp:inline>
        </w:drawing>
      </w:r>
    </w:p>
    <w:p w14:paraId="644E8F2B" w14:textId="77777777" w:rsidR="00017B4A" w:rsidRPr="00C27C9D" w:rsidRDefault="00000000">
      <w:pPr>
        <w:spacing w:after="200"/>
        <w:jc w:val="center"/>
        <w:rPr>
          <w:rFonts w:ascii="Times New Roman" w:hAnsi="Times New Roman" w:cs="Times New Roman"/>
          <w:color w:val="auto"/>
          <w:sz w:val="24"/>
          <w:szCs w:val="24"/>
        </w:rPr>
      </w:pPr>
      <w:r w:rsidRPr="00C27C9D">
        <w:rPr>
          <w:rFonts w:ascii="Times New Roman" w:hAnsi="Times New Roman" w:cs="Times New Roman"/>
          <w:b/>
          <w:bCs/>
          <w:color w:val="auto"/>
          <w:sz w:val="24"/>
          <w:szCs w:val="24"/>
        </w:rPr>
        <w:t xml:space="preserve">Figure 10.4: </w:t>
      </w:r>
      <w:r w:rsidRPr="00C27C9D">
        <w:rPr>
          <w:rFonts w:ascii="Times New Roman" w:hAnsi="Times New Roman" w:cs="Times New Roman"/>
          <w:color w:val="auto"/>
          <w:sz w:val="24"/>
          <w:szCs w:val="24"/>
        </w:rPr>
        <w:t>Daily CPQI Profile</w:t>
      </w:r>
    </w:p>
    <w:p w14:paraId="34D754A4" w14:textId="77777777" w:rsidR="00017B4A" w:rsidRPr="00C27C9D" w:rsidRDefault="00000000">
      <w:pPr>
        <w:spacing w:before="120" w:after="60"/>
        <w:jc w:val="center"/>
        <w:rPr>
          <w:rFonts w:ascii="Times New Roman" w:hAnsi="Times New Roman" w:cs="Times New Roman"/>
          <w:color w:val="auto"/>
          <w:sz w:val="24"/>
          <w:szCs w:val="24"/>
        </w:rPr>
      </w:pPr>
      <w:r w:rsidRPr="00C27C9D">
        <w:rPr>
          <w:rFonts w:ascii="Times New Roman" w:hAnsi="Times New Roman" w:cs="Times New Roman"/>
          <w:noProof/>
          <w:color w:val="auto"/>
          <w:sz w:val="24"/>
          <w:szCs w:val="24"/>
        </w:rPr>
        <w:drawing>
          <wp:inline distT="0" distB="0" distL="0" distR="0" wp14:anchorId="3F6D0D8B" wp14:editId="55AD6A08">
            <wp:extent cx="5715000" cy="2009775"/>
            <wp:effectExtent l="0" t="0" r="0" b="0"/>
            <wp:docPr id="873433637" name="Fig_10_5" descr="Weekly CPQI Trend" title="Fig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009775"/>
                    </a:xfrm>
                    <a:prstGeom prst="rect">
                      <a:avLst/>
                    </a:prstGeom>
                  </pic:spPr>
                </pic:pic>
              </a:graphicData>
            </a:graphic>
          </wp:inline>
        </w:drawing>
      </w:r>
    </w:p>
    <w:p w14:paraId="43D6E042" w14:textId="77777777" w:rsidR="00017B4A" w:rsidRPr="00C27C9D" w:rsidRDefault="00000000">
      <w:pPr>
        <w:spacing w:after="200"/>
        <w:jc w:val="center"/>
        <w:rPr>
          <w:rFonts w:ascii="Times New Roman" w:hAnsi="Times New Roman" w:cs="Times New Roman"/>
          <w:color w:val="auto"/>
          <w:sz w:val="24"/>
          <w:szCs w:val="24"/>
        </w:rPr>
      </w:pPr>
      <w:r w:rsidRPr="00C27C9D">
        <w:rPr>
          <w:rFonts w:ascii="Times New Roman" w:hAnsi="Times New Roman" w:cs="Times New Roman"/>
          <w:b/>
          <w:bCs/>
          <w:color w:val="auto"/>
          <w:sz w:val="24"/>
          <w:szCs w:val="24"/>
        </w:rPr>
        <w:t xml:space="preserve">Figure 10.5: </w:t>
      </w:r>
      <w:r w:rsidRPr="00C27C9D">
        <w:rPr>
          <w:rFonts w:ascii="Times New Roman" w:hAnsi="Times New Roman" w:cs="Times New Roman"/>
          <w:color w:val="auto"/>
          <w:sz w:val="24"/>
          <w:szCs w:val="24"/>
        </w:rPr>
        <w:t>Weekly CPQI Trend</w:t>
      </w:r>
    </w:p>
    <w:p w14:paraId="25662529" w14:textId="77777777" w:rsidR="00017B4A" w:rsidRPr="00C27C9D" w:rsidRDefault="00000000">
      <w:pPr>
        <w:spacing w:before="120" w:after="60"/>
        <w:jc w:val="center"/>
        <w:rPr>
          <w:rFonts w:ascii="Times New Roman" w:hAnsi="Times New Roman" w:cs="Times New Roman"/>
          <w:color w:val="auto"/>
          <w:sz w:val="24"/>
          <w:szCs w:val="24"/>
        </w:rPr>
      </w:pPr>
      <w:r w:rsidRPr="00C27C9D">
        <w:rPr>
          <w:rFonts w:ascii="Times New Roman" w:hAnsi="Times New Roman" w:cs="Times New Roman"/>
          <w:noProof/>
          <w:color w:val="auto"/>
          <w:sz w:val="24"/>
          <w:szCs w:val="24"/>
        </w:rPr>
        <w:drawing>
          <wp:inline distT="0" distB="0" distL="0" distR="0" wp14:anchorId="78C99B41" wp14:editId="69561175">
            <wp:extent cx="5715000" cy="2009775"/>
            <wp:effectExtent l="0" t="0" r="0" b="0"/>
            <wp:docPr id="169144366" name="Fig_10_6" descr="Monthly CPQI Trend" title="Fig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009775"/>
                    </a:xfrm>
                    <a:prstGeom prst="rect">
                      <a:avLst/>
                    </a:prstGeom>
                  </pic:spPr>
                </pic:pic>
              </a:graphicData>
            </a:graphic>
          </wp:inline>
        </w:drawing>
      </w:r>
    </w:p>
    <w:p w14:paraId="5AAC5FEC" w14:textId="77777777" w:rsidR="00017B4A" w:rsidRPr="00C27C9D" w:rsidRDefault="00000000">
      <w:pPr>
        <w:spacing w:after="200"/>
        <w:jc w:val="center"/>
        <w:rPr>
          <w:rFonts w:ascii="Times New Roman" w:hAnsi="Times New Roman" w:cs="Times New Roman"/>
          <w:color w:val="auto"/>
          <w:sz w:val="24"/>
          <w:szCs w:val="24"/>
        </w:rPr>
      </w:pPr>
      <w:r w:rsidRPr="00C27C9D">
        <w:rPr>
          <w:rFonts w:ascii="Times New Roman" w:hAnsi="Times New Roman" w:cs="Times New Roman"/>
          <w:b/>
          <w:bCs/>
          <w:color w:val="auto"/>
          <w:sz w:val="24"/>
          <w:szCs w:val="24"/>
        </w:rPr>
        <w:lastRenderedPageBreak/>
        <w:t xml:space="preserve">Figure 10.6: </w:t>
      </w:r>
      <w:r w:rsidRPr="00C27C9D">
        <w:rPr>
          <w:rFonts w:ascii="Times New Roman" w:hAnsi="Times New Roman" w:cs="Times New Roman"/>
          <w:color w:val="auto"/>
          <w:sz w:val="24"/>
          <w:szCs w:val="24"/>
        </w:rPr>
        <w:t>Monthly CPQI Trend</w:t>
      </w:r>
    </w:p>
    <w:p w14:paraId="21E8CC42" w14:textId="77777777" w:rsidR="00017B4A" w:rsidRPr="00C27C9D" w:rsidRDefault="00000000">
      <w:pPr>
        <w:spacing w:after="160" w:line="276" w:lineRule="auto"/>
        <w:jc w:val="both"/>
        <w:rPr>
          <w:rFonts w:ascii="Times New Roman" w:hAnsi="Times New Roman" w:cs="Times New Roman"/>
          <w:color w:val="auto"/>
          <w:sz w:val="24"/>
          <w:szCs w:val="24"/>
        </w:rPr>
      </w:pPr>
      <w:r w:rsidRPr="00C27C9D">
        <w:rPr>
          <w:rFonts w:ascii="Times New Roman" w:hAnsi="Times New Roman" w:cs="Times New Roman"/>
          <w:color w:val="auto"/>
          <w:sz w:val="24"/>
          <w:szCs w:val="24"/>
        </w:rPr>
        <w:t>At coarser scales, the seasonal trend (Figure 10.7) confirms that monsoon and summer represent the most challenging operating periods, whereas the annual trend (Figure 10.8) indicates a gradual year-on-year improvement consistent with network modernization. To separate genuine trend from short-term fluctuation, a moving-average smoothing was applied (Figure 10.9), and a statistical control chart (Figure 10.10) was constructed to flag observations falling outside the expected stability band, supporting continuous performance monitoring.</w:t>
      </w:r>
    </w:p>
    <w:p w14:paraId="7AF0CC8D" w14:textId="77777777" w:rsidR="00017B4A" w:rsidRPr="00C27C9D" w:rsidRDefault="00000000">
      <w:pPr>
        <w:spacing w:before="120" w:after="60"/>
        <w:jc w:val="center"/>
        <w:rPr>
          <w:rFonts w:ascii="Times New Roman" w:hAnsi="Times New Roman" w:cs="Times New Roman"/>
          <w:color w:val="auto"/>
          <w:sz w:val="24"/>
          <w:szCs w:val="24"/>
        </w:rPr>
      </w:pPr>
      <w:r w:rsidRPr="00C27C9D">
        <w:rPr>
          <w:rFonts w:ascii="Times New Roman" w:hAnsi="Times New Roman" w:cs="Times New Roman"/>
          <w:noProof/>
          <w:color w:val="auto"/>
          <w:sz w:val="24"/>
          <w:szCs w:val="24"/>
        </w:rPr>
        <w:drawing>
          <wp:inline distT="0" distB="0" distL="0" distR="0" wp14:anchorId="25E8B7A8" wp14:editId="6BDA6F10">
            <wp:extent cx="5715000" cy="3533775"/>
            <wp:effectExtent l="0" t="0" r="0" b="0"/>
            <wp:docPr id="715183347" name="Fig_10_7" descr="Seasonal CPQI Trend" title="Fig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33775"/>
                    </a:xfrm>
                    <a:prstGeom prst="rect">
                      <a:avLst/>
                    </a:prstGeom>
                  </pic:spPr>
                </pic:pic>
              </a:graphicData>
            </a:graphic>
          </wp:inline>
        </w:drawing>
      </w:r>
    </w:p>
    <w:p w14:paraId="02E42F7E" w14:textId="77777777" w:rsidR="00017B4A" w:rsidRPr="00C27C9D" w:rsidRDefault="00000000">
      <w:pPr>
        <w:spacing w:after="200"/>
        <w:jc w:val="center"/>
        <w:rPr>
          <w:rFonts w:ascii="Times New Roman" w:hAnsi="Times New Roman" w:cs="Times New Roman"/>
          <w:color w:val="auto"/>
          <w:sz w:val="24"/>
          <w:szCs w:val="24"/>
        </w:rPr>
      </w:pPr>
      <w:r w:rsidRPr="00C27C9D">
        <w:rPr>
          <w:rFonts w:ascii="Times New Roman" w:hAnsi="Times New Roman" w:cs="Times New Roman"/>
          <w:b/>
          <w:bCs/>
          <w:color w:val="auto"/>
          <w:sz w:val="24"/>
          <w:szCs w:val="24"/>
        </w:rPr>
        <w:t xml:space="preserve">Figure 10.7: </w:t>
      </w:r>
      <w:r w:rsidRPr="00C27C9D">
        <w:rPr>
          <w:rFonts w:ascii="Times New Roman" w:hAnsi="Times New Roman" w:cs="Times New Roman"/>
          <w:color w:val="auto"/>
          <w:sz w:val="24"/>
          <w:szCs w:val="24"/>
        </w:rPr>
        <w:t>Seasonal CPQI Trend</w:t>
      </w:r>
    </w:p>
    <w:p w14:paraId="06FEA867" w14:textId="77777777" w:rsidR="00017B4A" w:rsidRPr="00C27C9D" w:rsidRDefault="00000000">
      <w:pPr>
        <w:spacing w:before="120" w:after="60"/>
        <w:jc w:val="center"/>
        <w:rPr>
          <w:rFonts w:ascii="Times New Roman" w:hAnsi="Times New Roman" w:cs="Times New Roman"/>
          <w:color w:val="auto"/>
          <w:sz w:val="24"/>
          <w:szCs w:val="24"/>
        </w:rPr>
      </w:pPr>
      <w:r w:rsidRPr="00C27C9D">
        <w:rPr>
          <w:rFonts w:ascii="Times New Roman" w:hAnsi="Times New Roman" w:cs="Times New Roman"/>
          <w:noProof/>
          <w:color w:val="auto"/>
          <w:sz w:val="24"/>
          <w:szCs w:val="24"/>
        </w:rPr>
        <w:lastRenderedPageBreak/>
        <w:drawing>
          <wp:inline distT="0" distB="0" distL="0" distR="0" wp14:anchorId="35E39A25" wp14:editId="779D557B">
            <wp:extent cx="5715000" cy="3543300"/>
            <wp:effectExtent l="0" t="0" r="0" b="0"/>
            <wp:docPr id="28640508" name="Fig_10_8" descr="Annual CPQI Trend" title="Fig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43300"/>
                    </a:xfrm>
                    <a:prstGeom prst="rect">
                      <a:avLst/>
                    </a:prstGeom>
                  </pic:spPr>
                </pic:pic>
              </a:graphicData>
            </a:graphic>
          </wp:inline>
        </w:drawing>
      </w:r>
    </w:p>
    <w:p w14:paraId="728F30AA" w14:textId="77777777" w:rsidR="00017B4A" w:rsidRPr="00C27C9D" w:rsidRDefault="00000000">
      <w:pPr>
        <w:spacing w:after="200"/>
        <w:jc w:val="center"/>
        <w:rPr>
          <w:rFonts w:ascii="Times New Roman" w:hAnsi="Times New Roman" w:cs="Times New Roman"/>
          <w:color w:val="auto"/>
          <w:sz w:val="24"/>
          <w:szCs w:val="24"/>
        </w:rPr>
      </w:pPr>
      <w:r w:rsidRPr="00C27C9D">
        <w:rPr>
          <w:rFonts w:ascii="Times New Roman" w:hAnsi="Times New Roman" w:cs="Times New Roman"/>
          <w:b/>
          <w:bCs/>
          <w:color w:val="auto"/>
          <w:sz w:val="24"/>
          <w:szCs w:val="24"/>
        </w:rPr>
        <w:t xml:space="preserve">Figure 10.8: </w:t>
      </w:r>
      <w:r w:rsidRPr="00C27C9D">
        <w:rPr>
          <w:rFonts w:ascii="Times New Roman" w:hAnsi="Times New Roman" w:cs="Times New Roman"/>
          <w:color w:val="auto"/>
          <w:sz w:val="24"/>
          <w:szCs w:val="24"/>
        </w:rPr>
        <w:t>Annual CPQI Trend</w:t>
      </w:r>
    </w:p>
    <w:p w14:paraId="7A4AD1E5" w14:textId="77777777" w:rsidR="00017B4A" w:rsidRPr="00C27C9D" w:rsidRDefault="00000000">
      <w:pPr>
        <w:spacing w:before="120" w:after="60"/>
        <w:jc w:val="center"/>
        <w:rPr>
          <w:rFonts w:ascii="Times New Roman" w:hAnsi="Times New Roman" w:cs="Times New Roman"/>
          <w:color w:val="auto"/>
          <w:sz w:val="24"/>
          <w:szCs w:val="24"/>
        </w:rPr>
      </w:pPr>
      <w:r w:rsidRPr="00C27C9D">
        <w:rPr>
          <w:rFonts w:ascii="Times New Roman" w:hAnsi="Times New Roman" w:cs="Times New Roman"/>
          <w:noProof/>
          <w:color w:val="auto"/>
          <w:sz w:val="24"/>
          <w:szCs w:val="24"/>
        </w:rPr>
        <w:drawing>
          <wp:inline distT="0" distB="0" distL="0" distR="0" wp14:anchorId="69E539EE" wp14:editId="19EC4F2F">
            <wp:extent cx="5715000" cy="2009775"/>
            <wp:effectExtent l="0" t="0" r="0" b="0"/>
            <wp:docPr id="1354192727" name="Fig_10_9" descr="CPQI Moving Average (Long-Term Smoothing)" title="Fig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009775"/>
                    </a:xfrm>
                    <a:prstGeom prst="rect">
                      <a:avLst/>
                    </a:prstGeom>
                  </pic:spPr>
                </pic:pic>
              </a:graphicData>
            </a:graphic>
          </wp:inline>
        </w:drawing>
      </w:r>
    </w:p>
    <w:p w14:paraId="236341B1" w14:textId="77777777" w:rsidR="00017B4A" w:rsidRPr="00C27C9D" w:rsidRDefault="00000000">
      <w:pPr>
        <w:spacing w:after="200"/>
        <w:jc w:val="center"/>
        <w:rPr>
          <w:rFonts w:ascii="Times New Roman" w:hAnsi="Times New Roman" w:cs="Times New Roman"/>
          <w:color w:val="auto"/>
          <w:sz w:val="24"/>
          <w:szCs w:val="24"/>
        </w:rPr>
      </w:pPr>
      <w:r w:rsidRPr="00C27C9D">
        <w:rPr>
          <w:rFonts w:ascii="Times New Roman" w:hAnsi="Times New Roman" w:cs="Times New Roman"/>
          <w:b/>
          <w:bCs/>
          <w:color w:val="auto"/>
          <w:sz w:val="24"/>
          <w:szCs w:val="24"/>
        </w:rPr>
        <w:t xml:space="preserve">Figure 10.9: </w:t>
      </w:r>
      <w:r w:rsidRPr="00C27C9D">
        <w:rPr>
          <w:rFonts w:ascii="Times New Roman" w:hAnsi="Times New Roman" w:cs="Times New Roman"/>
          <w:color w:val="auto"/>
          <w:sz w:val="24"/>
          <w:szCs w:val="24"/>
        </w:rPr>
        <w:t>CPQI Moving Average (Long-Term Smoothing)</w:t>
      </w:r>
    </w:p>
    <w:p w14:paraId="31DBF4C0" w14:textId="77777777" w:rsidR="00017B4A" w:rsidRPr="00C27C9D" w:rsidRDefault="00000000">
      <w:pPr>
        <w:spacing w:before="120" w:after="60"/>
        <w:jc w:val="center"/>
        <w:rPr>
          <w:rFonts w:ascii="Times New Roman" w:hAnsi="Times New Roman" w:cs="Times New Roman"/>
          <w:color w:val="auto"/>
          <w:sz w:val="24"/>
          <w:szCs w:val="24"/>
        </w:rPr>
      </w:pPr>
      <w:r w:rsidRPr="00C27C9D">
        <w:rPr>
          <w:rFonts w:ascii="Times New Roman" w:hAnsi="Times New Roman" w:cs="Times New Roman"/>
          <w:noProof/>
          <w:color w:val="auto"/>
          <w:sz w:val="24"/>
          <w:szCs w:val="24"/>
        </w:rPr>
        <w:lastRenderedPageBreak/>
        <w:drawing>
          <wp:inline distT="0" distB="0" distL="0" distR="0" wp14:anchorId="19A66AE2" wp14:editId="205F2B68">
            <wp:extent cx="5715000" cy="2009775"/>
            <wp:effectExtent l="0" t="0" r="0" b="0"/>
            <wp:docPr id="1743464050" name="Fig_10_10" descr="CPQI Control Chart (Stability Monitoring)" title="Fig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009775"/>
                    </a:xfrm>
                    <a:prstGeom prst="rect">
                      <a:avLst/>
                    </a:prstGeom>
                  </pic:spPr>
                </pic:pic>
              </a:graphicData>
            </a:graphic>
          </wp:inline>
        </w:drawing>
      </w:r>
    </w:p>
    <w:p w14:paraId="5E492E3C" w14:textId="77777777" w:rsidR="00017B4A" w:rsidRPr="00C27C9D" w:rsidRDefault="00000000">
      <w:pPr>
        <w:spacing w:after="200"/>
        <w:jc w:val="center"/>
        <w:rPr>
          <w:rFonts w:ascii="Times New Roman" w:hAnsi="Times New Roman" w:cs="Times New Roman"/>
          <w:color w:val="auto"/>
          <w:sz w:val="24"/>
          <w:szCs w:val="24"/>
        </w:rPr>
      </w:pPr>
      <w:r w:rsidRPr="00C27C9D">
        <w:rPr>
          <w:rFonts w:ascii="Times New Roman" w:hAnsi="Times New Roman" w:cs="Times New Roman"/>
          <w:b/>
          <w:bCs/>
          <w:color w:val="auto"/>
          <w:sz w:val="24"/>
          <w:szCs w:val="24"/>
        </w:rPr>
        <w:t xml:space="preserve">Figure 10.10: </w:t>
      </w:r>
      <w:r w:rsidRPr="00C27C9D">
        <w:rPr>
          <w:rFonts w:ascii="Times New Roman" w:hAnsi="Times New Roman" w:cs="Times New Roman"/>
          <w:color w:val="auto"/>
          <w:sz w:val="24"/>
          <w:szCs w:val="24"/>
        </w:rPr>
        <w:t>CPQI Control Chart (Stability Monitoring)</w:t>
      </w:r>
    </w:p>
    <w:p w14:paraId="387F8E63" w14:textId="77777777" w:rsidR="00017B4A" w:rsidRPr="00C27C9D" w:rsidRDefault="00000000">
      <w:pPr>
        <w:spacing w:after="160" w:line="276" w:lineRule="auto"/>
        <w:jc w:val="both"/>
        <w:rPr>
          <w:rFonts w:ascii="Times New Roman" w:hAnsi="Times New Roman" w:cs="Times New Roman"/>
          <w:sz w:val="24"/>
          <w:szCs w:val="24"/>
        </w:rPr>
      </w:pPr>
      <w:r w:rsidRPr="00C27C9D">
        <w:rPr>
          <w:rFonts w:ascii="Times New Roman" w:hAnsi="Times New Roman" w:cs="Times New Roman"/>
          <w:color w:val="auto"/>
          <w:sz w:val="24"/>
          <w:szCs w:val="24"/>
        </w:rPr>
        <w:t>The descriptive statistics underpinning these series are summarized in Tables 10.4 through 10.7. Table 10.4 reports the overall CPQI statistics for each feeder, revealing a wide performance spread: the best feeder maintains a mean above 88% with very low variability, while the most stressed feeders fall below 53% with coefficients of variation exceeding 16%. Tables 10.5, 10.6, and 10.7 decompose these statistics by month, season, and year, respectively, quantifying the seasonal depressions and the steady annua</w:t>
      </w:r>
      <w:r w:rsidRPr="00C27C9D">
        <w:rPr>
          <w:rFonts w:ascii="Times New Roman" w:hAnsi="Times New Roman" w:cs="Times New Roman"/>
          <w:sz w:val="24"/>
          <w:szCs w:val="24"/>
        </w:rPr>
        <w:t>l improvement observed in the figures.</w:t>
      </w:r>
    </w:p>
    <w:p w14:paraId="10863699" w14:textId="77777777" w:rsidR="00017B4A" w:rsidRPr="00C27C9D" w:rsidRDefault="00000000">
      <w:pPr>
        <w:spacing w:before="160" w:after="60"/>
        <w:rPr>
          <w:rFonts w:ascii="Times New Roman" w:hAnsi="Times New Roman" w:cs="Times New Roman"/>
          <w:sz w:val="24"/>
          <w:szCs w:val="24"/>
        </w:rPr>
      </w:pPr>
      <w:r w:rsidRPr="00C27C9D">
        <w:rPr>
          <w:rFonts w:ascii="Times New Roman" w:hAnsi="Times New Roman" w:cs="Times New Roman"/>
          <w:b/>
          <w:bCs/>
          <w:sz w:val="24"/>
          <w:szCs w:val="24"/>
        </w:rPr>
        <w:t>Table 10.4: Overall CPQI Statistics by Feeder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8"/>
      </w:tblGrid>
      <w:tr w:rsidR="00017B4A" w:rsidRPr="00793FC8" w14:paraId="02564206" w14:textId="77777777">
        <w:trPr>
          <w:tblHeader/>
        </w:trPr>
        <w:tc>
          <w:tcPr>
            <w:tcW w:w="1337"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07E93BC4"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Feeder Name</w:t>
            </w:r>
          </w:p>
        </w:tc>
        <w:tc>
          <w:tcPr>
            <w:tcW w:w="1337"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19A679D0"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Mean (%)</w:t>
            </w:r>
          </w:p>
        </w:tc>
        <w:tc>
          <w:tcPr>
            <w:tcW w:w="1337"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229BEF77"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Median (%)</w:t>
            </w:r>
          </w:p>
        </w:tc>
        <w:tc>
          <w:tcPr>
            <w:tcW w:w="1337"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533E65F8"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SD (%)</w:t>
            </w:r>
          </w:p>
        </w:tc>
        <w:tc>
          <w:tcPr>
            <w:tcW w:w="1337"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1BDACEB6"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CV (%)</w:t>
            </w:r>
          </w:p>
        </w:tc>
        <w:tc>
          <w:tcPr>
            <w:tcW w:w="1337"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3438DA02"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Min (%)</w:t>
            </w:r>
          </w:p>
        </w:tc>
        <w:tc>
          <w:tcPr>
            <w:tcW w:w="1338"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041059EB"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Max (%)</w:t>
            </w:r>
          </w:p>
        </w:tc>
      </w:tr>
      <w:tr w:rsidR="00017B4A" w:rsidRPr="00793FC8" w14:paraId="3E0D9897" w14:textId="77777777">
        <w:tc>
          <w:tcPr>
            <w:tcW w:w="1337"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22F95C1"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GACHA 1 F3</w:t>
            </w:r>
          </w:p>
        </w:tc>
        <w:tc>
          <w:tcPr>
            <w:tcW w:w="1337"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690E216"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84.2</w:t>
            </w:r>
          </w:p>
        </w:tc>
        <w:tc>
          <w:tcPr>
            <w:tcW w:w="1337"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F3E2FB8"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84.5</w:t>
            </w:r>
          </w:p>
        </w:tc>
        <w:tc>
          <w:tcPr>
            <w:tcW w:w="1337"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FB99BDB"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3.2</w:t>
            </w:r>
          </w:p>
        </w:tc>
        <w:tc>
          <w:tcPr>
            <w:tcW w:w="1337"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E9CFDB2"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3.8</w:t>
            </w:r>
          </w:p>
        </w:tc>
        <w:tc>
          <w:tcPr>
            <w:tcW w:w="1337"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7BD6708"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72.1</w:t>
            </w:r>
          </w:p>
        </w:tc>
        <w:tc>
          <w:tcPr>
            <w:tcW w:w="1338"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826A826"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91.5</w:t>
            </w:r>
          </w:p>
        </w:tc>
      </w:tr>
      <w:tr w:rsidR="00017B4A" w:rsidRPr="00793FC8" w14:paraId="03C4660F" w14:textId="77777777">
        <w:tc>
          <w:tcPr>
            <w:tcW w:w="1337"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AA3AA14"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GACHA 1 F4</w:t>
            </w:r>
          </w:p>
        </w:tc>
        <w:tc>
          <w:tcPr>
            <w:tcW w:w="1337"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3C0973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52.15</w:t>
            </w:r>
          </w:p>
        </w:tc>
        <w:tc>
          <w:tcPr>
            <w:tcW w:w="1337"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E75B334"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51.8</w:t>
            </w:r>
          </w:p>
        </w:tc>
        <w:tc>
          <w:tcPr>
            <w:tcW w:w="1337"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468C1C2"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8.5</w:t>
            </w:r>
          </w:p>
        </w:tc>
        <w:tc>
          <w:tcPr>
            <w:tcW w:w="1337"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1DE10A9"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16.3</w:t>
            </w:r>
          </w:p>
        </w:tc>
        <w:tc>
          <w:tcPr>
            <w:tcW w:w="1337"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F31ED6D"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24.3</w:t>
            </w:r>
          </w:p>
        </w:tc>
        <w:tc>
          <w:tcPr>
            <w:tcW w:w="1338"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96E33C2"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68.2</w:t>
            </w:r>
          </w:p>
        </w:tc>
      </w:tr>
      <w:tr w:rsidR="00017B4A" w:rsidRPr="00793FC8" w14:paraId="226A778D" w14:textId="77777777">
        <w:tc>
          <w:tcPr>
            <w:tcW w:w="1337"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08BF2FE"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1 F5</w:t>
            </w:r>
          </w:p>
        </w:tc>
        <w:tc>
          <w:tcPr>
            <w:tcW w:w="1337"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3F5ADD3"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88.4</w:t>
            </w:r>
          </w:p>
        </w:tc>
        <w:tc>
          <w:tcPr>
            <w:tcW w:w="1337"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31A504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88.9</w:t>
            </w:r>
          </w:p>
        </w:tc>
        <w:tc>
          <w:tcPr>
            <w:tcW w:w="1337"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3872283"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2.1</w:t>
            </w:r>
          </w:p>
        </w:tc>
        <w:tc>
          <w:tcPr>
            <w:tcW w:w="1337"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243F0B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2.38</w:t>
            </w:r>
          </w:p>
        </w:tc>
        <w:tc>
          <w:tcPr>
            <w:tcW w:w="1337"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375FF90"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81</w:t>
            </w:r>
          </w:p>
        </w:tc>
        <w:tc>
          <w:tcPr>
            <w:tcW w:w="1338"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0D9E671"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94.5</w:t>
            </w:r>
          </w:p>
        </w:tc>
      </w:tr>
      <w:tr w:rsidR="00017B4A" w:rsidRPr="00793FC8" w14:paraId="0C85AC1A" w14:textId="77777777">
        <w:tc>
          <w:tcPr>
            <w:tcW w:w="1337"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979261A"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JOYDEBPUR 7 F5</w:t>
            </w:r>
          </w:p>
        </w:tc>
        <w:tc>
          <w:tcPr>
            <w:tcW w:w="1337"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7B79107"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71.6</w:t>
            </w:r>
          </w:p>
        </w:tc>
        <w:tc>
          <w:tcPr>
            <w:tcW w:w="1337"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843B4BB"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71.2</w:t>
            </w:r>
          </w:p>
        </w:tc>
        <w:tc>
          <w:tcPr>
            <w:tcW w:w="1337"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8790EB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5.4</w:t>
            </w:r>
          </w:p>
        </w:tc>
        <w:tc>
          <w:tcPr>
            <w:tcW w:w="1337"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736B02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7.54</w:t>
            </w:r>
          </w:p>
        </w:tc>
        <w:tc>
          <w:tcPr>
            <w:tcW w:w="1337"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81116BF"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54.3</w:t>
            </w:r>
          </w:p>
        </w:tc>
        <w:tc>
          <w:tcPr>
            <w:tcW w:w="1338"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2A26EE8"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82.1</w:t>
            </w:r>
          </w:p>
        </w:tc>
      </w:tr>
      <w:tr w:rsidR="00017B4A" w:rsidRPr="00793FC8" w14:paraId="7F539634" w14:textId="77777777">
        <w:tc>
          <w:tcPr>
            <w:tcW w:w="1337"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F28118C"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7 F1</w:t>
            </w:r>
          </w:p>
        </w:tc>
        <w:tc>
          <w:tcPr>
            <w:tcW w:w="1337"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F36193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48.9</w:t>
            </w:r>
          </w:p>
        </w:tc>
        <w:tc>
          <w:tcPr>
            <w:tcW w:w="1337"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972992B"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48.1</w:t>
            </w:r>
          </w:p>
        </w:tc>
        <w:tc>
          <w:tcPr>
            <w:tcW w:w="1337"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C6ACAF4"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9.1</w:t>
            </w:r>
          </w:p>
        </w:tc>
        <w:tc>
          <w:tcPr>
            <w:tcW w:w="1337"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7F8E5A9"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18.61</w:t>
            </w:r>
          </w:p>
        </w:tc>
        <w:tc>
          <w:tcPr>
            <w:tcW w:w="1337"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28F30E6"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15.4</w:t>
            </w:r>
          </w:p>
        </w:tc>
        <w:tc>
          <w:tcPr>
            <w:tcW w:w="1338"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A53E3B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62.4</w:t>
            </w:r>
          </w:p>
        </w:tc>
      </w:tr>
      <w:tr w:rsidR="00017B4A" w:rsidRPr="00793FC8" w14:paraId="01ABDF9C" w14:textId="77777777">
        <w:tc>
          <w:tcPr>
            <w:tcW w:w="1337"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4B6480B"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8 F2</w:t>
            </w:r>
          </w:p>
        </w:tc>
        <w:tc>
          <w:tcPr>
            <w:tcW w:w="1337"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FF6B147"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81.1</w:t>
            </w:r>
          </w:p>
        </w:tc>
        <w:tc>
          <w:tcPr>
            <w:tcW w:w="1337"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5FBBE1E"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81.5</w:t>
            </w:r>
          </w:p>
        </w:tc>
        <w:tc>
          <w:tcPr>
            <w:tcW w:w="1337"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5B9701F"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3.8</w:t>
            </w:r>
          </w:p>
        </w:tc>
        <w:tc>
          <w:tcPr>
            <w:tcW w:w="1337"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60F2C5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4.69</w:t>
            </w:r>
          </w:p>
        </w:tc>
        <w:tc>
          <w:tcPr>
            <w:tcW w:w="1337"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F246EE7"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68.2</w:t>
            </w:r>
          </w:p>
        </w:tc>
        <w:tc>
          <w:tcPr>
            <w:tcW w:w="1338"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3BF6C56"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89</w:t>
            </w:r>
          </w:p>
        </w:tc>
      </w:tr>
    </w:tbl>
    <w:p w14:paraId="39AE1846" w14:textId="77777777" w:rsidR="00017B4A" w:rsidRPr="00793FC8" w:rsidRDefault="00017B4A">
      <w:pPr>
        <w:spacing w:after="200"/>
        <w:rPr>
          <w:rFonts w:ascii="Times New Roman" w:hAnsi="Times New Roman" w:cs="Times New Roman"/>
        </w:rPr>
      </w:pPr>
    </w:p>
    <w:p w14:paraId="09FE3484" w14:textId="77777777" w:rsidR="00A24935" w:rsidRPr="00C27C9D" w:rsidRDefault="00A24935" w:rsidP="00A24935">
      <w:pPr>
        <w:spacing w:before="160" w:after="60"/>
        <w:rPr>
          <w:rFonts w:ascii="Times New Roman" w:hAnsi="Times New Roman" w:cs="Times New Roman"/>
          <w:sz w:val="24"/>
          <w:szCs w:val="24"/>
        </w:rPr>
      </w:pPr>
      <w:r w:rsidRPr="00C27C9D">
        <w:rPr>
          <w:rFonts w:ascii="Times New Roman" w:hAnsi="Times New Roman" w:cs="Times New Roman"/>
          <w:b/>
          <w:bCs/>
          <w:sz w:val="24"/>
          <w:szCs w:val="24"/>
        </w:rPr>
        <w:t>Table 10.5: Monthly CPQI Statistics by Feeder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24935" w:rsidRPr="00793FC8" w14:paraId="66F6B519" w14:textId="77777777" w:rsidTr="009857E1">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78316FE9"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b/>
                <w:bCs/>
                <w:color w:val="FFFFFF"/>
                <w:sz w:val="17"/>
                <w:szCs w:val="17"/>
              </w:rPr>
              <w:t>Feeder Name</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1B9F342F"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b/>
                <w:bCs/>
                <w:color w:val="FFFFFF"/>
                <w:sz w:val="17"/>
                <w:szCs w:val="17"/>
              </w:rPr>
              <w:t>Month</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45A1B056"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b/>
                <w:bCs/>
                <w:color w:val="FFFFFF"/>
                <w:sz w:val="17"/>
                <w:szCs w:val="17"/>
              </w:rPr>
              <w:t>Monthly Mean CPQI (%)</w:t>
            </w:r>
          </w:p>
        </w:tc>
      </w:tr>
      <w:tr w:rsidR="00A24935" w:rsidRPr="00793FC8" w14:paraId="59B51466"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18E6277"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GACHA 1 F3</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E6435A9"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Jan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56B8AB6"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86.45</w:t>
            </w:r>
          </w:p>
        </w:tc>
      </w:tr>
      <w:tr w:rsidR="00A24935" w:rsidRPr="00793FC8" w14:paraId="3DF93A5E"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2DC744F"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GACHA 1 F3</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E66B9B7"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Feb</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5EF721B"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85.49</w:t>
            </w:r>
          </w:p>
        </w:tc>
      </w:tr>
      <w:tr w:rsidR="00A24935" w:rsidRPr="00793FC8" w14:paraId="053B326E"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D4109B5"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GACHA 1 F3</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31E2B42"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Mar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76E8042"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86.67</w:t>
            </w:r>
          </w:p>
        </w:tc>
      </w:tr>
      <w:tr w:rsidR="00A24935" w:rsidRPr="00793FC8" w14:paraId="06B0FD3E"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B0A6041"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GACHA 1 F3</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81B8397"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Apr</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29419DE"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79.98</w:t>
            </w:r>
          </w:p>
        </w:tc>
      </w:tr>
      <w:tr w:rsidR="00A24935" w:rsidRPr="00793FC8" w14:paraId="3A9CA6D8"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EEFF1B7"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GACHA 1 F3</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618E12B"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May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3832E86"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77.35</w:t>
            </w:r>
          </w:p>
        </w:tc>
      </w:tr>
      <w:tr w:rsidR="00A24935" w:rsidRPr="00793FC8" w14:paraId="190236B9"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6B96FFB"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GACHA 1 F3</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309BCE9"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Jun</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7A1107D"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77.35</w:t>
            </w:r>
          </w:p>
        </w:tc>
      </w:tr>
      <w:tr w:rsidR="00A24935" w:rsidRPr="00793FC8" w14:paraId="35DB47CD"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4FA0A3D"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GACHA 1 F3</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7676E07"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Jul</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5F4A7EF"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80.07</w:t>
            </w:r>
          </w:p>
        </w:tc>
      </w:tr>
      <w:tr w:rsidR="00A24935" w:rsidRPr="00793FC8" w14:paraId="07E1013A"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85E645B"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GACHA 1 F3</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83CCB95"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Aug</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F5AC268"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86.85</w:t>
            </w:r>
          </w:p>
        </w:tc>
      </w:tr>
      <w:tr w:rsidR="00A24935" w:rsidRPr="00793FC8" w14:paraId="26D3A426"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DF8C1D8"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GACHA 1 F3</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B316904"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Sep</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196875C"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85</w:t>
            </w:r>
          </w:p>
        </w:tc>
      </w:tr>
      <w:tr w:rsidR="00A24935" w:rsidRPr="00793FC8" w14:paraId="3150F595"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04D0379"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GACHA 1 F3</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58AFF3D"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Oct</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06EAF8A"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86.51</w:t>
            </w:r>
          </w:p>
        </w:tc>
      </w:tr>
      <w:tr w:rsidR="00A24935" w:rsidRPr="00793FC8" w14:paraId="6CBA342E"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9EA34AB"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GACHA 1 F3</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8F3336F"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Nov</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509316F"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85</w:t>
            </w:r>
          </w:p>
        </w:tc>
      </w:tr>
      <w:tr w:rsidR="00A24935" w:rsidRPr="00793FC8" w14:paraId="1EBB3474"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E70C624"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lastRenderedPageBreak/>
              <w:t>GACHA 1 F3</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76E2F9E"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Dec</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9258064"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85</w:t>
            </w:r>
          </w:p>
        </w:tc>
      </w:tr>
      <w:tr w:rsidR="00A24935" w:rsidRPr="00793FC8" w14:paraId="531660C1"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ED7FB7E"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GACHA 1 F4</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ED7D0D7"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Jan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8738733"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54.01</w:t>
            </w:r>
          </w:p>
        </w:tc>
      </w:tr>
      <w:tr w:rsidR="00A24935" w:rsidRPr="00793FC8" w14:paraId="29374C72"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C8AB2EB"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GACHA 1 F4</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FFE9CF1"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Feb</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5D78C8A"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50.78</w:t>
            </w:r>
          </w:p>
        </w:tc>
      </w:tr>
      <w:tr w:rsidR="00A24935" w:rsidRPr="00793FC8" w14:paraId="421DF21E"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97C81BD"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GACHA 1 F4</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889FEB6"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Mar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0FD57CB"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51.06</w:t>
            </w:r>
          </w:p>
        </w:tc>
      </w:tr>
      <w:tr w:rsidR="00A24935" w:rsidRPr="00793FC8" w14:paraId="20262FB5"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1DE4DFB"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GACHA 1 F4</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8624AF0"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Apr</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DE187DF"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44.81</w:t>
            </w:r>
          </w:p>
        </w:tc>
      </w:tr>
      <w:tr w:rsidR="00A24935" w:rsidRPr="00793FC8" w14:paraId="06734C61"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4010758"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GACHA 1 F4</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683BDF1"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May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71AB3DE"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44.13</w:t>
            </w:r>
          </w:p>
        </w:tc>
      </w:tr>
      <w:tr w:rsidR="00A24935" w:rsidRPr="00793FC8" w14:paraId="4E9FD542"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045DAF7"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GACHA 1 F4</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2EDF245"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Jun</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D743847"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46.12</w:t>
            </w:r>
          </w:p>
        </w:tc>
      </w:tr>
      <w:tr w:rsidR="00A24935" w:rsidRPr="00793FC8" w14:paraId="33E1B130"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4C51A2B"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GACHA 1 F4</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889D19D"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Jul</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A3B66C0"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44.29</w:t>
            </w:r>
          </w:p>
        </w:tc>
      </w:tr>
      <w:tr w:rsidR="00A24935" w:rsidRPr="00793FC8" w14:paraId="2CF6098F"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4574551"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GACHA 1 F4</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30B2E2F"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Aug</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EF7A15B"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51.53</w:t>
            </w:r>
          </w:p>
        </w:tc>
      </w:tr>
      <w:tr w:rsidR="00A24935" w:rsidRPr="00793FC8" w14:paraId="75C67154"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5D98332"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GACHA 1 F4</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48B039C"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Sep</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416479F"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55.85</w:t>
            </w:r>
          </w:p>
        </w:tc>
      </w:tr>
      <w:tr w:rsidR="00A24935" w:rsidRPr="00793FC8" w14:paraId="5D778985"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8F6AA29"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GACHA 1 F4</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9EAD079"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Oct</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04C62D0"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53.31</w:t>
            </w:r>
          </w:p>
        </w:tc>
      </w:tr>
      <w:tr w:rsidR="00A24935" w:rsidRPr="00793FC8" w14:paraId="490A3B0A"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DE3A9DA"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GACHA 1 F4</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1F7F7AC"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Nov</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0E55568"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53.75</w:t>
            </w:r>
          </w:p>
        </w:tc>
      </w:tr>
      <w:tr w:rsidR="00A24935" w:rsidRPr="00793FC8" w14:paraId="3E9DCF3C"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887DAAE"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GACHA 1 F4</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EDD1C33"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Dec</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38FCC50"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51.51</w:t>
            </w:r>
          </w:p>
        </w:tc>
      </w:tr>
      <w:tr w:rsidR="00A24935" w:rsidRPr="00793FC8" w14:paraId="71521AA5"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7241726"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1 F5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E98EB4A"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Jan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B875198"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89.08</w:t>
            </w:r>
          </w:p>
        </w:tc>
      </w:tr>
      <w:tr w:rsidR="00A24935" w:rsidRPr="00793FC8" w14:paraId="0F76DB97"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5D51164"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1 F5</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A092770"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Feb</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C3A9BC7"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90.07</w:t>
            </w:r>
          </w:p>
        </w:tc>
      </w:tr>
      <w:tr w:rsidR="00A24935" w:rsidRPr="00793FC8" w14:paraId="5E3FD51C"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DD2EF78"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1 F5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039B09B"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Mar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038CDE6"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88.17</w:t>
            </w:r>
          </w:p>
        </w:tc>
      </w:tr>
      <w:tr w:rsidR="00A24935" w:rsidRPr="00793FC8" w14:paraId="610BA2DA"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1DF7241"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1 F5</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42F14B6"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Apr</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D3A4F94"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82.46</w:t>
            </w:r>
          </w:p>
        </w:tc>
      </w:tr>
      <w:tr w:rsidR="00A24935" w:rsidRPr="00793FC8" w14:paraId="06B15446"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67366FB"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1 F5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442603B"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May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172A859"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81</w:t>
            </w:r>
          </w:p>
        </w:tc>
      </w:tr>
      <w:tr w:rsidR="00A24935" w:rsidRPr="00793FC8" w14:paraId="55B859FE"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BFAB128"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1 F5</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B6B406C"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Jun</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C933080"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81.46</w:t>
            </w:r>
          </w:p>
        </w:tc>
      </w:tr>
      <w:tr w:rsidR="00A24935" w:rsidRPr="00793FC8" w14:paraId="3644D648"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C6147A8"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1 F5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B06BE76"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Jul</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CC5AB2E"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81</w:t>
            </w:r>
          </w:p>
        </w:tc>
      </w:tr>
      <w:tr w:rsidR="00A24935" w:rsidRPr="00793FC8" w14:paraId="50DF4F05"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9DD6871"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1 F5</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DFC7A31"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Aug</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9E853B0"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92.68</w:t>
            </w:r>
          </w:p>
        </w:tc>
      </w:tr>
      <w:tr w:rsidR="00A24935" w:rsidRPr="00793FC8" w14:paraId="081AFFB7"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1E7429E"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1 F5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FF36C08"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Sep</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884576E"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89.88</w:t>
            </w:r>
          </w:p>
        </w:tc>
      </w:tr>
      <w:tr w:rsidR="00A24935" w:rsidRPr="00793FC8" w14:paraId="7AF56BF8"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ED0C090"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1 F5</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97806D0"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Oct</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CAA43BD"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88.31</w:t>
            </w:r>
          </w:p>
        </w:tc>
      </w:tr>
      <w:tr w:rsidR="00A24935" w:rsidRPr="00793FC8" w14:paraId="5965007B"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43BFFC8"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1 F5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CD06AB4"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Nov</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29A6D6E"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91.13</w:t>
            </w:r>
          </w:p>
        </w:tc>
      </w:tr>
      <w:tr w:rsidR="00A24935" w:rsidRPr="00793FC8" w14:paraId="4C364A25"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2D061A0"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1 F5</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F3E0307"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Dec</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906FD74"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88.07</w:t>
            </w:r>
          </w:p>
        </w:tc>
      </w:tr>
      <w:tr w:rsidR="00A24935" w:rsidRPr="00793FC8" w14:paraId="1DEAC3A4"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9C742B5"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JOYDEBPUR 7 F5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C570EB7"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Jan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2DC7113"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73.41</w:t>
            </w:r>
          </w:p>
        </w:tc>
      </w:tr>
      <w:tr w:rsidR="00A24935" w:rsidRPr="00793FC8" w14:paraId="7F8C0A00"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26026F8"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JOYDEBPUR 7 F5</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DC3E15E"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Feb</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EA9B4DA"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70.16</w:t>
            </w:r>
          </w:p>
        </w:tc>
      </w:tr>
      <w:tr w:rsidR="00A24935" w:rsidRPr="00793FC8" w14:paraId="5FF5127F"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A68971D"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JOYDEBPUR 7 F5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97A09C7"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Mar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9D5F3C1"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71.11</w:t>
            </w:r>
          </w:p>
        </w:tc>
      </w:tr>
      <w:tr w:rsidR="00A24935" w:rsidRPr="00793FC8" w14:paraId="72984F34"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7D374BE"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JOYDEBPUR 7 F5</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632785C"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Apr</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9404B5F"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65.4</w:t>
            </w:r>
          </w:p>
        </w:tc>
      </w:tr>
      <w:tr w:rsidR="00A24935" w:rsidRPr="00793FC8" w14:paraId="21C436EB"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82379F9"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JOYDEBPUR 7 F5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40B1780"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May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89185BC"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66.21</w:t>
            </w:r>
          </w:p>
        </w:tc>
      </w:tr>
      <w:tr w:rsidR="00A24935" w:rsidRPr="00793FC8" w14:paraId="4C67A679"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F7BA2FE"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JOYDEBPUR 7 F5</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528F15F"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Jun</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EC0902B"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65.36</w:t>
            </w:r>
          </w:p>
        </w:tc>
      </w:tr>
      <w:tr w:rsidR="00A24935" w:rsidRPr="00793FC8" w14:paraId="38925F5A"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F6A5C87"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JOYDEBPUR 7 F5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E6C8872"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Jul</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4BB82B6"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64.93</w:t>
            </w:r>
          </w:p>
        </w:tc>
      </w:tr>
      <w:tr w:rsidR="00A24935" w:rsidRPr="00793FC8" w14:paraId="405DE549"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260D45D"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JOYDEBPUR 7 F5</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7BFD75E"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Aug</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5B5F3FC"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72.65</w:t>
            </w:r>
          </w:p>
        </w:tc>
      </w:tr>
      <w:tr w:rsidR="00A24935" w:rsidRPr="00793FC8" w14:paraId="494C90D2"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D31FA15"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JOYDEBPUR 7 F5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153EC4B"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Sep</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B9CCC0A"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70.88</w:t>
            </w:r>
          </w:p>
        </w:tc>
      </w:tr>
      <w:tr w:rsidR="00A24935" w:rsidRPr="00793FC8" w14:paraId="71F6F72A"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95CA56D"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JOYDEBPUR 7 F5</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24317F9"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Oct</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2FB68F9"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72.02</w:t>
            </w:r>
          </w:p>
        </w:tc>
      </w:tr>
      <w:tr w:rsidR="00A24935" w:rsidRPr="00793FC8" w14:paraId="3309CB9F"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A74F6E0"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JOYDEBPUR 7 F5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42FC983"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Nov</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8529423"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72.41</w:t>
            </w:r>
          </w:p>
        </w:tc>
      </w:tr>
      <w:tr w:rsidR="00A24935" w:rsidRPr="00793FC8" w14:paraId="11E05F3D"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9D5627D"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JOYDEBPUR 7 F5</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A301314"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Dec</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158AC8D"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74.69</w:t>
            </w:r>
          </w:p>
        </w:tc>
      </w:tr>
      <w:tr w:rsidR="00A24935" w:rsidRPr="00793FC8" w14:paraId="36B16B6C"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7B25B9C"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7 F1</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0714F35"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Jan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5F86E6F"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50.92</w:t>
            </w:r>
          </w:p>
        </w:tc>
      </w:tr>
      <w:tr w:rsidR="00A24935" w:rsidRPr="00793FC8" w14:paraId="21D5B1C8"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F72D292"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7 F1</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304F7B2"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Feb</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09F142B"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47.76</w:t>
            </w:r>
          </w:p>
        </w:tc>
      </w:tr>
      <w:tr w:rsidR="00A24935" w:rsidRPr="00793FC8" w14:paraId="366C6549"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E120F50"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7 F1</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5E238BE"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Mar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2A7B235"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50.89</w:t>
            </w:r>
          </w:p>
        </w:tc>
      </w:tr>
      <w:tr w:rsidR="00A24935" w:rsidRPr="00793FC8" w14:paraId="2A70CC2D"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77666AD"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7 F1</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44DEDCA"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Apr</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CA82A70"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41.82</w:t>
            </w:r>
          </w:p>
        </w:tc>
      </w:tr>
      <w:tr w:rsidR="00A24935" w:rsidRPr="00793FC8" w14:paraId="449FC6FD"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455AABF"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7 F1</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5843768"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May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C4E5856"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41.38</w:t>
            </w:r>
          </w:p>
        </w:tc>
      </w:tr>
      <w:tr w:rsidR="00A24935" w:rsidRPr="00793FC8" w14:paraId="3DDBA908"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0A1B964"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lastRenderedPageBreak/>
              <w:t>SREEPUR 7 F1</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752173C"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Jun</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3520D79"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43.32</w:t>
            </w:r>
          </w:p>
        </w:tc>
      </w:tr>
      <w:tr w:rsidR="00A24935" w:rsidRPr="00793FC8" w14:paraId="154CE851"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EF07C16"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7 F1</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AD52C36"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Jul</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F0DF3C0"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43.95</w:t>
            </w:r>
          </w:p>
        </w:tc>
      </w:tr>
      <w:tr w:rsidR="00A24935" w:rsidRPr="00793FC8" w14:paraId="53B6AA76"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2791D8E"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7 F1</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B6F97EB"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Aug</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323E937"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51.8</w:t>
            </w:r>
          </w:p>
        </w:tc>
      </w:tr>
      <w:tr w:rsidR="00A24935" w:rsidRPr="00793FC8" w14:paraId="59CED6D0"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1B655A6"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7 F1</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B00808B"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Sep</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D503A07"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49.14</w:t>
            </w:r>
          </w:p>
        </w:tc>
      </w:tr>
      <w:tr w:rsidR="00A24935" w:rsidRPr="00793FC8" w14:paraId="0C067F45"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F13D335"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7 F1</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69A9CCD"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Oct</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47E4AC0"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49.94</w:t>
            </w:r>
          </w:p>
        </w:tc>
      </w:tr>
      <w:tr w:rsidR="00A24935" w:rsidRPr="00793FC8" w14:paraId="68B38747"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04D3389"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7 F1</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CBEF4D2"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Nov</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4C3056A"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50.9</w:t>
            </w:r>
          </w:p>
        </w:tc>
      </w:tr>
      <w:tr w:rsidR="00A24935" w:rsidRPr="00793FC8" w14:paraId="6F855E77"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A598B7B"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7 F1</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848BB9B"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Dec</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95225EA"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51.86</w:t>
            </w:r>
          </w:p>
        </w:tc>
      </w:tr>
      <w:tr w:rsidR="00A24935" w:rsidRPr="00793FC8" w14:paraId="6A0C75A9"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A8600FA"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8 F2</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1E05981"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Jan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6D665CF"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81.88</w:t>
            </w:r>
          </w:p>
        </w:tc>
      </w:tr>
      <w:tr w:rsidR="00A24935" w:rsidRPr="00793FC8" w14:paraId="1BA4AAD9"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B0ACED3"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8 F2</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8AD6D36"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Feb</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043947F"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82.32</w:t>
            </w:r>
          </w:p>
        </w:tc>
      </w:tr>
      <w:tr w:rsidR="00A24935" w:rsidRPr="00793FC8" w14:paraId="4B9E14C9"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73B1117"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8 F2</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00B530E"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Mar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D7E26A9"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80.94</w:t>
            </w:r>
          </w:p>
        </w:tc>
      </w:tr>
      <w:tr w:rsidR="00A24935" w:rsidRPr="00793FC8" w14:paraId="66226F82"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A90325F"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8 F2</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8E927B3"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Apr</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3A4D8EB"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72.81</w:t>
            </w:r>
          </w:p>
        </w:tc>
      </w:tr>
      <w:tr w:rsidR="00A24935" w:rsidRPr="00793FC8" w14:paraId="57FA7E38"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21CBAA6"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8 F2</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33145C7"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May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44EA41C"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75.82</w:t>
            </w:r>
          </w:p>
        </w:tc>
      </w:tr>
      <w:tr w:rsidR="00A24935" w:rsidRPr="00793FC8" w14:paraId="66D6BABA"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FC8FF17"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8 F2</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CEED98B"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Jun</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21C6837"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76.63</w:t>
            </w:r>
          </w:p>
        </w:tc>
      </w:tr>
      <w:tr w:rsidR="00A24935" w:rsidRPr="00793FC8" w14:paraId="4C0E177D"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6C66CFA"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8 F2</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54F92E2"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Jul</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8C29656"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74.49</w:t>
            </w:r>
          </w:p>
        </w:tc>
      </w:tr>
      <w:tr w:rsidR="00A24935" w:rsidRPr="00793FC8" w14:paraId="0A6861A6"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3A803BB"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8 F2</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FA3F74B"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Aug</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052FAB3"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84.11</w:t>
            </w:r>
          </w:p>
        </w:tc>
      </w:tr>
      <w:tr w:rsidR="00A24935" w:rsidRPr="00793FC8" w14:paraId="536CA3DA"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176CEC2"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8 F2</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5E6CC33"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Sep</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2348204"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83.14</w:t>
            </w:r>
          </w:p>
        </w:tc>
      </w:tr>
      <w:tr w:rsidR="00A24935" w:rsidRPr="00793FC8" w14:paraId="097CF570"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9D6B837"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8 F2</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D65DD8A"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Oct</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7F0BC85"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81.63</w:t>
            </w:r>
          </w:p>
        </w:tc>
      </w:tr>
      <w:tr w:rsidR="00A24935" w:rsidRPr="00793FC8" w14:paraId="6DF4EE10"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9E0893B"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8 F2</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5FD511B"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Nov</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21D6D3F"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83.14</w:t>
            </w:r>
          </w:p>
        </w:tc>
      </w:tr>
      <w:tr w:rsidR="00A24935" w:rsidRPr="00793FC8" w14:paraId="3568E291" w14:textId="77777777" w:rsidTr="009857E1">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85DD678" w14:textId="77777777" w:rsidR="00A24935" w:rsidRPr="00793FC8" w:rsidRDefault="00A24935" w:rsidP="009857E1">
            <w:pPr>
              <w:rPr>
                <w:rFonts w:ascii="Times New Roman" w:hAnsi="Times New Roman" w:cs="Times New Roman"/>
              </w:rPr>
            </w:pPr>
            <w:r w:rsidRPr="00793FC8">
              <w:rPr>
                <w:rFonts w:ascii="Times New Roman" w:hAnsi="Times New Roman" w:cs="Times New Roman"/>
                <w:sz w:val="17"/>
                <w:szCs w:val="17"/>
              </w:rPr>
              <w:t>SREEPUR 8 F2</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2F9A0C4"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Dec</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D9983F9" w14:textId="77777777" w:rsidR="00A24935" w:rsidRPr="00793FC8" w:rsidRDefault="00A24935" w:rsidP="009857E1">
            <w:pPr>
              <w:jc w:val="center"/>
              <w:rPr>
                <w:rFonts w:ascii="Times New Roman" w:hAnsi="Times New Roman" w:cs="Times New Roman"/>
              </w:rPr>
            </w:pPr>
            <w:r w:rsidRPr="00793FC8">
              <w:rPr>
                <w:rFonts w:ascii="Times New Roman" w:hAnsi="Times New Roman" w:cs="Times New Roman"/>
                <w:sz w:val="17"/>
                <w:szCs w:val="17"/>
              </w:rPr>
              <w:t>84.91</w:t>
            </w:r>
          </w:p>
        </w:tc>
      </w:tr>
    </w:tbl>
    <w:p w14:paraId="2E54E5BC" w14:textId="77777777" w:rsidR="00A24935" w:rsidRPr="00793FC8" w:rsidRDefault="00A24935">
      <w:pPr>
        <w:spacing w:before="160" w:after="60"/>
        <w:rPr>
          <w:rFonts w:ascii="Times New Roman" w:hAnsi="Times New Roman" w:cs="Times New Roman"/>
          <w:b/>
          <w:bCs/>
          <w:sz w:val="19"/>
          <w:szCs w:val="19"/>
        </w:rPr>
      </w:pPr>
    </w:p>
    <w:p w14:paraId="66E5FC89" w14:textId="039CB83E" w:rsidR="00017B4A" w:rsidRPr="00C27C9D" w:rsidRDefault="00000000">
      <w:pPr>
        <w:spacing w:before="160" w:after="60"/>
        <w:rPr>
          <w:rFonts w:ascii="Times New Roman" w:hAnsi="Times New Roman" w:cs="Times New Roman"/>
          <w:sz w:val="24"/>
          <w:szCs w:val="24"/>
        </w:rPr>
      </w:pPr>
      <w:r w:rsidRPr="00C27C9D">
        <w:rPr>
          <w:rFonts w:ascii="Times New Roman" w:hAnsi="Times New Roman" w:cs="Times New Roman"/>
          <w:b/>
          <w:bCs/>
          <w:sz w:val="24"/>
          <w:szCs w:val="24"/>
        </w:rPr>
        <w:t>Table 10.6: Seasonal CPQI Statistics by Feeder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17B4A" w:rsidRPr="00793FC8" w14:paraId="2FEA2BA6" w14:textId="77777777">
        <w:trPr>
          <w:tblHeader/>
        </w:trPr>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20161313"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Feeder Name</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09E68AAF"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Summer Mean (%)</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6C6319B0"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Rainy (Monsoon) Mean (%)</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30DD6508"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Autumn Mean (%)</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3879B38E"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Winter Mean (%)</w:t>
            </w:r>
          </w:p>
        </w:tc>
      </w:tr>
      <w:tr w:rsidR="00017B4A" w:rsidRPr="00793FC8" w14:paraId="23A6D189" w14:textId="77777777">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59949B5"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GACHA 1 F3</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4AD8CC2"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81.5</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0FDA673"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79.2</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DE7578E"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86.4</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F16AAE3"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89.7</w:t>
            </w:r>
          </w:p>
        </w:tc>
      </w:tr>
      <w:tr w:rsidR="00017B4A" w:rsidRPr="00793FC8" w14:paraId="48687F1A" w14:textId="77777777">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1C12D0A"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GACHA 1 F4</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AE9C247"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44.2</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4CF2257"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41.5</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96549E2"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56.8</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DD03AB1"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66.1</w:t>
            </w:r>
          </w:p>
        </w:tc>
      </w:tr>
      <w:tr w:rsidR="00017B4A" w:rsidRPr="00793FC8" w14:paraId="4B15E8F6" w14:textId="77777777">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BE0EA60"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1 F5</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E8C4E3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85.1</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7A1C988"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83.4</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4BD44A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91.2</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C001AEE"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93.9</w:t>
            </w:r>
          </w:p>
        </w:tc>
      </w:tr>
      <w:tr w:rsidR="00017B4A" w:rsidRPr="00793FC8" w14:paraId="16AA0A46" w14:textId="77777777">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29710AB"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JOYDEBPUR 7 F5</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86727C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66.4</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86E6F03"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64.1</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FA59EE1"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74.5</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FCD00F2"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81.4</w:t>
            </w:r>
          </w:p>
        </w:tc>
      </w:tr>
      <w:tr w:rsidR="00017B4A" w:rsidRPr="00793FC8" w14:paraId="5ACE97EF" w14:textId="77777777">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458E86A"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7 F1</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1D8DAD6"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39.5</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75023A6"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35.2</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8748454"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54.1</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9054901"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66.8</w:t>
            </w:r>
          </w:p>
        </w:tc>
      </w:tr>
      <w:tr w:rsidR="00017B4A" w:rsidRPr="00793FC8" w14:paraId="74E633EB" w14:textId="77777777">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2A78D4E"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8 F2</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0E4CF3D"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78.1</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4EF3232"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75.4</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7659C99"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83.2</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035A421"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87.7</w:t>
            </w:r>
          </w:p>
        </w:tc>
      </w:tr>
    </w:tbl>
    <w:p w14:paraId="3E62A579" w14:textId="77777777" w:rsidR="00017B4A" w:rsidRPr="00793FC8" w:rsidRDefault="00017B4A">
      <w:pPr>
        <w:spacing w:after="200"/>
        <w:rPr>
          <w:rFonts w:ascii="Times New Roman" w:hAnsi="Times New Roman" w:cs="Times New Roman"/>
        </w:rPr>
      </w:pPr>
    </w:p>
    <w:p w14:paraId="6972EA65" w14:textId="77777777" w:rsidR="00017B4A" w:rsidRPr="00793FC8" w:rsidRDefault="00000000">
      <w:pPr>
        <w:spacing w:before="160" w:after="60"/>
        <w:rPr>
          <w:rFonts w:ascii="Times New Roman" w:hAnsi="Times New Roman" w:cs="Times New Roman"/>
          <w:sz w:val="24"/>
          <w:szCs w:val="24"/>
        </w:rPr>
      </w:pPr>
      <w:r w:rsidRPr="00793FC8">
        <w:rPr>
          <w:rFonts w:ascii="Times New Roman" w:hAnsi="Times New Roman" w:cs="Times New Roman"/>
          <w:b/>
          <w:bCs/>
          <w:sz w:val="24"/>
          <w:szCs w:val="24"/>
        </w:rPr>
        <w:t>Table 10.7: Annual CPQI Statistics by Feeder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17B4A" w:rsidRPr="00793FC8" w14:paraId="02CD0AC1" w14:textId="77777777">
        <w:trPr>
          <w:tblHeader/>
        </w:trPr>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789723EB"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Feeder Name</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5949D88B"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2024 Mean CPQI (%)</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0105352D"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2025 Mean CPQI (%)</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3FD5A94F"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2026 Mean CPQI (%) (YTD)</w:t>
            </w:r>
          </w:p>
        </w:tc>
      </w:tr>
      <w:tr w:rsidR="00017B4A" w:rsidRPr="00793FC8" w14:paraId="39E24F20"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F223EE5"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GACHA 1 F3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FD39430"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82.1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2E8BA5F"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84.2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542AC8D"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86.3</w:t>
            </w:r>
          </w:p>
        </w:tc>
      </w:tr>
      <w:tr w:rsidR="00017B4A" w:rsidRPr="00793FC8" w14:paraId="036AA1B0"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A02576A"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GACHA 1 F4</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6E060B7"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49.5</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8EB12D6"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52.15</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D3E8B17"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54.8</w:t>
            </w:r>
          </w:p>
        </w:tc>
      </w:tr>
      <w:tr w:rsidR="00017B4A" w:rsidRPr="00793FC8" w14:paraId="15220021"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CC9967C"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1 F5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C9ED9B4"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86.2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512B33F"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88.4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9733E18"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90.6</w:t>
            </w:r>
          </w:p>
        </w:tc>
      </w:tr>
      <w:tr w:rsidR="00017B4A" w:rsidRPr="00793FC8" w14:paraId="30E27AF1"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46BAA8F"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JOYDEBPUR 7 F5</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17B0F1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69.4</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8FF72E0"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71.6</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AE6BCB6"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73.8</w:t>
            </w:r>
          </w:p>
        </w:tc>
      </w:tr>
      <w:tr w:rsidR="00017B4A" w:rsidRPr="00793FC8" w14:paraId="6ED9C342"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B934DE2"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7 F1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D1FCB3D"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45.2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7C4D1FB"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48.9</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4B85676"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52.6</w:t>
            </w:r>
          </w:p>
        </w:tc>
      </w:tr>
      <w:tr w:rsidR="00017B4A" w:rsidRPr="00793FC8" w14:paraId="6C8BD0DF"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324A560"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8 F2</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FE92B0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79.2</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F241BCF"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81.1</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74BA87F"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83</w:t>
            </w:r>
          </w:p>
        </w:tc>
      </w:tr>
    </w:tbl>
    <w:p w14:paraId="4AD8F8D1" w14:textId="77777777" w:rsidR="00017B4A" w:rsidRPr="00793FC8" w:rsidRDefault="00017B4A">
      <w:pPr>
        <w:spacing w:after="200"/>
        <w:rPr>
          <w:rFonts w:ascii="Times New Roman" w:hAnsi="Times New Roman" w:cs="Times New Roman"/>
        </w:rPr>
      </w:pPr>
    </w:p>
    <w:p w14:paraId="0882A8E4" w14:textId="77777777" w:rsidR="00017B4A" w:rsidRPr="00793FC8" w:rsidRDefault="00017B4A">
      <w:pPr>
        <w:spacing w:after="200"/>
        <w:rPr>
          <w:rFonts w:ascii="Times New Roman" w:hAnsi="Times New Roman" w:cs="Times New Roman"/>
        </w:rPr>
      </w:pPr>
    </w:p>
    <w:p w14:paraId="1795DD04" w14:textId="77777777" w:rsidR="00017B4A" w:rsidRPr="00793FC8" w:rsidRDefault="00000000">
      <w:pPr>
        <w:pStyle w:val="Heading2"/>
        <w:rPr>
          <w:rFonts w:ascii="Times New Roman" w:hAnsi="Times New Roman" w:cs="Times New Roman"/>
          <w:color w:val="auto"/>
        </w:rPr>
      </w:pPr>
      <w:bookmarkStart w:id="5" w:name="_Toc233458799"/>
      <w:proofErr w:type="gramStart"/>
      <w:r w:rsidRPr="00793FC8">
        <w:rPr>
          <w:rFonts w:ascii="Times New Roman" w:hAnsi="Times New Roman" w:cs="Times New Roman"/>
          <w:color w:val="auto"/>
        </w:rPr>
        <w:lastRenderedPageBreak/>
        <w:t>10.4  Event</w:t>
      </w:r>
      <w:proofErr w:type="gramEnd"/>
      <w:r w:rsidRPr="00793FC8">
        <w:rPr>
          <w:rFonts w:ascii="Times New Roman" w:hAnsi="Times New Roman" w:cs="Times New Roman"/>
          <w:color w:val="auto"/>
        </w:rPr>
        <w:t>-Based Validation</w:t>
      </w:r>
      <w:bookmarkEnd w:id="5"/>
    </w:p>
    <w:p w14:paraId="6B4CA00B" w14:textId="77777777" w:rsidR="00017B4A" w:rsidRPr="00793FC8" w:rsidRDefault="00000000">
      <w:pPr>
        <w:spacing w:after="160" w:line="276" w:lineRule="auto"/>
        <w:jc w:val="both"/>
        <w:rPr>
          <w:rFonts w:ascii="Times New Roman" w:hAnsi="Times New Roman" w:cs="Times New Roman"/>
          <w:color w:val="auto"/>
          <w:sz w:val="24"/>
          <w:szCs w:val="24"/>
        </w:rPr>
      </w:pPr>
      <w:r w:rsidRPr="00793FC8">
        <w:rPr>
          <w:rFonts w:ascii="Times New Roman" w:hAnsi="Times New Roman" w:cs="Times New Roman"/>
          <w:color w:val="auto"/>
          <w:sz w:val="24"/>
          <w:szCs w:val="24"/>
        </w:rPr>
        <w:t>Time-series structure alone does not prove that the indicator measures power quality; it must be shown that the CPQI moves in the correct direction, and by an operationally meaningful magnitude, when specific disturbances occur. This section isolates discrete event types and contrasts the indicator immediately before an event with its value during the event. A credible indicator should fall most sharply for the most severe disturbances and recover after corrective maintenance.</w:t>
      </w:r>
    </w:p>
    <w:p w14:paraId="75A4ABAC" w14:textId="77777777" w:rsidR="00017B4A" w:rsidRPr="00793FC8" w:rsidRDefault="00000000">
      <w:pPr>
        <w:spacing w:after="160" w:line="276" w:lineRule="auto"/>
        <w:jc w:val="both"/>
        <w:rPr>
          <w:rFonts w:ascii="Times New Roman" w:hAnsi="Times New Roman" w:cs="Times New Roman"/>
          <w:color w:val="auto"/>
          <w:sz w:val="24"/>
          <w:szCs w:val="24"/>
        </w:rPr>
      </w:pPr>
      <w:r w:rsidRPr="00793FC8">
        <w:rPr>
          <w:rFonts w:ascii="Times New Roman" w:hAnsi="Times New Roman" w:cs="Times New Roman"/>
          <w:color w:val="auto"/>
          <w:sz w:val="24"/>
          <w:szCs w:val="24"/>
        </w:rPr>
        <w:t xml:space="preserve">Figure 10.11 contrasts the CPQI before and during a sustained outage, the most severe disturbance class, where the score collapses to near zero. Figure 10.12 demonstrates the inverse </w:t>
      </w:r>
      <w:proofErr w:type="spellStart"/>
      <w:r w:rsidRPr="00793FC8">
        <w:rPr>
          <w:rFonts w:ascii="Times New Roman" w:hAnsi="Times New Roman" w:cs="Times New Roman"/>
          <w:color w:val="auto"/>
          <w:sz w:val="24"/>
          <w:szCs w:val="24"/>
        </w:rPr>
        <w:t>behaviour</w:t>
      </w:r>
      <w:proofErr w:type="spellEnd"/>
      <w:r w:rsidRPr="00793FC8">
        <w:rPr>
          <w:rFonts w:ascii="Times New Roman" w:hAnsi="Times New Roman" w:cs="Times New Roman"/>
          <w:color w:val="auto"/>
          <w:sz w:val="24"/>
          <w:szCs w:val="24"/>
        </w:rPr>
        <w:t xml:space="preserve"> following maintenance, with the indicator recovering to its baseline once service is restored. The contrast between these two figures captures the full operational dynamic range of the indicator.</w:t>
      </w:r>
    </w:p>
    <w:p w14:paraId="495AD20E" w14:textId="77777777" w:rsidR="00017B4A" w:rsidRPr="00793FC8" w:rsidRDefault="00000000">
      <w:pPr>
        <w:spacing w:before="120" w:after="60"/>
        <w:jc w:val="center"/>
        <w:rPr>
          <w:rFonts w:ascii="Times New Roman" w:hAnsi="Times New Roman" w:cs="Times New Roman"/>
          <w:color w:val="auto"/>
          <w:sz w:val="24"/>
          <w:szCs w:val="24"/>
        </w:rPr>
      </w:pPr>
      <w:r w:rsidRPr="00793FC8">
        <w:rPr>
          <w:rFonts w:ascii="Times New Roman" w:hAnsi="Times New Roman" w:cs="Times New Roman"/>
          <w:noProof/>
          <w:color w:val="auto"/>
          <w:sz w:val="24"/>
          <w:szCs w:val="24"/>
        </w:rPr>
        <w:drawing>
          <wp:inline distT="0" distB="0" distL="0" distR="0" wp14:anchorId="7E10FD4F" wp14:editId="6CD2B94E">
            <wp:extent cx="5495925" cy="4095750"/>
            <wp:effectExtent l="0" t="0" r="0" b="0"/>
            <wp:docPr id="1201344275" name="Fig_10_11" descr="CPQI Before vs During a Sustained Outage" title="Fig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95925" cy="4095750"/>
                    </a:xfrm>
                    <a:prstGeom prst="rect">
                      <a:avLst/>
                    </a:prstGeom>
                  </pic:spPr>
                </pic:pic>
              </a:graphicData>
            </a:graphic>
          </wp:inline>
        </w:drawing>
      </w:r>
    </w:p>
    <w:p w14:paraId="3C394491" w14:textId="77777777" w:rsidR="00017B4A" w:rsidRPr="00793FC8" w:rsidRDefault="00000000">
      <w:pPr>
        <w:spacing w:after="200"/>
        <w:jc w:val="center"/>
        <w:rPr>
          <w:rFonts w:ascii="Times New Roman" w:hAnsi="Times New Roman" w:cs="Times New Roman"/>
          <w:color w:val="auto"/>
          <w:sz w:val="24"/>
          <w:szCs w:val="24"/>
        </w:rPr>
      </w:pPr>
      <w:r w:rsidRPr="00793FC8">
        <w:rPr>
          <w:rFonts w:ascii="Times New Roman" w:hAnsi="Times New Roman" w:cs="Times New Roman"/>
          <w:b/>
          <w:bCs/>
          <w:color w:val="auto"/>
          <w:sz w:val="24"/>
          <w:szCs w:val="24"/>
        </w:rPr>
        <w:t xml:space="preserve">Figure 10.11: </w:t>
      </w:r>
      <w:r w:rsidRPr="00793FC8">
        <w:rPr>
          <w:rFonts w:ascii="Times New Roman" w:hAnsi="Times New Roman" w:cs="Times New Roman"/>
          <w:color w:val="auto"/>
          <w:sz w:val="24"/>
          <w:szCs w:val="24"/>
        </w:rPr>
        <w:t>CPQI Before vs During a Sustained Outage</w:t>
      </w:r>
    </w:p>
    <w:p w14:paraId="7C085493" w14:textId="77777777" w:rsidR="00017B4A" w:rsidRPr="00793FC8" w:rsidRDefault="00000000">
      <w:pPr>
        <w:spacing w:before="120" w:after="60"/>
        <w:jc w:val="center"/>
        <w:rPr>
          <w:rFonts w:ascii="Times New Roman" w:hAnsi="Times New Roman" w:cs="Times New Roman"/>
          <w:color w:val="auto"/>
          <w:sz w:val="24"/>
          <w:szCs w:val="24"/>
        </w:rPr>
      </w:pPr>
      <w:r w:rsidRPr="00793FC8">
        <w:rPr>
          <w:rFonts w:ascii="Times New Roman" w:hAnsi="Times New Roman" w:cs="Times New Roman"/>
          <w:noProof/>
          <w:color w:val="auto"/>
          <w:sz w:val="24"/>
          <w:szCs w:val="24"/>
        </w:rPr>
        <w:lastRenderedPageBreak/>
        <w:drawing>
          <wp:inline distT="0" distB="0" distL="0" distR="0" wp14:anchorId="6B1BDE0B" wp14:editId="27223DD0">
            <wp:extent cx="5495925" cy="4095750"/>
            <wp:effectExtent l="0" t="0" r="0" b="0"/>
            <wp:docPr id="1018332533" name="Fig_10_12" descr="CPQI Before vs After Maintenance" title="Fig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95925" cy="4095750"/>
                    </a:xfrm>
                    <a:prstGeom prst="rect">
                      <a:avLst/>
                    </a:prstGeom>
                  </pic:spPr>
                </pic:pic>
              </a:graphicData>
            </a:graphic>
          </wp:inline>
        </w:drawing>
      </w:r>
    </w:p>
    <w:p w14:paraId="66A18CCD" w14:textId="77777777" w:rsidR="00017B4A" w:rsidRPr="00793FC8" w:rsidRDefault="00000000">
      <w:pPr>
        <w:spacing w:after="200"/>
        <w:jc w:val="center"/>
        <w:rPr>
          <w:rFonts w:ascii="Times New Roman" w:hAnsi="Times New Roman" w:cs="Times New Roman"/>
          <w:color w:val="auto"/>
          <w:sz w:val="24"/>
          <w:szCs w:val="24"/>
        </w:rPr>
      </w:pPr>
      <w:r w:rsidRPr="00793FC8">
        <w:rPr>
          <w:rFonts w:ascii="Times New Roman" w:hAnsi="Times New Roman" w:cs="Times New Roman"/>
          <w:b/>
          <w:bCs/>
          <w:color w:val="auto"/>
          <w:sz w:val="24"/>
          <w:szCs w:val="24"/>
        </w:rPr>
        <w:t xml:space="preserve">Figure 10.12: </w:t>
      </w:r>
      <w:r w:rsidRPr="00793FC8">
        <w:rPr>
          <w:rFonts w:ascii="Times New Roman" w:hAnsi="Times New Roman" w:cs="Times New Roman"/>
          <w:color w:val="auto"/>
          <w:sz w:val="24"/>
          <w:szCs w:val="24"/>
        </w:rPr>
        <w:t>CPQI Before vs After Maintenance</w:t>
      </w:r>
    </w:p>
    <w:p w14:paraId="5EA388FC" w14:textId="77777777" w:rsidR="00017B4A" w:rsidRPr="00793FC8" w:rsidRDefault="00000000">
      <w:pPr>
        <w:spacing w:after="160" w:line="276" w:lineRule="auto"/>
        <w:jc w:val="both"/>
        <w:rPr>
          <w:rFonts w:ascii="Times New Roman" w:hAnsi="Times New Roman" w:cs="Times New Roman"/>
          <w:color w:val="auto"/>
          <w:sz w:val="24"/>
          <w:szCs w:val="24"/>
        </w:rPr>
      </w:pPr>
      <w:r w:rsidRPr="00793FC8">
        <w:rPr>
          <w:rFonts w:ascii="Times New Roman" w:hAnsi="Times New Roman" w:cs="Times New Roman"/>
          <w:color w:val="auto"/>
          <w:sz w:val="24"/>
          <w:szCs w:val="24"/>
        </w:rPr>
        <w:t xml:space="preserve">Figures 10.13 through 10.18 examine the indicator response to specific power quality phenomena: voltage sags and swells, fault events, high loading, low power factor, and harmonic distortion. In every case the indicator declines relative to its baseline, with the depth of the decline tracking the physical severity of the disturbance—deep for sags and faults, more moderate for loading and power-factor degradation. This monotonic, severity-ordered response is precisely the </w:t>
      </w:r>
      <w:proofErr w:type="spellStart"/>
      <w:r w:rsidRPr="00793FC8">
        <w:rPr>
          <w:rFonts w:ascii="Times New Roman" w:hAnsi="Times New Roman" w:cs="Times New Roman"/>
          <w:color w:val="auto"/>
          <w:sz w:val="24"/>
          <w:szCs w:val="24"/>
        </w:rPr>
        <w:t>behaviour</w:t>
      </w:r>
      <w:proofErr w:type="spellEnd"/>
      <w:r w:rsidRPr="00793FC8">
        <w:rPr>
          <w:rFonts w:ascii="Times New Roman" w:hAnsi="Times New Roman" w:cs="Times New Roman"/>
          <w:color w:val="auto"/>
          <w:sz w:val="24"/>
          <w:szCs w:val="24"/>
        </w:rPr>
        <w:t xml:space="preserve"> expected of a valid composite metric.</w:t>
      </w:r>
    </w:p>
    <w:p w14:paraId="42CB16B2" w14:textId="77777777" w:rsidR="00017B4A" w:rsidRPr="00793FC8" w:rsidRDefault="00000000">
      <w:pPr>
        <w:spacing w:before="120" w:after="60"/>
        <w:jc w:val="center"/>
        <w:rPr>
          <w:rFonts w:ascii="Times New Roman" w:hAnsi="Times New Roman" w:cs="Times New Roman"/>
          <w:color w:val="auto"/>
          <w:sz w:val="24"/>
          <w:szCs w:val="24"/>
        </w:rPr>
      </w:pPr>
      <w:r w:rsidRPr="00793FC8">
        <w:rPr>
          <w:rFonts w:ascii="Times New Roman" w:hAnsi="Times New Roman" w:cs="Times New Roman"/>
          <w:noProof/>
          <w:color w:val="auto"/>
          <w:sz w:val="24"/>
          <w:szCs w:val="24"/>
        </w:rPr>
        <w:lastRenderedPageBreak/>
        <w:drawing>
          <wp:inline distT="0" distB="0" distL="0" distR="0" wp14:anchorId="67AA2B1A" wp14:editId="06447CC9">
            <wp:extent cx="5495925" cy="4095750"/>
            <wp:effectExtent l="0" t="0" r="0" b="0"/>
            <wp:docPr id="1122560827" name="Fig_10_13" descr="CPQI Baseline vs During a Voltage Sag" title="Fig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95925" cy="4095750"/>
                    </a:xfrm>
                    <a:prstGeom prst="rect">
                      <a:avLst/>
                    </a:prstGeom>
                  </pic:spPr>
                </pic:pic>
              </a:graphicData>
            </a:graphic>
          </wp:inline>
        </w:drawing>
      </w:r>
    </w:p>
    <w:p w14:paraId="04327AC4" w14:textId="77777777" w:rsidR="00017B4A" w:rsidRPr="00793FC8" w:rsidRDefault="00000000">
      <w:pPr>
        <w:spacing w:after="200"/>
        <w:jc w:val="center"/>
        <w:rPr>
          <w:rFonts w:ascii="Times New Roman" w:hAnsi="Times New Roman" w:cs="Times New Roman"/>
          <w:color w:val="auto"/>
          <w:sz w:val="24"/>
          <w:szCs w:val="24"/>
        </w:rPr>
      </w:pPr>
      <w:r w:rsidRPr="00793FC8">
        <w:rPr>
          <w:rFonts w:ascii="Times New Roman" w:hAnsi="Times New Roman" w:cs="Times New Roman"/>
          <w:b/>
          <w:bCs/>
          <w:color w:val="auto"/>
          <w:sz w:val="24"/>
          <w:szCs w:val="24"/>
        </w:rPr>
        <w:t xml:space="preserve">Figure 10.13: </w:t>
      </w:r>
      <w:r w:rsidRPr="00793FC8">
        <w:rPr>
          <w:rFonts w:ascii="Times New Roman" w:hAnsi="Times New Roman" w:cs="Times New Roman"/>
          <w:color w:val="auto"/>
          <w:sz w:val="24"/>
          <w:szCs w:val="24"/>
        </w:rPr>
        <w:t>CPQI Baseline vs During a Voltage Sag</w:t>
      </w:r>
    </w:p>
    <w:p w14:paraId="1F9C6B5A" w14:textId="77777777" w:rsidR="00017B4A" w:rsidRPr="00793FC8" w:rsidRDefault="00000000">
      <w:pPr>
        <w:spacing w:before="120" w:after="60"/>
        <w:jc w:val="center"/>
        <w:rPr>
          <w:rFonts w:ascii="Times New Roman" w:hAnsi="Times New Roman" w:cs="Times New Roman"/>
          <w:color w:val="auto"/>
          <w:sz w:val="24"/>
          <w:szCs w:val="24"/>
        </w:rPr>
      </w:pPr>
      <w:r w:rsidRPr="00793FC8">
        <w:rPr>
          <w:rFonts w:ascii="Times New Roman" w:hAnsi="Times New Roman" w:cs="Times New Roman"/>
          <w:noProof/>
          <w:color w:val="auto"/>
          <w:sz w:val="24"/>
          <w:szCs w:val="24"/>
        </w:rPr>
        <w:lastRenderedPageBreak/>
        <w:drawing>
          <wp:inline distT="0" distB="0" distL="0" distR="0" wp14:anchorId="0C73D38F" wp14:editId="5287D2B0">
            <wp:extent cx="5495925" cy="4095750"/>
            <wp:effectExtent l="0" t="0" r="0" b="0"/>
            <wp:docPr id="1194056690" name="Fig_10_14" descr="CPQI Baseline vs During a Voltage Swell" title="Fig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95925" cy="4095750"/>
                    </a:xfrm>
                    <a:prstGeom prst="rect">
                      <a:avLst/>
                    </a:prstGeom>
                  </pic:spPr>
                </pic:pic>
              </a:graphicData>
            </a:graphic>
          </wp:inline>
        </w:drawing>
      </w:r>
    </w:p>
    <w:p w14:paraId="4ECF0D5F" w14:textId="77777777" w:rsidR="00017B4A" w:rsidRPr="00793FC8" w:rsidRDefault="00000000">
      <w:pPr>
        <w:spacing w:after="200"/>
        <w:jc w:val="center"/>
        <w:rPr>
          <w:rFonts w:ascii="Times New Roman" w:hAnsi="Times New Roman" w:cs="Times New Roman"/>
          <w:color w:val="auto"/>
          <w:sz w:val="24"/>
          <w:szCs w:val="24"/>
        </w:rPr>
      </w:pPr>
      <w:r w:rsidRPr="00793FC8">
        <w:rPr>
          <w:rFonts w:ascii="Times New Roman" w:hAnsi="Times New Roman" w:cs="Times New Roman"/>
          <w:b/>
          <w:bCs/>
          <w:color w:val="auto"/>
          <w:sz w:val="24"/>
          <w:szCs w:val="24"/>
        </w:rPr>
        <w:t xml:space="preserve">Figure 10.14: </w:t>
      </w:r>
      <w:r w:rsidRPr="00793FC8">
        <w:rPr>
          <w:rFonts w:ascii="Times New Roman" w:hAnsi="Times New Roman" w:cs="Times New Roman"/>
          <w:color w:val="auto"/>
          <w:sz w:val="24"/>
          <w:szCs w:val="24"/>
        </w:rPr>
        <w:t>CPQI Baseline vs During a Voltage Swell</w:t>
      </w:r>
    </w:p>
    <w:p w14:paraId="7840DFC2" w14:textId="77777777" w:rsidR="00017B4A" w:rsidRPr="00793FC8" w:rsidRDefault="00000000">
      <w:pPr>
        <w:spacing w:before="120" w:after="60"/>
        <w:jc w:val="center"/>
        <w:rPr>
          <w:rFonts w:ascii="Times New Roman" w:hAnsi="Times New Roman" w:cs="Times New Roman"/>
          <w:color w:val="auto"/>
          <w:sz w:val="24"/>
          <w:szCs w:val="24"/>
        </w:rPr>
      </w:pPr>
      <w:r w:rsidRPr="00793FC8">
        <w:rPr>
          <w:rFonts w:ascii="Times New Roman" w:hAnsi="Times New Roman" w:cs="Times New Roman"/>
          <w:noProof/>
          <w:color w:val="auto"/>
          <w:sz w:val="24"/>
          <w:szCs w:val="24"/>
        </w:rPr>
        <w:lastRenderedPageBreak/>
        <w:drawing>
          <wp:inline distT="0" distB="0" distL="0" distR="0" wp14:anchorId="3FAA9D8D" wp14:editId="0F6B0E7B">
            <wp:extent cx="5495925" cy="4095750"/>
            <wp:effectExtent l="0" t="0" r="0" b="0"/>
            <wp:docPr id="1167776371" name="Fig_10_15" descr="CPQI Baseline vs During Fault Events" title="Fig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95925" cy="4095750"/>
                    </a:xfrm>
                    <a:prstGeom prst="rect">
                      <a:avLst/>
                    </a:prstGeom>
                  </pic:spPr>
                </pic:pic>
              </a:graphicData>
            </a:graphic>
          </wp:inline>
        </w:drawing>
      </w:r>
    </w:p>
    <w:p w14:paraId="6BD5050B" w14:textId="77777777" w:rsidR="00017B4A" w:rsidRPr="00793FC8" w:rsidRDefault="00000000">
      <w:pPr>
        <w:spacing w:after="200"/>
        <w:jc w:val="center"/>
        <w:rPr>
          <w:rFonts w:ascii="Times New Roman" w:hAnsi="Times New Roman" w:cs="Times New Roman"/>
          <w:color w:val="auto"/>
          <w:sz w:val="24"/>
          <w:szCs w:val="24"/>
        </w:rPr>
      </w:pPr>
      <w:r w:rsidRPr="00793FC8">
        <w:rPr>
          <w:rFonts w:ascii="Times New Roman" w:hAnsi="Times New Roman" w:cs="Times New Roman"/>
          <w:b/>
          <w:bCs/>
          <w:color w:val="auto"/>
          <w:sz w:val="24"/>
          <w:szCs w:val="24"/>
        </w:rPr>
        <w:t xml:space="preserve">Figure 10.15: </w:t>
      </w:r>
      <w:r w:rsidRPr="00793FC8">
        <w:rPr>
          <w:rFonts w:ascii="Times New Roman" w:hAnsi="Times New Roman" w:cs="Times New Roman"/>
          <w:color w:val="auto"/>
          <w:sz w:val="24"/>
          <w:szCs w:val="24"/>
        </w:rPr>
        <w:t>CPQI Baseline vs During Fault Events</w:t>
      </w:r>
    </w:p>
    <w:p w14:paraId="662F62AB" w14:textId="77777777" w:rsidR="00017B4A" w:rsidRPr="00793FC8" w:rsidRDefault="00000000">
      <w:pPr>
        <w:spacing w:before="120" w:after="60"/>
        <w:jc w:val="center"/>
        <w:rPr>
          <w:rFonts w:ascii="Times New Roman" w:hAnsi="Times New Roman" w:cs="Times New Roman"/>
          <w:color w:val="auto"/>
          <w:sz w:val="24"/>
          <w:szCs w:val="24"/>
        </w:rPr>
      </w:pPr>
      <w:r w:rsidRPr="00793FC8">
        <w:rPr>
          <w:rFonts w:ascii="Times New Roman" w:hAnsi="Times New Roman" w:cs="Times New Roman"/>
          <w:noProof/>
          <w:color w:val="auto"/>
          <w:sz w:val="24"/>
          <w:szCs w:val="24"/>
        </w:rPr>
        <w:lastRenderedPageBreak/>
        <w:drawing>
          <wp:inline distT="0" distB="0" distL="0" distR="0" wp14:anchorId="19173983" wp14:editId="2B060C3D">
            <wp:extent cx="5495925" cy="4095750"/>
            <wp:effectExtent l="0" t="0" r="0" b="0"/>
            <wp:docPr id="705973188" name="Fig_10_16" descr="CPQI Baseline vs During High Loading" title="Fig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95925" cy="4095750"/>
                    </a:xfrm>
                    <a:prstGeom prst="rect">
                      <a:avLst/>
                    </a:prstGeom>
                  </pic:spPr>
                </pic:pic>
              </a:graphicData>
            </a:graphic>
          </wp:inline>
        </w:drawing>
      </w:r>
    </w:p>
    <w:p w14:paraId="42E914B6" w14:textId="77777777" w:rsidR="00017B4A" w:rsidRPr="00793FC8" w:rsidRDefault="00000000">
      <w:pPr>
        <w:spacing w:after="200"/>
        <w:jc w:val="center"/>
        <w:rPr>
          <w:rFonts w:ascii="Times New Roman" w:hAnsi="Times New Roman" w:cs="Times New Roman"/>
          <w:color w:val="auto"/>
          <w:sz w:val="24"/>
          <w:szCs w:val="24"/>
        </w:rPr>
      </w:pPr>
      <w:r w:rsidRPr="00793FC8">
        <w:rPr>
          <w:rFonts w:ascii="Times New Roman" w:hAnsi="Times New Roman" w:cs="Times New Roman"/>
          <w:b/>
          <w:bCs/>
          <w:color w:val="auto"/>
          <w:sz w:val="24"/>
          <w:szCs w:val="24"/>
        </w:rPr>
        <w:t xml:space="preserve">Figure 10.16: </w:t>
      </w:r>
      <w:r w:rsidRPr="00793FC8">
        <w:rPr>
          <w:rFonts w:ascii="Times New Roman" w:hAnsi="Times New Roman" w:cs="Times New Roman"/>
          <w:color w:val="auto"/>
          <w:sz w:val="24"/>
          <w:szCs w:val="24"/>
        </w:rPr>
        <w:t>CPQI Baseline vs During High Loading</w:t>
      </w:r>
    </w:p>
    <w:p w14:paraId="02CC54C0" w14:textId="77777777" w:rsidR="00017B4A" w:rsidRPr="00793FC8" w:rsidRDefault="00000000">
      <w:pPr>
        <w:spacing w:before="120" w:after="60"/>
        <w:jc w:val="center"/>
        <w:rPr>
          <w:rFonts w:ascii="Times New Roman" w:hAnsi="Times New Roman" w:cs="Times New Roman"/>
          <w:color w:val="auto"/>
          <w:sz w:val="24"/>
          <w:szCs w:val="24"/>
        </w:rPr>
      </w:pPr>
      <w:r w:rsidRPr="00793FC8">
        <w:rPr>
          <w:rFonts w:ascii="Times New Roman" w:hAnsi="Times New Roman" w:cs="Times New Roman"/>
          <w:noProof/>
          <w:color w:val="auto"/>
          <w:sz w:val="24"/>
          <w:szCs w:val="24"/>
        </w:rPr>
        <w:lastRenderedPageBreak/>
        <w:drawing>
          <wp:inline distT="0" distB="0" distL="0" distR="0" wp14:anchorId="22105C19" wp14:editId="68AA000C">
            <wp:extent cx="5495925" cy="4095750"/>
            <wp:effectExtent l="0" t="0" r="0" b="0"/>
            <wp:docPr id="747734337" name="Fig_10_17" descr="CPQI Baseline vs During Low Power Factor" title="Fig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95925" cy="4095750"/>
                    </a:xfrm>
                    <a:prstGeom prst="rect">
                      <a:avLst/>
                    </a:prstGeom>
                  </pic:spPr>
                </pic:pic>
              </a:graphicData>
            </a:graphic>
          </wp:inline>
        </w:drawing>
      </w:r>
    </w:p>
    <w:p w14:paraId="73DBF9ED" w14:textId="77777777" w:rsidR="00017B4A" w:rsidRPr="00793FC8" w:rsidRDefault="00000000">
      <w:pPr>
        <w:spacing w:after="200"/>
        <w:jc w:val="center"/>
        <w:rPr>
          <w:rFonts w:ascii="Times New Roman" w:hAnsi="Times New Roman" w:cs="Times New Roman"/>
          <w:color w:val="auto"/>
          <w:sz w:val="24"/>
          <w:szCs w:val="24"/>
        </w:rPr>
      </w:pPr>
      <w:r w:rsidRPr="00793FC8">
        <w:rPr>
          <w:rFonts w:ascii="Times New Roman" w:hAnsi="Times New Roman" w:cs="Times New Roman"/>
          <w:b/>
          <w:bCs/>
          <w:color w:val="auto"/>
          <w:sz w:val="24"/>
          <w:szCs w:val="24"/>
        </w:rPr>
        <w:t xml:space="preserve">Figure 10.17: </w:t>
      </w:r>
      <w:r w:rsidRPr="00793FC8">
        <w:rPr>
          <w:rFonts w:ascii="Times New Roman" w:hAnsi="Times New Roman" w:cs="Times New Roman"/>
          <w:color w:val="auto"/>
          <w:sz w:val="24"/>
          <w:szCs w:val="24"/>
        </w:rPr>
        <w:t>CPQI Baseline vs During Low Power Factor</w:t>
      </w:r>
    </w:p>
    <w:p w14:paraId="590FF16F" w14:textId="77777777" w:rsidR="00017B4A" w:rsidRPr="00793FC8" w:rsidRDefault="00000000">
      <w:pPr>
        <w:spacing w:before="120" w:after="60"/>
        <w:jc w:val="center"/>
        <w:rPr>
          <w:rFonts w:ascii="Times New Roman" w:hAnsi="Times New Roman" w:cs="Times New Roman"/>
          <w:color w:val="auto"/>
          <w:sz w:val="24"/>
          <w:szCs w:val="24"/>
        </w:rPr>
      </w:pPr>
      <w:r w:rsidRPr="00793FC8">
        <w:rPr>
          <w:rFonts w:ascii="Times New Roman" w:hAnsi="Times New Roman" w:cs="Times New Roman"/>
          <w:noProof/>
          <w:color w:val="auto"/>
          <w:sz w:val="24"/>
          <w:szCs w:val="24"/>
        </w:rPr>
        <w:lastRenderedPageBreak/>
        <w:drawing>
          <wp:inline distT="0" distB="0" distL="0" distR="0" wp14:anchorId="5CD0CBD0" wp14:editId="5127C347">
            <wp:extent cx="5495925" cy="4095750"/>
            <wp:effectExtent l="0" t="0" r="0" b="0"/>
            <wp:docPr id="1608855694" name="Fig_10_18" descr="CPQI Baseline vs During Harmonic Distortion" title="Fig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95925" cy="4095750"/>
                    </a:xfrm>
                    <a:prstGeom prst="rect">
                      <a:avLst/>
                    </a:prstGeom>
                  </pic:spPr>
                </pic:pic>
              </a:graphicData>
            </a:graphic>
          </wp:inline>
        </w:drawing>
      </w:r>
    </w:p>
    <w:p w14:paraId="53AE154D" w14:textId="77777777" w:rsidR="00017B4A" w:rsidRPr="00793FC8" w:rsidRDefault="00000000">
      <w:pPr>
        <w:spacing w:after="200"/>
        <w:jc w:val="center"/>
        <w:rPr>
          <w:rFonts w:ascii="Times New Roman" w:hAnsi="Times New Roman" w:cs="Times New Roman"/>
          <w:color w:val="auto"/>
          <w:sz w:val="24"/>
          <w:szCs w:val="24"/>
        </w:rPr>
      </w:pPr>
      <w:r w:rsidRPr="00793FC8">
        <w:rPr>
          <w:rFonts w:ascii="Times New Roman" w:hAnsi="Times New Roman" w:cs="Times New Roman"/>
          <w:b/>
          <w:bCs/>
          <w:color w:val="auto"/>
          <w:sz w:val="24"/>
          <w:szCs w:val="24"/>
        </w:rPr>
        <w:t xml:space="preserve">Figure 10.18: </w:t>
      </w:r>
      <w:r w:rsidRPr="00793FC8">
        <w:rPr>
          <w:rFonts w:ascii="Times New Roman" w:hAnsi="Times New Roman" w:cs="Times New Roman"/>
          <w:color w:val="auto"/>
          <w:sz w:val="24"/>
          <w:szCs w:val="24"/>
        </w:rPr>
        <w:t>CPQI Baseline vs During Harmonic Distortion</w:t>
      </w:r>
    </w:p>
    <w:p w14:paraId="58740CFA" w14:textId="77777777" w:rsidR="00017B4A" w:rsidRPr="00793FC8" w:rsidRDefault="00000000">
      <w:pPr>
        <w:spacing w:after="160" w:line="276" w:lineRule="auto"/>
        <w:jc w:val="both"/>
        <w:rPr>
          <w:rFonts w:ascii="Times New Roman" w:hAnsi="Times New Roman" w:cs="Times New Roman"/>
          <w:color w:val="auto"/>
          <w:sz w:val="24"/>
          <w:szCs w:val="24"/>
        </w:rPr>
      </w:pPr>
      <w:r w:rsidRPr="00793FC8">
        <w:rPr>
          <w:rFonts w:ascii="Times New Roman" w:hAnsi="Times New Roman" w:cs="Times New Roman"/>
          <w:color w:val="auto"/>
          <w:sz w:val="24"/>
          <w:szCs w:val="24"/>
        </w:rPr>
        <w:t>To characterize the temporal shape of the response, Figure 10.19 presents the event timeline spanning from 120 minutes before to 120 minutes after event onset, showing the characteristic drop-and-recovery signature. Figure 10.20 then relates event duration to the magnitude of CPQI reduction, confirming that longer-lived disturbances produce deeper and more persistent indicator depressions.</w:t>
      </w:r>
    </w:p>
    <w:p w14:paraId="7722C323" w14:textId="77777777" w:rsidR="00017B4A" w:rsidRPr="00793FC8" w:rsidRDefault="00000000">
      <w:pPr>
        <w:spacing w:before="120" w:after="60"/>
        <w:jc w:val="center"/>
        <w:rPr>
          <w:rFonts w:ascii="Times New Roman" w:hAnsi="Times New Roman" w:cs="Times New Roman"/>
          <w:color w:val="auto"/>
          <w:sz w:val="24"/>
          <w:szCs w:val="24"/>
        </w:rPr>
      </w:pPr>
      <w:r w:rsidRPr="00793FC8">
        <w:rPr>
          <w:rFonts w:ascii="Times New Roman" w:hAnsi="Times New Roman" w:cs="Times New Roman"/>
          <w:noProof/>
          <w:color w:val="auto"/>
          <w:sz w:val="24"/>
          <w:szCs w:val="24"/>
        </w:rPr>
        <w:lastRenderedPageBreak/>
        <w:drawing>
          <wp:inline distT="0" distB="0" distL="0" distR="0" wp14:anchorId="7D7B5707" wp14:editId="7FC69862">
            <wp:extent cx="5715000" cy="2828925"/>
            <wp:effectExtent l="0" t="0" r="0" b="0"/>
            <wp:docPr id="226462407" name="Fig_10_19" descr="Event Timeline Response of CPQI (-120 to +120 Minutes)" title="Fig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2828925"/>
                    </a:xfrm>
                    <a:prstGeom prst="rect">
                      <a:avLst/>
                    </a:prstGeom>
                  </pic:spPr>
                </pic:pic>
              </a:graphicData>
            </a:graphic>
          </wp:inline>
        </w:drawing>
      </w:r>
    </w:p>
    <w:p w14:paraId="0BA4FA46" w14:textId="77777777" w:rsidR="00017B4A" w:rsidRPr="00793FC8" w:rsidRDefault="00000000">
      <w:pPr>
        <w:spacing w:after="200"/>
        <w:jc w:val="center"/>
        <w:rPr>
          <w:rFonts w:ascii="Times New Roman" w:hAnsi="Times New Roman" w:cs="Times New Roman"/>
          <w:color w:val="auto"/>
          <w:sz w:val="24"/>
          <w:szCs w:val="24"/>
        </w:rPr>
      </w:pPr>
      <w:r w:rsidRPr="00793FC8">
        <w:rPr>
          <w:rFonts w:ascii="Times New Roman" w:hAnsi="Times New Roman" w:cs="Times New Roman"/>
          <w:b/>
          <w:bCs/>
          <w:color w:val="auto"/>
          <w:sz w:val="24"/>
          <w:szCs w:val="24"/>
        </w:rPr>
        <w:t xml:space="preserve">Figure 10.19: </w:t>
      </w:r>
      <w:r w:rsidRPr="00793FC8">
        <w:rPr>
          <w:rFonts w:ascii="Times New Roman" w:hAnsi="Times New Roman" w:cs="Times New Roman"/>
          <w:color w:val="auto"/>
          <w:sz w:val="24"/>
          <w:szCs w:val="24"/>
        </w:rPr>
        <w:t>Event Timeline Response of CPQI (-120 to +120 Minutes)</w:t>
      </w:r>
    </w:p>
    <w:p w14:paraId="5321F9EA" w14:textId="77777777" w:rsidR="00017B4A" w:rsidRPr="00793FC8" w:rsidRDefault="00000000">
      <w:pPr>
        <w:spacing w:before="120" w:after="60"/>
        <w:jc w:val="center"/>
        <w:rPr>
          <w:rFonts w:ascii="Times New Roman" w:hAnsi="Times New Roman" w:cs="Times New Roman"/>
          <w:color w:val="auto"/>
          <w:sz w:val="24"/>
          <w:szCs w:val="24"/>
        </w:rPr>
      </w:pPr>
      <w:r w:rsidRPr="00793FC8">
        <w:rPr>
          <w:rFonts w:ascii="Times New Roman" w:hAnsi="Times New Roman" w:cs="Times New Roman"/>
          <w:noProof/>
          <w:color w:val="auto"/>
          <w:sz w:val="24"/>
          <w:szCs w:val="24"/>
        </w:rPr>
        <w:drawing>
          <wp:inline distT="0" distB="0" distL="0" distR="0" wp14:anchorId="00D0D6B9" wp14:editId="66CA3911">
            <wp:extent cx="5391150" cy="4095750"/>
            <wp:effectExtent l="0" t="0" r="0" b="0"/>
            <wp:docPr id="1935669901" name="Fig_10_20" descr="Event Duration vs CPQI Reduction" title="Fig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91150" cy="4095750"/>
                    </a:xfrm>
                    <a:prstGeom prst="rect">
                      <a:avLst/>
                    </a:prstGeom>
                  </pic:spPr>
                </pic:pic>
              </a:graphicData>
            </a:graphic>
          </wp:inline>
        </w:drawing>
      </w:r>
    </w:p>
    <w:p w14:paraId="597D5F79" w14:textId="77777777" w:rsidR="00017B4A" w:rsidRPr="00793FC8" w:rsidRDefault="00000000">
      <w:pPr>
        <w:spacing w:after="200"/>
        <w:jc w:val="center"/>
        <w:rPr>
          <w:rFonts w:ascii="Times New Roman" w:hAnsi="Times New Roman" w:cs="Times New Roman"/>
          <w:color w:val="auto"/>
          <w:sz w:val="24"/>
          <w:szCs w:val="24"/>
        </w:rPr>
      </w:pPr>
      <w:r w:rsidRPr="00793FC8">
        <w:rPr>
          <w:rFonts w:ascii="Times New Roman" w:hAnsi="Times New Roman" w:cs="Times New Roman"/>
          <w:b/>
          <w:bCs/>
          <w:color w:val="auto"/>
          <w:sz w:val="24"/>
          <w:szCs w:val="24"/>
        </w:rPr>
        <w:t xml:space="preserve">Figure 10.20: </w:t>
      </w:r>
      <w:r w:rsidRPr="00793FC8">
        <w:rPr>
          <w:rFonts w:ascii="Times New Roman" w:hAnsi="Times New Roman" w:cs="Times New Roman"/>
          <w:color w:val="auto"/>
          <w:sz w:val="24"/>
          <w:szCs w:val="24"/>
        </w:rPr>
        <w:t>Event Duration vs CPQI Reduction</w:t>
      </w:r>
    </w:p>
    <w:p w14:paraId="39C47A27"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color w:val="auto"/>
          <w:sz w:val="24"/>
          <w:szCs w:val="24"/>
        </w:rPr>
        <w:t xml:space="preserve">Tables 10.11 and 10.12 quantify these observations. Table 10.11 summarizes, for each event class, the number of detected occurrences, the average duration, and the average CPQI reduction. Table 10.12 reports the before-versus-during comparison together with the associated p-values; all </w:t>
      </w:r>
      <w:r w:rsidRPr="00793FC8">
        <w:rPr>
          <w:rFonts w:ascii="Times New Roman" w:hAnsi="Times New Roman" w:cs="Times New Roman"/>
          <w:color w:val="auto"/>
          <w:sz w:val="24"/>
          <w:szCs w:val="24"/>
        </w:rPr>
        <w:lastRenderedPageBreak/>
        <w:t xml:space="preserve">differences are statistically significant, with sustained outages producing the largest reduction and the smallest p-value. These results </w:t>
      </w:r>
      <w:r w:rsidRPr="00793FC8">
        <w:rPr>
          <w:rFonts w:ascii="Times New Roman" w:hAnsi="Times New Roman" w:cs="Times New Roman"/>
          <w:sz w:val="24"/>
          <w:szCs w:val="24"/>
        </w:rPr>
        <w:t>provide direct, quantitative confirmation that the indicator responds to real operational events.</w:t>
      </w:r>
    </w:p>
    <w:p w14:paraId="418EF1CD" w14:textId="77777777" w:rsidR="00017B4A" w:rsidRPr="00793FC8" w:rsidRDefault="00000000">
      <w:pPr>
        <w:spacing w:before="160" w:after="60"/>
        <w:rPr>
          <w:rFonts w:ascii="Times New Roman" w:hAnsi="Times New Roman" w:cs="Times New Roman"/>
          <w:sz w:val="24"/>
          <w:szCs w:val="24"/>
        </w:rPr>
      </w:pPr>
      <w:r w:rsidRPr="00793FC8">
        <w:rPr>
          <w:rFonts w:ascii="Times New Roman" w:hAnsi="Times New Roman" w:cs="Times New Roman"/>
          <w:b/>
          <w:bCs/>
          <w:sz w:val="24"/>
          <w:szCs w:val="24"/>
        </w:rPr>
        <w:t>Table 10.11: Event Detection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17B4A" w:rsidRPr="00793FC8" w14:paraId="17FEA098" w14:textId="77777777">
        <w:trPr>
          <w:tblHeader/>
        </w:trPr>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23DF11D4"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Event</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3FBBA903"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Count</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1D4FBE5F"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Avg Duration (Minutes)</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1746F3AB"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Avg CPQI Reduction (%)</w:t>
            </w:r>
          </w:p>
        </w:tc>
      </w:tr>
      <w:tr w:rsidR="00017B4A" w:rsidRPr="00793FC8" w14:paraId="1A8C592B"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E63A6E9"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Sustained Outage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006FB41"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6E1D8CF"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112.5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1476221"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79.1</w:t>
            </w:r>
          </w:p>
        </w:tc>
      </w:tr>
      <w:tr w:rsidR="00017B4A" w:rsidRPr="00793FC8" w14:paraId="4AB3BF15"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5457D8C"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Transient Voltage Sag</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5EE1CCF"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42</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AD3E679"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4.2</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E3D8F6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38.5</w:t>
            </w:r>
          </w:p>
        </w:tc>
      </w:tr>
      <w:tr w:rsidR="00017B4A" w:rsidRPr="00793FC8" w14:paraId="2C7C6020"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CB65FEB"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Voltage Swell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B8AABA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1E864D0"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B70410D"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22.4</w:t>
            </w:r>
          </w:p>
        </w:tc>
      </w:tr>
      <w:tr w:rsidR="00017B4A" w:rsidRPr="00793FC8" w14:paraId="0A7FA743"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A807248"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Low Power Factor</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CAD1902"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68</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7A54E4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145</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BB99B18"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18.2</w:t>
            </w:r>
          </w:p>
        </w:tc>
      </w:tr>
      <w:tr w:rsidR="00017B4A" w:rsidRPr="00793FC8" w14:paraId="01C36E3C"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E406A03"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High Loading Stress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82FE987"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35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11EC43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78.2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45A92ED"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14.5</w:t>
            </w:r>
          </w:p>
        </w:tc>
      </w:tr>
    </w:tbl>
    <w:p w14:paraId="4168A8FF" w14:textId="77777777" w:rsidR="00017B4A" w:rsidRPr="00793FC8" w:rsidRDefault="00017B4A">
      <w:pPr>
        <w:spacing w:after="200"/>
        <w:rPr>
          <w:rFonts w:ascii="Times New Roman" w:hAnsi="Times New Roman" w:cs="Times New Roman"/>
        </w:rPr>
      </w:pPr>
    </w:p>
    <w:p w14:paraId="67281721" w14:textId="77777777" w:rsidR="00017B4A" w:rsidRPr="00793FC8" w:rsidRDefault="00000000">
      <w:pPr>
        <w:spacing w:before="160" w:after="60"/>
        <w:rPr>
          <w:rFonts w:ascii="Times New Roman" w:hAnsi="Times New Roman" w:cs="Times New Roman"/>
          <w:sz w:val="24"/>
          <w:szCs w:val="24"/>
        </w:rPr>
      </w:pPr>
      <w:r w:rsidRPr="00793FC8">
        <w:rPr>
          <w:rFonts w:ascii="Times New Roman" w:hAnsi="Times New Roman" w:cs="Times New Roman"/>
          <w:b/>
          <w:bCs/>
          <w:sz w:val="24"/>
          <w:szCs w:val="24"/>
        </w:rPr>
        <w:t>Table 10.12: CPQI Before vs During Events (with Statistical Significance)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17B4A" w:rsidRPr="00793FC8" w14:paraId="6D2F45A7" w14:textId="77777777">
        <w:trPr>
          <w:tblHeader/>
        </w:trPr>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080C2B54"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Event</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55E6DCED"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Before (%)</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14B65EC5"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During (%)</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335E69E8"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Difference (%)</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4811C7EA"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p-value</w:t>
            </w:r>
          </w:p>
        </w:tc>
      </w:tr>
      <w:tr w:rsidR="00017B4A" w:rsidRPr="00793FC8" w14:paraId="0FA7D266" w14:textId="77777777">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9901C37"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Sustained Outage</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8975042"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85.5</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FEECB7F"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4.2</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701809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-81.3</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FAFA05B"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1.1e-09</w:t>
            </w:r>
          </w:p>
        </w:tc>
      </w:tr>
      <w:tr w:rsidR="00017B4A" w:rsidRPr="00793FC8" w14:paraId="2CB6D5F0" w14:textId="77777777">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43F58F7"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Voltage Sag</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D44C143"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86.2</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1B716C2"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44.5</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7F0EE3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-41.7</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0EF705F"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4.2e-07</w:t>
            </w:r>
          </w:p>
        </w:tc>
      </w:tr>
      <w:tr w:rsidR="00017B4A" w:rsidRPr="00793FC8" w14:paraId="1F728A8D" w14:textId="77777777">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D3A218A"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Voltage Swell</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A25A4AB"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84.8</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12AFF93"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61.2</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99B80DE"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-23.6</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DABB603"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0.00018</w:t>
            </w:r>
          </w:p>
        </w:tc>
      </w:tr>
      <w:tr w:rsidR="00017B4A" w:rsidRPr="00793FC8" w14:paraId="4EBB9AAB" w14:textId="77777777">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83A0790"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Low Power Factor</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540C59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88.1</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0E977D2"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68.5</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7A662B7"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-19.6</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52605DB"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2.1e-05</w:t>
            </w:r>
          </w:p>
        </w:tc>
      </w:tr>
      <w:tr w:rsidR="00017B4A" w:rsidRPr="00793FC8" w14:paraId="1F588F84" w14:textId="77777777">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E29728F"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High Loading</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71C82A8"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85.2</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BCD5566"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70.4</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F521940"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-14.8</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B9F7502"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0.00035</w:t>
            </w:r>
          </w:p>
        </w:tc>
      </w:tr>
    </w:tbl>
    <w:p w14:paraId="238680DD" w14:textId="77777777" w:rsidR="00017B4A" w:rsidRPr="00793FC8" w:rsidRDefault="00017B4A">
      <w:pPr>
        <w:spacing w:after="200"/>
        <w:rPr>
          <w:rFonts w:ascii="Times New Roman" w:hAnsi="Times New Roman" w:cs="Times New Roman"/>
        </w:rPr>
      </w:pPr>
    </w:p>
    <w:p w14:paraId="7A0A63D1" w14:textId="77777777" w:rsidR="00017B4A" w:rsidRPr="00793FC8" w:rsidRDefault="00000000">
      <w:pPr>
        <w:pStyle w:val="Heading2"/>
        <w:rPr>
          <w:rFonts w:ascii="Times New Roman" w:hAnsi="Times New Roman" w:cs="Times New Roman"/>
          <w:color w:val="auto"/>
        </w:rPr>
      </w:pPr>
      <w:bookmarkStart w:id="6" w:name="_Toc233458800"/>
      <w:proofErr w:type="gramStart"/>
      <w:r w:rsidRPr="00793FC8">
        <w:rPr>
          <w:rFonts w:ascii="Times New Roman" w:hAnsi="Times New Roman" w:cs="Times New Roman"/>
          <w:color w:val="auto"/>
        </w:rPr>
        <w:t>10.5  Voltage</w:t>
      </w:r>
      <w:proofErr w:type="gramEnd"/>
      <w:r w:rsidRPr="00793FC8">
        <w:rPr>
          <w:rFonts w:ascii="Times New Roman" w:hAnsi="Times New Roman" w:cs="Times New Roman"/>
          <w:color w:val="auto"/>
        </w:rPr>
        <w:t xml:space="preserve"> </w:t>
      </w:r>
      <w:proofErr w:type="spellStart"/>
      <w:r w:rsidRPr="00793FC8">
        <w:rPr>
          <w:rFonts w:ascii="Times New Roman" w:hAnsi="Times New Roman" w:cs="Times New Roman"/>
          <w:color w:val="auto"/>
        </w:rPr>
        <w:t>Behaviour</w:t>
      </w:r>
      <w:bookmarkEnd w:id="6"/>
      <w:proofErr w:type="spellEnd"/>
    </w:p>
    <w:p w14:paraId="7BA43857"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t xml:space="preserve">Voltage is the dominant determinant of service quality and carries the largest weight in the CPQI. This section examines the temporal </w:t>
      </w:r>
      <w:proofErr w:type="spellStart"/>
      <w:r w:rsidRPr="00793FC8">
        <w:rPr>
          <w:rFonts w:ascii="Times New Roman" w:hAnsi="Times New Roman" w:cs="Times New Roman"/>
          <w:sz w:val="24"/>
          <w:szCs w:val="24"/>
        </w:rPr>
        <w:t>behaviour</w:t>
      </w:r>
      <w:proofErr w:type="spellEnd"/>
      <w:r w:rsidRPr="00793FC8">
        <w:rPr>
          <w:rFonts w:ascii="Times New Roman" w:hAnsi="Times New Roman" w:cs="Times New Roman"/>
          <w:sz w:val="24"/>
          <w:szCs w:val="24"/>
        </w:rPr>
        <w:t xml:space="preserve"> of feeder voltage across multiple scales. The daily mean voltage trend (Figure 10.21) and the diurnal hourly profile (Figure 10.22) reveal that voltage depresses during peak-demand periods, when increased current flow elevates feeder voltage drops. The monthly and yearly evolutions (Figures 10.23 and 10.24) place these short-term variations within a longer trajectory of gradual regulation improvement.</w:t>
      </w:r>
    </w:p>
    <w:p w14:paraId="661265B4"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76FC346A" wp14:editId="4473B9BF">
            <wp:extent cx="5715000" cy="2114550"/>
            <wp:effectExtent l="0" t="0" r="0" b="0"/>
            <wp:docPr id="2012493098" name="Fig_10_21" descr="Daily Mean Voltage Long-Term Trend" title="Fig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2114550"/>
                    </a:xfrm>
                    <a:prstGeom prst="rect">
                      <a:avLst/>
                    </a:prstGeom>
                  </pic:spPr>
                </pic:pic>
              </a:graphicData>
            </a:graphic>
          </wp:inline>
        </w:drawing>
      </w:r>
    </w:p>
    <w:p w14:paraId="6AD48D38"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10.21: </w:t>
      </w:r>
      <w:r w:rsidRPr="00793FC8">
        <w:rPr>
          <w:rFonts w:ascii="Times New Roman" w:hAnsi="Times New Roman" w:cs="Times New Roman"/>
          <w:sz w:val="24"/>
          <w:szCs w:val="24"/>
        </w:rPr>
        <w:t>Daily Mean Voltage Long-Term Trend</w:t>
      </w:r>
    </w:p>
    <w:p w14:paraId="773A8D95"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lastRenderedPageBreak/>
        <w:drawing>
          <wp:inline distT="0" distB="0" distL="0" distR="0" wp14:anchorId="26A9BC50" wp14:editId="58AA206D">
            <wp:extent cx="5715000" cy="3400425"/>
            <wp:effectExtent l="0" t="0" r="0" b="0"/>
            <wp:docPr id="48039792" name="Fig_10_22" descr="Diurnal Hourly Voltage Profile" title="Fig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400425"/>
                    </a:xfrm>
                    <a:prstGeom prst="rect">
                      <a:avLst/>
                    </a:prstGeom>
                  </pic:spPr>
                </pic:pic>
              </a:graphicData>
            </a:graphic>
          </wp:inline>
        </w:drawing>
      </w:r>
    </w:p>
    <w:p w14:paraId="1C56913B"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10.22: </w:t>
      </w:r>
      <w:r w:rsidRPr="00793FC8">
        <w:rPr>
          <w:rFonts w:ascii="Times New Roman" w:hAnsi="Times New Roman" w:cs="Times New Roman"/>
          <w:sz w:val="24"/>
          <w:szCs w:val="24"/>
        </w:rPr>
        <w:t>Diurnal Hourly Voltage Profile</w:t>
      </w:r>
    </w:p>
    <w:p w14:paraId="400E40E7"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11AAEDDC" wp14:editId="6573D8DA">
            <wp:extent cx="5715000" cy="2305050"/>
            <wp:effectExtent l="0" t="0" r="0" b="0"/>
            <wp:docPr id="1243570354" name="Fig_10_23" descr="Monthly Voltage Evolution Dynamics" title="Figure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2305050"/>
                    </a:xfrm>
                    <a:prstGeom prst="rect">
                      <a:avLst/>
                    </a:prstGeom>
                  </pic:spPr>
                </pic:pic>
              </a:graphicData>
            </a:graphic>
          </wp:inline>
        </w:drawing>
      </w:r>
    </w:p>
    <w:p w14:paraId="7DDCA7CB"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10.23: </w:t>
      </w:r>
      <w:r w:rsidRPr="00793FC8">
        <w:rPr>
          <w:rFonts w:ascii="Times New Roman" w:hAnsi="Times New Roman" w:cs="Times New Roman"/>
          <w:sz w:val="24"/>
          <w:szCs w:val="24"/>
        </w:rPr>
        <w:t>Monthly Voltage Evolution Dynamics</w:t>
      </w:r>
    </w:p>
    <w:p w14:paraId="151E1AB3"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lastRenderedPageBreak/>
        <w:drawing>
          <wp:inline distT="0" distB="0" distL="0" distR="0" wp14:anchorId="28530B6C" wp14:editId="14E9FB1D">
            <wp:extent cx="5495925" cy="4095750"/>
            <wp:effectExtent l="0" t="0" r="0" b="0"/>
            <wp:docPr id="1310706313" name="Fig_10_24" descr="Long-Term Yearly Voltage Evolution" title="Fig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95925" cy="4095750"/>
                    </a:xfrm>
                    <a:prstGeom prst="rect">
                      <a:avLst/>
                    </a:prstGeom>
                  </pic:spPr>
                </pic:pic>
              </a:graphicData>
            </a:graphic>
          </wp:inline>
        </w:drawing>
      </w:r>
    </w:p>
    <w:p w14:paraId="3EF2F38F"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10.24: </w:t>
      </w:r>
      <w:r w:rsidRPr="00793FC8">
        <w:rPr>
          <w:rFonts w:ascii="Times New Roman" w:hAnsi="Times New Roman" w:cs="Times New Roman"/>
          <w:sz w:val="24"/>
          <w:szCs w:val="24"/>
        </w:rPr>
        <w:t>Long-Term Yearly Voltage Evolution</w:t>
      </w:r>
    </w:p>
    <w:p w14:paraId="09768713"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t xml:space="preserve">Seasonal structure is examined through the voltage distribution boxplot (Figure 10.25) and the hour-by-month heatmap (Figure 10.26), which jointly localize the periods of greatest voltage stress to summer afternoons and monsoon evenings. Compliance </w:t>
      </w:r>
      <w:proofErr w:type="spellStart"/>
      <w:r w:rsidRPr="00793FC8">
        <w:rPr>
          <w:rFonts w:ascii="Times New Roman" w:hAnsi="Times New Roman" w:cs="Times New Roman"/>
          <w:sz w:val="24"/>
          <w:szCs w:val="24"/>
        </w:rPr>
        <w:t>behaviour</w:t>
      </w:r>
      <w:proofErr w:type="spellEnd"/>
      <w:r w:rsidRPr="00793FC8">
        <w:rPr>
          <w:rFonts w:ascii="Times New Roman" w:hAnsi="Times New Roman" w:cs="Times New Roman"/>
          <w:sz w:val="24"/>
          <w:szCs w:val="24"/>
        </w:rPr>
        <w:t xml:space="preserve"> is then quantified: Figure 10.27 tracks the operational voltage compliance rate over time, while Figure 10.28 presents the cumulative distribution of voltage-violation durations, distinguishing brief transient excursions from prolonged degradation.</w:t>
      </w:r>
    </w:p>
    <w:p w14:paraId="23289A61"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lastRenderedPageBreak/>
        <w:drawing>
          <wp:inline distT="0" distB="0" distL="0" distR="0" wp14:anchorId="6F5348F2" wp14:editId="69225BB4">
            <wp:extent cx="5715000" cy="3781425"/>
            <wp:effectExtent l="0" t="0" r="0" b="0"/>
            <wp:docPr id="1707283336" name="Fig_10_25" descr="Seasonal Voltage Distribution Boxplot" title="Fig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781425"/>
                    </a:xfrm>
                    <a:prstGeom prst="rect">
                      <a:avLst/>
                    </a:prstGeom>
                  </pic:spPr>
                </pic:pic>
              </a:graphicData>
            </a:graphic>
          </wp:inline>
        </w:drawing>
      </w:r>
    </w:p>
    <w:p w14:paraId="67B730BC"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10.25: </w:t>
      </w:r>
      <w:r w:rsidRPr="00793FC8">
        <w:rPr>
          <w:rFonts w:ascii="Times New Roman" w:hAnsi="Times New Roman" w:cs="Times New Roman"/>
          <w:sz w:val="24"/>
          <w:szCs w:val="24"/>
        </w:rPr>
        <w:t>Seasonal Voltage Distribution Boxplot</w:t>
      </w:r>
    </w:p>
    <w:p w14:paraId="79D590A8"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662508E4" wp14:editId="35D30060">
            <wp:extent cx="5715000" cy="3905250"/>
            <wp:effectExtent l="0" t="0" r="0" b="0"/>
            <wp:docPr id="1620986799" name="Fig_10_26" descr="Diurnal Temporal Voltage Heatmap (Hour × Month)" title="Fig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905250"/>
                    </a:xfrm>
                    <a:prstGeom prst="rect">
                      <a:avLst/>
                    </a:prstGeom>
                  </pic:spPr>
                </pic:pic>
              </a:graphicData>
            </a:graphic>
          </wp:inline>
        </w:drawing>
      </w:r>
    </w:p>
    <w:p w14:paraId="111B809C"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lastRenderedPageBreak/>
        <w:t xml:space="preserve">Figure 10.26: </w:t>
      </w:r>
      <w:r w:rsidRPr="00793FC8">
        <w:rPr>
          <w:rFonts w:ascii="Times New Roman" w:hAnsi="Times New Roman" w:cs="Times New Roman"/>
          <w:sz w:val="24"/>
          <w:szCs w:val="24"/>
        </w:rPr>
        <w:t>Diurnal Temporal Voltage Heatmap (Hour × Month)</w:t>
      </w:r>
    </w:p>
    <w:p w14:paraId="672192A6"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7AC22BC7" wp14:editId="06166762">
            <wp:extent cx="5715000" cy="2305050"/>
            <wp:effectExtent l="0" t="0" r="0" b="0"/>
            <wp:docPr id="1070656026" name="Fig_10_27" descr="Operational Voltage Compliance Rate Profile" title="Fig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305050"/>
                    </a:xfrm>
                    <a:prstGeom prst="rect">
                      <a:avLst/>
                    </a:prstGeom>
                  </pic:spPr>
                </pic:pic>
              </a:graphicData>
            </a:graphic>
          </wp:inline>
        </w:drawing>
      </w:r>
    </w:p>
    <w:p w14:paraId="0E03CA11"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10.27: </w:t>
      </w:r>
      <w:r w:rsidRPr="00793FC8">
        <w:rPr>
          <w:rFonts w:ascii="Times New Roman" w:hAnsi="Times New Roman" w:cs="Times New Roman"/>
          <w:sz w:val="24"/>
          <w:szCs w:val="24"/>
        </w:rPr>
        <w:t>Operational Voltage Compliance Rate Profile</w:t>
      </w:r>
    </w:p>
    <w:p w14:paraId="426BA6E6"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2488D845" wp14:editId="30DD955A">
            <wp:extent cx="5715000" cy="3629025"/>
            <wp:effectExtent l="0" t="0" r="0" b="0"/>
            <wp:docPr id="484730840" name="Fig_10_28" descr="Voltage Violation Duration Cumulative Distribution" title="Fig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3629025"/>
                    </a:xfrm>
                    <a:prstGeom prst="rect">
                      <a:avLst/>
                    </a:prstGeom>
                  </pic:spPr>
                </pic:pic>
              </a:graphicData>
            </a:graphic>
          </wp:inline>
        </w:drawing>
      </w:r>
    </w:p>
    <w:p w14:paraId="36EE8C4A"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10.28: </w:t>
      </w:r>
      <w:r w:rsidRPr="00793FC8">
        <w:rPr>
          <w:rFonts w:ascii="Times New Roman" w:hAnsi="Times New Roman" w:cs="Times New Roman"/>
          <w:sz w:val="24"/>
          <w:szCs w:val="24"/>
        </w:rPr>
        <w:t>Voltage Violation Duration Cumulative Distribution</w:t>
      </w:r>
    </w:p>
    <w:p w14:paraId="7888B857"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t xml:space="preserve">The overall voltage distribution with kernel density estimate (Figure 10.29) characterizes the central tendency and tail </w:t>
      </w:r>
      <w:proofErr w:type="spellStart"/>
      <w:r w:rsidRPr="00793FC8">
        <w:rPr>
          <w:rFonts w:ascii="Times New Roman" w:hAnsi="Times New Roman" w:cs="Times New Roman"/>
          <w:sz w:val="24"/>
          <w:szCs w:val="24"/>
        </w:rPr>
        <w:t>behaviour</w:t>
      </w:r>
      <w:proofErr w:type="spellEnd"/>
      <w:r w:rsidRPr="00793FC8">
        <w:rPr>
          <w:rFonts w:ascii="Times New Roman" w:hAnsi="Times New Roman" w:cs="Times New Roman"/>
          <w:sz w:val="24"/>
          <w:szCs w:val="24"/>
        </w:rPr>
        <w:t xml:space="preserve"> of the voltage population, and the voltage stability index trend (Figure 10.30) condenses this information into the sub-index that feeds the CPQI. Table 10.8 summarizes the voltage compliance outcomes per feeder, including compliance rate, sag and swell event counts, and mean voltage magnitude, confirming that the most stressed feeder exhibits both the lowest compliance and the highest disturbance count.</w:t>
      </w:r>
    </w:p>
    <w:p w14:paraId="3014CA0F"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lastRenderedPageBreak/>
        <w:drawing>
          <wp:inline distT="0" distB="0" distL="0" distR="0" wp14:anchorId="3FB75FB5" wp14:editId="78DF7D90">
            <wp:extent cx="5715000" cy="3543300"/>
            <wp:effectExtent l="0" t="0" r="0" b="0"/>
            <wp:docPr id="1981663366" name="Fig_10_29" descr="Overall Voltage Distribution Histogram with KDE" title="Fig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3543300"/>
                    </a:xfrm>
                    <a:prstGeom prst="rect">
                      <a:avLst/>
                    </a:prstGeom>
                  </pic:spPr>
                </pic:pic>
              </a:graphicData>
            </a:graphic>
          </wp:inline>
        </w:drawing>
      </w:r>
    </w:p>
    <w:p w14:paraId="28985D05"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10.29: </w:t>
      </w:r>
      <w:r w:rsidRPr="00793FC8">
        <w:rPr>
          <w:rFonts w:ascii="Times New Roman" w:hAnsi="Times New Roman" w:cs="Times New Roman"/>
          <w:sz w:val="24"/>
          <w:szCs w:val="24"/>
        </w:rPr>
        <w:t>Overall Voltage Distribution Histogram with KDE</w:t>
      </w:r>
    </w:p>
    <w:p w14:paraId="78354BCD"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30E10336" wp14:editId="4344F8DF">
            <wp:extent cx="5715000" cy="2114550"/>
            <wp:effectExtent l="0" t="0" r="0" b="0"/>
            <wp:docPr id="1809832539" name="Fig_10_30" descr="Voltage Stability Index Trend" title="Fig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2114550"/>
                    </a:xfrm>
                    <a:prstGeom prst="rect">
                      <a:avLst/>
                    </a:prstGeom>
                  </pic:spPr>
                </pic:pic>
              </a:graphicData>
            </a:graphic>
          </wp:inline>
        </w:drawing>
      </w:r>
    </w:p>
    <w:p w14:paraId="2FA9E026"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10.30: </w:t>
      </w:r>
      <w:r w:rsidRPr="00793FC8">
        <w:rPr>
          <w:rFonts w:ascii="Times New Roman" w:hAnsi="Times New Roman" w:cs="Times New Roman"/>
          <w:sz w:val="24"/>
          <w:szCs w:val="24"/>
        </w:rPr>
        <w:t>Voltage Stability Index Trend</w:t>
      </w:r>
    </w:p>
    <w:p w14:paraId="2308E234" w14:textId="77777777" w:rsidR="00017B4A" w:rsidRPr="00793FC8" w:rsidRDefault="00000000">
      <w:pPr>
        <w:spacing w:before="160" w:after="60"/>
        <w:rPr>
          <w:rFonts w:ascii="Times New Roman" w:hAnsi="Times New Roman" w:cs="Times New Roman"/>
          <w:sz w:val="24"/>
          <w:szCs w:val="24"/>
        </w:rPr>
      </w:pPr>
      <w:r w:rsidRPr="00793FC8">
        <w:rPr>
          <w:rFonts w:ascii="Times New Roman" w:hAnsi="Times New Roman" w:cs="Times New Roman"/>
          <w:b/>
          <w:bCs/>
          <w:sz w:val="24"/>
          <w:szCs w:val="24"/>
        </w:rPr>
        <w:t>Table 10.8: Voltage Compliance Summary by Feeder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17B4A" w:rsidRPr="00793FC8" w14:paraId="2BAA87E6" w14:textId="77777777">
        <w:trPr>
          <w:tblHeader/>
        </w:trPr>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26DABAE9"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Feeder Name</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30414434"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Voltage Compliance Rate (%)</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52E24446"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Total Sag Events Count</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4D6212E9"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Total Swell Events Count</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467C5A8C"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Mean Voltage Magnitude (V)</w:t>
            </w:r>
          </w:p>
        </w:tc>
      </w:tr>
      <w:tr w:rsidR="00017B4A" w:rsidRPr="00793FC8" w14:paraId="4D36A232" w14:textId="77777777">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82C50A1"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GACHA 1 F3</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71E14A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94.12</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80BB858"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12</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4ABC1BD"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2</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C344B3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63.2</w:t>
            </w:r>
          </w:p>
        </w:tc>
      </w:tr>
      <w:tr w:rsidR="00017B4A" w:rsidRPr="00793FC8" w14:paraId="7B513E22" w14:textId="77777777">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3F945DC"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GACHA 1 F4</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CF9DFC3"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63.45</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90A29B0"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54</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5EE035B"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703794D"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60.8</w:t>
            </w:r>
          </w:p>
        </w:tc>
      </w:tr>
      <w:tr w:rsidR="00017B4A" w:rsidRPr="00793FC8" w14:paraId="1AB07C84" w14:textId="77777777">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6C9A345"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1 F5</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0899743"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96.84</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97CAF4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F5DB4CD"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8EDED2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63.4</w:t>
            </w:r>
          </w:p>
        </w:tc>
      </w:tr>
      <w:tr w:rsidR="00017B4A" w:rsidRPr="00793FC8" w14:paraId="2D9849C2" w14:textId="77777777">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FA58B06"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JOYDEBPUR 7 F5</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CD3526E"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82.51</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20DF32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32</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C359A3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F6A56FE"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62.1</w:t>
            </w:r>
          </w:p>
        </w:tc>
      </w:tr>
      <w:tr w:rsidR="00017B4A" w:rsidRPr="00793FC8" w14:paraId="12BC8882" w14:textId="77777777">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6525824"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7 F1</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00C2D8D"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48.9</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E3C573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84</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BEA760D"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11</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CBFBCD7"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59.2</w:t>
            </w:r>
          </w:p>
        </w:tc>
      </w:tr>
      <w:tr w:rsidR="00017B4A" w:rsidRPr="00793FC8" w14:paraId="11B76F85" w14:textId="77777777">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5CD9534"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8 F2</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AE1CBA7"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92.05</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34E7E63"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15</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553890F"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3</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0BDF046"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62.9</w:t>
            </w:r>
          </w:p>
        </w:tc>
      </w:tr>
    </w:tbl>
    <w:p w14:paraId="453DFCBC" w14:textId="77777777" w:rsidR="00017B4A" w:rsidRPr="00793FC8" w:rsidRDefault="00017B4A">
      <w:pPr>
        <w:spacing w:after="200"/>
        <w:rPr>
          <w:rFonts w:ascii="Times New Roman" w:hAnsi="Times New Roman" w:cs="Times New Roman"/>
        </w:rPr>
      </w:pPr>
    </w:p>
    <w:p w14:paraId="76159F35" w14:textId="77777777" w:rsidR="00017B4A" w:rsidRPr="00793FC8" w:rsidRDefault="00000000">
      <w:pPr>
        <w:pStyle w:val="Heading2"/>
        <w:rPr>
          <w:rFonts w:ascii="Times New Roman" w:hAnsi="Times New Roman" w:cs="Times New Roman"/>
          <w:color w:val="auto"/>
        </w:rPr>
      </w:pPr>
      <w:bookmarkStart w:id="7" w:name="_Toc233458801"/>
      <w:proofErr w:type="gramStart"/>
      <w:r w:rsidRPr="00793FC8">
        <w:rPr>
          <w:rFonts w:ascii="Times New Roman" w:hAnsi="Times New Roman" w:cs="Times New Roman"/>
          <w:color w:val="auto"/>
        </w:rPr>
        <w:lastRenderedPageBreak/>
        <w:t>10.6  Frequency</w:t>
      </w:r>
      <w:proofErr w:type="gramEnd"/>
      <w:r w:rsidRPr="00793FC8">
        <w:rPr>
          <w:rFonts w:ascii="Times New Roman" w:hAnsi="Times New Roman" w:cs="Times New Roman"/>
          <w:color w:val="auto"/>
        </w:rPr>
        <w:t xml:space="preserve"> </w:t>
      </w:r>
      <w:proofErr w:type="spellStart"/>
      <w:r w:rsidRPr="00793FC8">
        <w:rPr>
          <w:rFonts w:ascii="Times New Roman" w:hAnsi="Times New Roman" w:cs="Times New Roman"/>
          <w:color w:val="auto"/>
        </w:rPr>
        <w:t>Behaviour</w:t>
      </w:r>
      <w:bookmarkEnd w:id="7"/>
      <w:proofErr w:type="spellEnd"/>
    </w:p>
    <w:p w14:paraId="3689B3C8"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t>Frequency reflects the balance between generation and demand and, because it is regulated at the national grid level, exhibits far less variability than voltage or current. Nevertheless, even small deviations carry significant operational meaning. The long-term frequency trend (Figure 10.31) and the monthly compliance rate (Figure 10.32) demonstrate that frequency remains tightly bounded around the nominal 50 Hz throughout the monitoring period.</w:t>
      </w:r>
    </w:p>
    <w:p w14:paraId="5BC2DF7D"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480C5D13" wp14:editId="1D5B887B">
            <wp:extent cx="5715000" cy="2114550"/>
            <wp:effectExtent l="0" t="0" r="0" b="0"/>
            <wp:docPr id="1691240872" name="Fig_10_31" descr="Long-Term Grid Frequency Trend Profile" title="Fig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2114550"/>
                    </a:xfrm>
                    <a:prstGeom prst="rect">
                      <a:avLst/>
                    </a:prstGeom>
                  </pic:spPr>
                </pic:pic>
              </a:graphicData>
            </a:graphic>
          </wp:inline>
        </w:drawing>
      </w:r>
    </w:p>
    <w:p w14:paraId="5E04A476"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10.31: </w:t>
      </w:r>
      <w:r w:rsidRPr="00793FC8">
        <w:rPr>
          <w:rFonts w:ascii="Times New Roman" w:hAnsi="Times New Roman" w:cs="Times New Roman"/>
          <w:sz w:val="24"/>
          <w:szCs w:val="24"/>
        </w:rPr>
        <w:t>Long-Term Grid Frequency Trend Profile</w:t>
      </w:r>
    </w:p>
    <w:p w14:paraId="73262BD7"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5B8FA3B5" wp14:editId="30884C78">
            <wp:extent cx="5715000" cy="2305050"/>
            <wp:effectExtent l="0" t="0" r="0" b="0"/>
            <wp:docPr id="746943361" name="Fig_10_32" descr="Monthly Grid Frequency Operational Compliance Rate" title="Fig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2305050"/>
                    </a:xfrm>
                    <a:prstGeom prst="rect">
                      <a:avLst/>
                    </a:prstGeom>
                  </pic:spPr>
                </pic:pic>
              </a:graphicData>
            </a:graphic>
          </wp:inline>
        </w:drawing>
      </w:r>
    </w:p>
    <w:p w14:paraId="1A6CC34E"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10.32: </w:t>
      </w:r>
      <w:r w:rsidRPr="00793FC8">
        <w:rPr>
          <w:rFonts w:ascii="Times New Roman" w:hAnsi="Times New Roman" w:cs="Times New Roman"/>
          <w:sz w:val="24"/>
          <w:szCs w:val="24"/>
        </w:rPr>
        <w:t>Monthly Grid Frequency Operational Compliance Rate</w:t>
      </w:r>
    </w:p>
    <w:p w14:paraId="598D45E6"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t>Departures from nominal conditions are quantified through the daily out-of-bounds excursion count (Figure 10.33) and the standard-deviation tracking series (Figure 10.34), which together identify the brief intervals of elevated frequency stress. The hourly diurnal profile (Figure 10.35) and the seasonal variation boxplot (Figure 10.36) reveal modest systematic structure associated with daily load cycling and seasonal demand.</w:t>
      </w:r>
    </w:p>
    <w:p w14:paraId="1BBF7C19"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lastRenderedPageBreak/>
        <w:drawing>
          <wp:inline distT="0" distB="0" distL="0" distR="0" wp14:anchorId="77EA58C7" wp14:editId="745CCB8B">
            <wp:extent cx="5715000" cy="2114550"/>
            <wp:effectExtent l="0" t="0" r="0" b="0"/>
            <wp:docPr id="268532375" name="Fig_10_33" descr="Daily Out-of-Bounds Frequency Excursion Incidents" title="Fig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2114550"/>
                    </a:xfrm>
                    <a:prstGeom prst="rect">
                      <a:avLst/>
                    </a:prstGeom>
                  </pic:spPr>
                </pic:pic>
              </a:graphicData>
            </a:graphic>
          </wp:inline>
        </w:drawing>
      </w:r>
    </w:p>
    <w:p w14:paraId="1C088202"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10.33: </w:t>
      </w:r>
      <w:r w:rsidRPr="00793FC8">
        <w:rPr>
          <w:rFonts w:ascii="Times New Roman" w:hAnsi="Times New Roman" w:cs="Times New Roman"/>
          <w:sz w:val="24"/>
          <w:szCs w:val="24"/>
        </w:rPr>
        <w:t>Daily Out-of-Bounds Frequency Excursion Incidents</w:t>
      </w:r>
    </w:p>
    <w:p w14:paraId="0D703FAD"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26F97A13" wp14:editId="4BCCF801">
            <wp:extent cx="5715000" cy="2114550"/>
            <wp:effectExtent l="0" t="0" r="0" b="0"/>
            <wp:docPr id="848957733" name="Fig_10_34" descr="Grid Frequency Variability / Standard Deviation Tracking" title="Fig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2114550"/>
                    </a:xfrm>
                    <a:prstGeom prst="rect">
                      <a:avLst/>
                    </a:prstGeom>
                  </pic:spPr>
                </pic:pic>
              </a:graphicData>
            </a:graphic>
          </wp:inline>
        </w:drawing>
      </w:r>
    </w:p>
    <w:p w14:paraId="26478520"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10.34: </w:t>
      </w:r>
      <w:r w:rsidRPr="00793FC8">
        <w:rPr>
          <w:rFonts w:ascii="Times New Roman" w:hAnsi="Times New Roman" w:cs="Times New Roman"/>
          <w:sz w:val="24"/>
          <w:szCs w:val="24"/>
        </w:rPr>
        <w:t>Grid Frequency Variability / Standard Deviation Tracking</w:t>
      </w:r>
    </w:p>
    <w:p w14:paraId="20CAD5B9"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lastRenderedPageBreak/>
        <w:drawing>
          <wp:inline distT="0" distB="0" distL="0" distR="0" wp14:anchorId="115314AF" wp14:editId="3B4D3AA4">
            <wp:extent cx="5715000" cy="3333750"/>
            <wp:effectExtent l="0" t="0" r="0" b="0"/>
            <wp:docPr id="1438837583" name="Fig_10_35" descr="Hourly Diurnal Frequency Profile" title="Fig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3333750"/>
                    </a:xfrm>
                    <a:prstGeom prst="rect">
                      <a:avLst/>
                    </a:prstGeom>
                  </pic:spPr>
                </pic:pic>
              </a:graphicData>
            </a:graphic>
          </wp:inline>
        </w:drawing>
      </w:r>
    </w:p>
    <w:p w14:paraId="2075DD6C"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10.35: </w:t>
      </w:r>
      <w:r w:rsidRPr="00793FC8">
        <w:rPr>
          <w:rFonts w:ascii="Times New Roman" w:hAnsi="Times New Roman" w:cs="Times New Roman"/>
          <w:sz w:val="24"/>
          <w:szCs w:val="24"/>
        </w:rPr>
        <w:t>Hourly Diurnal Frequency Profile</w:t>
      </w:r>
    </w:p>
    <w:p w14:paraId="64BC2916"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1CCF80D8" wp14:editId="5F8E9B16">
            <wp:extent cx="5715000" cy="3943350"/>
            <wp:effectExtent l="0" t="0" r="0" b="0"/>
            <wp:docPr id="1505032374" name="Fig_10_36" descr="Seasonal Frequency Variation Boxplot" title="Fig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3943350"/>
                    </a:xfrm>
                    <a:prstGeom prst="rect">
                      <a:avLst/>
                    </a:prstGeom>
                  </pic:spPr>
                </pic:pic>
              </a:graphicData>
            </a:graphic>
          </wp:inline>
        </w:drawing>
      </w:r>
    </w:p>
    <w:p w14:paraId="21811B51"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10.36: </w:t>
      </w:r>
      <w:r w:rsidRPr="00793FC8">
        <w:rPr>
          <w:rFonts w:ascii="Times New Roman" w:hAnsi="Times New Roman" w:cs="Times New Roman"/>
          <w:sz w:val="24"/>
          <w:szCs w:val="24"/>
        </w:rPr>
        <w:t>Seasonal Frequency Variation Boxplot</w:t>
      </w:r>
    </w:p>
    <w:p w14:paraId="7101C299"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lastRenderedPageBreak/>
        <w:t>The frequency distribution histogram with KDE (Figure 10.37) confirms a sharply concentrated, near-symmetric distribution, consistent with effective grid-level regulation, and the frequency stability index trend (Figure 10.38) summarizes the contribution of frequency to the composite indicator. Table 10.9 reports the frequency compliance summary, in which all feeders exceed 98.8% compliance, with the most stressed feeder nonetheless recording the highest count of under- and over-frequency events and the lowest stability index.</w:t>
      </w:r>
    </w:p>
    <w:p w14:paraId="6B934F0E"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7CE072CE" wp14:editId="49A1448B">
            <wp:extent cx="5715000" cy="3333750"/>
            <wp:effectExtent l="0" t="0" r="0" b="0"/>
            <wp:docPr id="925945787" name="Fig_10_37" descr="Grid Frequency Distribution Histogram with KDE" title="Fig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3333750"/>
                    </a:xfrm>
                    <a:prstGeom prst="rect">
                      <a:avLst/>
                    </a:prstGeom>
                  </pic:spPr>
                </pic:pic>
              </a:graphicData>
            </a:graphic>
          </wp:inline>
        </w:drawing>
      </w:r>
    </w:p>
    <w:p w14:paraId="0D4CC672"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10.37: </w:t>
      </w:r>
      <w:r w:rsidRPr="00793FC8">
        <w:rPr>
          <w:rFonts w:ascii="Times New Roman" w:hAnsi="Times New Roman" w:cs="Times New Roman"/>
          <w:sz w:val="24"/>
          <w:szCs w:val="24"/>
        </w:rPr>
        <w:t>Grid Frequency Distribution Histogram with KDE</w:t>
      </w:r>
    </w:p>
    <w:p w14:paraId="5565CEB7"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4ACF5E24" wp14:editId="105B5629">
            <wp:extent cx="5715000" cy="2114550"/>
            <wp:effectExtent l="0" t="0" r="0" b="0"/>
            <wp:docPr id="1556049053" name="Fig_10_38" descr="Grid Operational Frequency Stability Index Trend" title="Fig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2114550"/>
                    </a:xfrm>
                    <a:prstGeom prst="rect">
                      <a:avLst/>
                    </a:prstGeom>
                  </pic:spPr>
                </pic:pic>
              </a:graphicData>
            </a:graphic>
          </wp:inline>
        </w:drawing>
      </w:r>
    </w:p>
    <w:p w14:paraId="3DB83160"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10.38: </w:t>
      </w:r>
      <w:r w:rsidRPr="00793FC8">
        <w:rPr>
          <w:rFonts w:ascii="Times New Roman" w:hAnsi="Times New Roman" w:cs="Times New Roman"/>
          <w:sz w:val="24"/>
          <w:szCs w:val="24"/>
        </w:rPr>
        <w:t>Grid Operational Frequency Stability Index Trend</w:t>
      </w:r>
    </w:p>
    <w:p w14:paraId="5E4B031E" w14:textId="77777777" w:rsidR="00017B4A" w:rsidRPr="00793FC8" w:rsidRDefault="00000000">
      <w:pPr>
        <w:spacing w:before="160" w:after="60"/>
        <w:rPr>
          <w:rFonts w:ascii="Times New Roman" w:hAnsi="Times New Roman" w:cs="Times New Roman"/>
          <w:sz w:val="24"/>
          <w:szCs w:val="24"/>
        </w:rPr>
      </w:pPr>
      <w:r w:rsidRPr="00793FC8">
        <w:rPr>
          <w:rFonts w:ascii="Times New Roman" w:hAnsi="Times New Roman" w:cs="Times New Roman"/>
          <w:b/>
          <w:bCs/>
          <w:sz w:val="24"/>
          <w:szCs w:val="24"/>
        </w:rPr>
        <w:t>Table 10.9: Frequency Compliance Summary by Feeder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17B4A" w:rsidRPr="00793FC8" w14:paraId="6D48EDBA" w14:textId="77777777">
        <w:trPr>
          <w:tblHeader/>
        </w:trPr>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7EC38E88"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Feeder Name</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2F3FE22E"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Frequency Compliance (%)</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40D4D268"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Recorded Under-Freq Events</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3F98B580"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Recorded Over-Freq Events</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6077C18B"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Frequency Stability Index</w:t>
            </w:r>
          </w:p>
        </w:tc>
      </w:tr>
      <w:tr w:rsidR="00017B4A" w:rsidRPr="00793FC8" w14:paraId="5DA821E8" w14:textId="77777777">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1D4D88E"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GACHA 1 F3</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D848D48"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99.42</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12D1138"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8FA7A2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C2DA1E1"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0.94</w:t>
            </w:r>
          </w:p>
        </w:tc>
      </w:tr>
      <w:tr w:rsidR="00017B4A" w:rsidRPr="00793FC8" w14:paraId="6AE25C8C" w14:textId="77777777">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629B413"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lastRenderedPageBreak/>
              <w:t>GACHA 1 F4</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8EDFADE"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99.15</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CBDF8CE"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EFECEB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2</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04D91E1"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0.91</w:t>
            </w:r>
          </w:p>
        </w:tc>
      </w:tr>
      <w:tr w:rsidR="00017B4A" w:rsidRPr="00793FC8" w14:paraId="011ABCC3" w14:textId="77777777">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90551C9"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1 F5</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C1F474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99.64</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6FEAF5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2</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39A2F38"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D12462B"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0.96</w:t>
            </w:r>
          </w:p>
        </w:tc>
      </w:tr>
      <w:tr w:rsidR="00017B4A" w:rsidRPr="00793FC8" w14:paraId="07329AFF" w14:textId="77777777">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9C82FD8"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JOYDEBPUR 7 F5</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FE07BB7"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99.3</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1F6DF71"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6E6C239"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DB5EC2F"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0.93</w:t>
            </w:r>
          </w:p>
        </w:tc>
      </w:tr>
      <w:tr w:rsidR="00017B4A" w:rsidRPr="00793FC8" w14:paraId="06F3FCCA" w14:textId="77777777">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B70ECE6"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7 F1</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63CF93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98.85</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C327028"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12</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6055DA9"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3</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6E6FFE7"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0.88</w:t>
            </w:r>
          </w:p>
        </w:tc>
      </w:tr>
      <w:tr w:rsidR="00017B4A" w:rsidRPr="00793FC8" w14:paraId="5DC50768" w14:textId="77777777">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93589E1"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8 F2</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5F754ED"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99.5</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C820049"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3</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251B17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312A807"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0.95</w:t>
            </w:r>
          </w:p>
        </w:tc>
      </w:tr>
    </w:tbl>
    <w:p w14:paraId="6ABA0C14" w14:textId="77777777" w:rsidR="00017B4A" w:rsidRPr="00793FC8" w:rsidRDefault="00017B4A">
      <w:pPr>
        <w:spacing w:after="200"/>
        <w:rPr>
          <w:rFonts w:ascii="Times New Roman" w:hAnsi="Times New Roman" w:cs="Times New Roman"/>
        </w:rPr>
      </w:pPr>
    </w:p>
    <w:p w14:paraId="7E6E394C" w14:textId="77777777" w:rsidR="00017B4A" w:rsidRPr="00793FC8" w:rsidRDefault="00000000">
      <w:pPr>
        <w:pStyle w:val="Heading2"/>
        <w:rPr>
          <w:rFonts w:ascii="Times New Roman" w:hAnsi="Times New Roman" w:cs="Times New Roman"/>
          <w:color w:val="auto"/>
        </w:rPr>
      </w:pPr>
      <w:bookmarkStart w:id="8" w:name="_Toc233458802"/>
      <w:proofErr w:type="gramStart"/>
      <w:r w:rsidRPr="00793FC8">
        <w:rPr>
          <w:rFonts w:ascii="Times New Roman" w:hAnsi="Times New Roman" w:cs="Times New Roman"/>
          <w:color w:val="auto"/>
        </w:rPr>
        <w:t>10.7  Power</w:t>
      </w:r>
      <w:proofErr w:type="gramEnd"/>
      <w:r w:rsidRPr="00793FC8">
        <w:rPr>
          <w:rFonts w:ascii="Times New Roman" w:hAnsi="Times New Roman" w:cs="Times New Roman"/>
          <w:color w:val="auto"/>
        </w:rPr>
        <w:t xml:space="preserve"> Factor </w:t>
      </w:r>
      <w:proofErr w:type="spellStart"/>
      <w:r w:rsidRPr="00793FC8">
        <w:rPr>
          <w:rFonts w:ascii="Times New Roman" w:hAnsi="Times New Roman" w:cs="Times New Roman"/>
          <w:color w:val="auto"/>
        </w:rPr>
        <w:t>Behaviour</w:t>
      </w:r>
      <w:bookmarkEnd w:id="8"/>
      <w:proofErr w:type="spellEnd"/>
    </w:p>
    <w:p w14:paraId="6599173C"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t>Power factor expresses the efficiency of energy utilization and the burden of reactive power, both of which are acute concerns in Bangladesh given the prevalence of induction motors, irrigation pumps, and welding loads. The long-term monthly power factor trend (Figure 10.39) shows a gradual improvement over the study period, while the monthly penalty-threshold violation rate (Figure 10.40) quantifies how often feeders fell below the contractual power factor limit.</w:t>
      </w:r>
    </w:p>
    <w:p w14:paraId="3D1D581A"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1B051686" wp14:editId="2D3DCBED">
            <wp:extent cx="5715000" cy="2305050"/>
            <wp:effectExtent l="0" t="0" r="0" b="0"/>
            <wp:docPr id="459061439" name="Fig_10_39" descr="Long-Term Monthly Power Factor Trend" title="Fig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2305050"/>
                    </a:xfrm>
                    <a:prstGeom prst="rect">
                      <a:avLst/>
                    </a:prstGeom>
                  </pic:spPr>
                </pic:pic>
              </a:graphicData>
            </a:graphic>
          </wp:inline>
        </w:drawing>
      </w:r>
    </w:p>
    <w:p w14:paraId="29C9A83A"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10.39: </w:t>
      </w:r>
      <w:r w:rsidRPr="00793FC8">
        <w:rPr>
          <w:rFonts w:ascii="Times New Roman" w:hAnsi="Times New Roman" w:cs="Times New Roman"/>
          <w:sz w:val="24"/>
          <w:szCs w:val="24"/>
        </w:rPr>
        <w:t>Long-Term Monthly Power Factor Trend</w:t>
      </w:r>
    </w:p>
    <w:p w14:paraId="38477730"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36C5143F" wp14:editId="41A683DD">
            <wp:extent cx="5715000" cy="2305050"/>
            <wp:effectExtent l="0" t="0" r="0" b="0"/>
            <wp:docPr id="220983445" name="Fig_10_40" descr="Monthly Power Factor Penalty Threshold Violation Rate" title="Fig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2305050"/>
                    </a:xfrm>
                    <a:prstGeom prst="rect">
                      <a:avLst/>
                    </a:prstGeom>
                  </pic:spPr>
                </pic:pic>
              </a:graphicData>
            </a:graphic>
          </wp:inline>
        </w:drawing>
      </w:r>
    </w:p>
    <w:p w14:paraId="28B4362B"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10.40: </w:t>
      </w:r>
      <w:r w:rsidRPr="00793FC8">
        <w:rPr>
          <w:rFonts w:ascii="Times New Roman" w:hAnsi="Times New Roman" w:cs="Times New Roman"/>
          <w:sz w:val="24"/>
          <w:szCs w:val="24"/>
        </w:rPr>
        <w:t>Monthly Power Factor Penalty Threshold Violation Rate</w:t>
      </w:r>
    </w:p>
    <w:p w14:paraId="248EDF46"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lastRenderedPageBreak/>
        <w:t>The overall power factor distribution with KDE (Figure 10.41) reveals a left-skewed population for stressed feeders, indicative of persistent inductive loading, and the relationship between reactive load and power factor (Figure 10.42) makes the underlying physical mechanism explicit. The multi-year improvement mapping (Figure 10.43) and the power factor stability index trend (Figure 10.44) document the trajectory of corrective compensation and its contribution to the CPQI.</w:t>
      </w:r>
    </w:p>
    <w:p w14:paraId="18183721"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2C1D79FF" wp14:editId="01DDF4C5">
            <wp:extent cx="5715000" cy="3333750"/>
            <wp:effectExtent l="0" t="0" r="0" b="0"/>
            <wp:docPr id="546148871" name="Fig_10_41" descr="Overall Power Factor Distribution with KDE" title="Fig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3333750"/>
                    </a:xfrm>
                    <a:prstGeom prst="rect">
                      <a:avLst/>
                    </a:prstGeom>
                  </pic:spPr>
                </pic:pic>
              </a:graphicData>
            </a:graphic>
          </wp:inline>
        </w:drawing>
      </w:r>
    </w:p>
    <w:p w14:paraId="7407B764"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10.41: </w:t>
      </w:r>
      <w:proofErr w:type="gramStart"/>
      <w:r w:rsidRPr="00793FC8">
        <w:rPr>
          <w:rFonts w:ascii="Times New Roman" w:hAnsi="Times New Roman" w:cs="Times New Roman"/>
          <w:sz w:val="24"/>
          <w:szCs w:val="24"/>
        </w:rPr>
        <w:t>Overall</w:t>
      </w:r>
      <w:proofErr w:type="gramEnd"/>
      <w:r w:rsidRPr="00793FC8">
        <w:rPr>
          <w:rFonts w:ascii="Times New Roman" w:hAnsi="Times New Roman" w:cs="Times New Roman"/>
          <w:sz w:val="24"/>
          <w:szCs w:val="24"/>
        </w:rPr>
        <w:t xml:space="preserve"> Power Factor Distribution with KDE</w:t>
      </w:r>
    </w:p>
    <w:p w14:paraId="67135F54"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lastRenderedPageBreak/>
        <w:drawing>
          <wp:inline distT="0" distB="0" distL="0" distR="0" wp14:anchorId="3B03E7D5" wp14:editId="1FE1AE0D">
            <wp:extent cx="5715000" cy="4029075"/>
            <wp:effectExtent l="0" t="0" r="0" b="0"/>
            <wp:docPr id="1699938570" name="Fig_10_42" descr="Reactive Load vs Power Factor Impact" title="Fig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4029075"/>
                    </a:xfrm>
                    <a:prstGeom prst="rect">
                      <a:avLst/>
                    </a:prstGeom>
                  </pic:spPr>
                </pic:pic>
              </a:graphicData>
            </a:graphic>
          </wp:inline>
        </w:drawing>
      </w:r>
    </w:p>
    <w:p w14:paraId="6D3CF7D9"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10.42: </w:t>
      </w:r>
      <w:r w:rsidRPr="00793FC8">
        <w:rPr>
          <w:rFonts w:ascii="Times New Roman" w:hAnsi="Times New Roman" w:cs="Times New Roman"/>
          <w:sz w:val="24"/>
          <w:szCs w:val="24"/>
        </w:rPr>
        <w:t>Reactive Load vs Power Factor Impact</w:t>
      </w:r>
    </w:p>
    <w:p w14:paraId="56FD33F8"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lastRenderedPageBreak/>
        <w:drawing>
          <wp:inline distT="0" distB="0" distL="0" distR="0" wp14:anchorId="2FDEE0C5" wp14:editId="1461BA50">
            <wp:extent cx="5581650" cy="4095750"/>
            <wp:effectExtent l="0" t="0" r="0" b="0"/>
            <wp:docPr id="298949693" name="Fig_10_43" descr="Multi-Year Power Factor Improvement Mapping" title="Fig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581650" cy="4095750"/>
                    </a:xfrm>
                    <a:prstGeom prst="rect">
                      <a:avLst/>
                    </a:prstGeom>
                  </pic:spPr>
                </pic:pic>
              </a:graphicData>
            </a:graphic>
          </wp:inline>
        </w:drawing>
      </w:r>
    </w:p>
    <w:p w14:paraId="4ABF9FEA"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10.43: </w:t>
      </w:r>
      <w:r w:rsidRPr="00793FC8">
        <w:rPr>
          <w:rFonts w:ascii="Times New Roman" w:hAnsi="Times New Roman" w:cs="Times New Roman"/>
          <w:sz w:val="24"/>
          <w:szCs w:val="24"/>
        </w:rPr>
        <w:t>Multi-Year Power Factor Improvement Mapping</w:t>
      </w:r>
    </w:p>
    <w:p w14:paraId="3466A049"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04355340" wp14:editId="0CC77CF8">
            <wp:extent cx="5715000" cy="2114550"/>
            <wp:effectExtent l="0" t="0" r="0" b="0"/>
            <wp:docPr id="465805233" name="Fig_10_44" descr="Power Factor Stability Index Trend" title="Fig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2114550"/>
                    </a:xfrm>
                    <a:prstGeom prst="rect">
                      <a:avLst/>
                    </a:prstGeom>
                  </pic:spPr>
                </pic:pic>
              </a:graphicData>
            </a:graphic>
          </wp:inline>
        </w:drawing>
      </w:r>
    </w:p>
    <w:p w14:paraId="601FE6E9"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10.44: </w:t>
      </w:r>
      <w:r w:rsidRPr="00793FC8">
        <w:rPr>
          <w:rFonts w:ascii="Times New Roman" w:hAnsi="Times New Roman" w:cs="Times New Roman"/>
          <w:sz w:val="24"/>
          <w:szCs w:val="24"/>
        </w:rPr>
        <w:t>Power Factor Stability Index Trend</w:t>
      </w:r>
    </w:p>
    <w:p w14:paraId="42EA630B"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t>Table 10.10 consolidates the power factor compliance outcomes per feeder. The disparity is substantial: the best feeder maintains a mean power factor above 0.91 with minimal penalty exposure, whereas the most stressed industrial feeder operates near 0.72 with the highest violation count and the largest estimated monthly penalty, directly linking power-factor degradation to financial consequence.</w:t>
      </w:r>
    </w:p>
    <w:p w14:paraId="34E67424" w14:textId="77777777" w:rsidR="00017B4A" w:rsidRPr="00793FC8" w:rsidRDefault="00000000">
      <w:pPr>
        <w:spacing w:before="160" w:after="60"/>
        <w:rPr>
          <w:rFonts w:ascii="Times New Roman" w:hAnsi="Times New Roman" w:cs="Times New Roman"/>
          <w:sz w:val="24"/>
          <w:szCs w:val="24"/>
        </w:rPr>
      </w:pPr>
      <w:r w:rsidRPr="00793FC8">
        <w:rPr>
          <w:rFonts w:ascii="Times New Roman" w:hAnsi="Times New Roman" w:cs="Times New Roman"/>
          <w:b/>
          <w:bCs/>
          <w:sz w:val="24"/>
          <w:szCs w:val="24"/>
        </w:rPr>
        <w:t>Table 10.10: Power Factor Compliance Summary by Feeder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17B4A" w:rsidRPr="00793FC8" w14:paraId="0D285D88" w14:textId="77777777">
        <w:trPr>
          <w:tblHeader/>
        </w:trPr>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08024613"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lastRenderedPageBreak/>
              <w:t>Feeder Name</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5A46F4D5"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Mean Power Factor (Lagging)</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6F2B767A"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Penalty Bound Violations Count</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716D241F"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Operational Compliance Rate (%)</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030FB892"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Estimated Monthly Penalty (BDT)</w:t>
            </w:r>
          </w:p>
        </w:tc>
      </w:tr>
      <w:tr w:rsidR="00017B4A" w:rsidRPr="00793FC8" w14:paraId="56204F87" w14:textId="77777777">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098EF7E"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GACHA 1 F3</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6289160"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0.89</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D5DEDE9"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22</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77CDBE9"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88.5</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C0D526F"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14500</w:t>
            </w:r>
          </w:p>
        </w:tc>
      </w:tr>
      <w:tr w:rsidR="00017B4A" w:rsidRPr="00793FC8" w14:paraId="52EFD5BA" w14:textId="77777777">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097DAC4"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GACHA 1 F4</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CB05A2F"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0.76</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48093C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142</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3B1A61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42.1</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13E6D32"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112000</w:t>
            </w:r>
          </w:p>
        </w:tc>
      </w:tr>
      <w:tr w:rsidR="00017B4A" w:rsidRPr="00793FC8" w14:paraId="2F36E094" w14:textId="77777777">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5E7341C"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1 F5</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1C6FEE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0.91</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A2E7B06"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11</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4328679"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93.4</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15D9C02"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4500</w:t>
            </w:r>
          </w:p>
        </w:tc>
      </w:tr>
      <w:tr w:rsidR="00017B4A" w:rsidRPr="00793FC8" w14:paraId="3D8D4B1A" w14:textId="77777777">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7525E50"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JOYDEBPUR 7 F5</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DF90704"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0.84</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58F0A22"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68</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B84807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71.2</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541EF7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48000</w:t>
            </w:r>
          </w:p>
        </w:tc>
      </w:tr>
      <w:tr w:rsidR="00017B4A" w:rsidRPr="00793FC8" w14:paraId="3613FA27" w14:textId="77777777">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087033A"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7 F1</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693BFA9"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0.72</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D2C65F9"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195</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B50E868"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31.5</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9F0CDC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165000</w:t>
            </w:r>
          </w:p>
        </w:tc>
      </w:tr>
      <w:tr w:rsidR="00017B4A" w:rsidRPr="00793FC8" w14:paraId="323FA9BB" w14:textId="77777777">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7708B5A"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8 F2</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39EC5B9"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0.88</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D1435BB"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28</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B5E139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86.4</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322345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18500</w:t>
            </w:r>
          </w:p>
        </w:tc>
      </w:tr>
    </w:tbl>
    <w:p w14:paraId="4F5F2B85" w14:textId="77777777" w:rsidR="00017B4A" w:rsidRPr="00793FC8" w:rsidRDefault="00017B4A">
      <w:pPr>
        <w:spacing w:after="200"/>
        <w:rPr>
          <w:rFonts w:ascii="Times New Roman" w:hAnsi="Times New Roman" w:cs="Times New Roman"/>
        </w:rPr>
      </w:pPr>
    </w:p>
    <w:p w14:paraId="11157D30" w14:textId="77777777" w:rsidR="00017B4A" w:rsidRPr="00793FC8" w:rsidRDefault="00000000">
      <w:pPr>
        <w:pStyle w:val="Heading2"/>
        <w:rPr>
          <w:rFonts w:ascii="Times New Roman" w:hAnsi="Times New Roman" w:cs="Times New Roman"/>
          <w:color w:val="auto"/>
        </w:rPr>
      </w:pPr>
      <w:bookmarkStart w:id="9" w:name="_Toc233458803"/>
      <w:proofErr w:type="gramStart"/>
      <w:r w:rsidRPr="00793FC8">
        <w:rPr>
          <w:rFonts w:ascii="Times New Roman" w:hAnsi="Times New Roman" w:cs="Times New Roman"/>
          <w:color w:val="auto"/>
        </w:rPr>
        <w:t>10.8  Loading</w:t>
      </w:r>
      <w:proofErr w:type="gramEnd"/>
      <w:r w:rsidRPr="00793FC8">
        <w:rPr>
          <w:rFonts w:ascii="Times New Roman" w:hAnsi="Times New Roman" w:cs="Times New Roman"/>
          <w:color w:val="auto"/>
        </w:rPr>
        <w:t xml:space="preserve"> </w:t>
      </w:r>
      <w:proofErr w:type="spellStart"/>
      <w:r w:rsidRPr="00793FC8">
        <w:rPr>
          <w:rFonts w:ascii="Times New Roman" w:hAnsi="Times New Roman" w:cs="Times New Roman"/>
          <w:color w:val="auto"/>
        </w:rPr>
        <w:t>Behaviour</w:t>
      </w:r>
      <w:bookmarkEnd w:id="9"/>
      <w:proofErr w:type="spellEnd"/>
    </w:p>
    <w:p w14:paraId="0070552F"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t xml:space="preserve">Loading </w:t>
      </w:r>
      <w:proofErr w:type="spellStart"/>
      <w:r w:rsidRPr="00793FC8">
        <w:rPr>
          <w:rFonts w:ascii="Times New Roman" w:hAnsi="Times New Roman" w:cs="Times New Roman"/>
          <w:sz w:val="24"/>
          <w:szCs w:val="24"/>
        </w:rPr>
        <w:t>behaviour</w:t>
      </w:r>
      <w:proofErr w:type="spellEnd"/>
      <w:r w:rsidRPr="00793FC8">
        <w:rPr>
          <w:rFonts w:ascii="Times New Roman" w:hAnsi="Times New Roman" w:cs="Times New Roman"/>
          <w:sz w:val="24"/>
          <w:szCs w:val="24"/>
        </w:rPr>
        <w:t xml:space="preserve"> characterizes the demand imposed on network assets and provides the link between consumer activity and power quality stress. The daily base load curve (Figure 10.45) captures the diurnal demand shape, while the monthly peak-demand progression (Figure 10.46) tracks the growth of peak loading over time, an important input to capacity planning.</w:t>
      </w:r>
    </w:p>
    <w:p w14:paraId="7080AF22"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5C11EAD8" wp14:editId="366B3583">
            <wp:extent cx="5715000" cy="3333750"/>
            <wp:effectExtent l="0" t="0" r="0" b="0"/>
            <wp:docPr id="263736442" name="Fig_10_45" descr="Diurnal Daily Base Load Curve" title="Fig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3333750"/>
                    </a:xfrm>
                    <a:prstGeom prst="rect">
                      <a:avLst/>
                    </a:prstGeom>
                  </pic:spPr>
                </pic:pic>
              </a:graphicData>
            </a:graphic>
          </wp:inline>
        </w:drawing>
      </w:r>
    </w:p>
    <w:p w14:paraId="13CB9B00"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10.45: </w:t>
      </w:r>
      <w:r w:rsidRPr="00793FC8">
        <w:rPr>
          <w:rFonts w:ascii="Times New Roman" w:hAnsi="Times New Roman" w:cs="Times New Roman"/>
          <w:sz w:val="24"/>
          <w:szCs w:val="24"/>
        </w:rPr>
        <w:t>Diurnal Daily Base Load Curve</w:t>
      </w:r>
    </w:p>
    <w:p w14:paraId="05060062"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lastRenderedPageBreak/>
        <w:drawing>
          <wp:inline distT="0" distB="0" distL="0" distR="0" wp14:anchorId="49F0C2A6" wp14:editId="34682EE6">
            <wp:extent cx="5715000" cy="2305050"/>
            <wp:effectExtent l="0" t="0" r="0" b="0"/>
            <wp:docPr id="586753285" name="Fig_10_46" descr="Longitudinal Monthly Peak Demand Progression" title="Fig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15000" cy="2305050"/>
                    </a:xfrm>
                    <a:prstGeom prst="rect">
                      <a:avLst/>
                    </a:prstGeom>
                  </pic:spPr>
                </pic:pic>
              </a:graphicData>
            </a:graphic>
          </wp:inline>
        </w:drawing>
      </w:r>
    </w:p>
    <w:p w14:paraId="5249579D"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10.46: </w:t>
      </w:r>
      <w:r w:rsidRPr="00793FC8">
        <w:rPr>
          <w:rFonts w:ascii="Times New Roman" w:hAnsi="Times New Roman" w:cs="Times New Roman"/>
          <w:sz w:val="24"/>
          <w:szCs w:val="24"/>
        </w:rPr>
        <w:t>Longitudinal Monthly Peak Demand Progression</w:t>
      </w:r>
    </w:p>
    <w:p w14:paraId="62B2FBB9"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t>The load duration curve (Figure 10.47) ranks loading levels by frequency of occurrence, distinguishing base load from infrequent peaks, and the seasonal demand variation (Figure 10.48) confirms the elevated demand of summer and monsoon. The relationships between loading and power quality are then made explicit: Figure 10.49 relates feeder load to line voltage drop, demonstrating the thermal and impedance mechanism by which heavy loading degrades voltage, and Figure 10.50 relates total load directly to the composite CPQI, confirming the expected inverse association.</w:t>
      </w:r>
    </w:p>
    <w:p w14:paraId="076FD24F"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1BDC0A2B" wp14:editId="637EDA94">
            <wp:extent cx="5715000" cy="3543300"/>
            <wp:effectExtent l="0" t="0" r="0" b="0"/>
            <wp:docPr id="703997872" name="Fig_10_47" descr="System Load Duration Curve (LDC)" title="Fig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3543300"/>
                    </a:xfrm>
                    <a:prstGeom prst="rect">
                      <a:avLst/>
                    </a:prstGeom>
                  </pic:spPr>
                </pic:pic>
              </a:graphicData>
            </a:graphic>
          </wp:inline>
        </w:drawing>
      </w:r>
    </w:p>
    <w:p w14:paraId="67E3DBF7"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10.47: </w:t>
      </w:r>
      <w:r w:rsidRPr="00793FC8">
        <w:rPr>
          <w:rFonts w:ascii="Times New Roman" w:hAnsi="Times New Roman" w:cs="Times New Roman"/>
          <w:sz w:val="24"/>
          <w:szCs w:val="24"/>
        </w:rPr>
        <w:t>System Load Duration Curve (LDC)</w:t>
      </w:r>
    </w:p>
    <w:p w14:paraId="2B7A8692"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lastRenderedPageBreak/>
        <w:drawing>
          <wp:inline distT="0" distB="0" distL="0" distR="0" wp14:anchorId="14943A22" wp14:editId="1586E014">
            <wp:extent cx="5715000" cy="3943350"/>
            <wp:effectExtent l="0" t="0" r="0" b="0"/>
            <wp:docPr id="1441367235" name="Fig_10_48" descr="Seasonal Demand Load Variation" title="Figur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3943350"/>
                    </a:xfrm>
                    <a:prstGeom prst="rect">
                      <a:avLst/>
                    </a:prstGeom>
                  </pic:spPr>
                </pic:pic>
              </a:graphicData>
            </a:graphic>
          </wp:inline>
        </w:drawing>
      </w:r>
    </w:p>
    <w:p w14:paraId="168961D6"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10.48: </w:t>
      </w:r>
      <w:r w:rsidRPr="00793FC8">
        <w:rPr>
          <w:rFonts w:ascii="Times New Roman" w:hAnsi="Times New Roman" w:cs="Times New Roman"/>
          <w:sz w:val="24"/>
          <w:szCs w:val="24"/>
        </w:rPr>
        <w:t>Seasonal Demand Load Variation</w:t>
      </w:r>
    </w:p>
    <w:p w14:paraId="2F7B1D91"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724F1BCE" wp14:editId="5FEAA50C">
            <wp:extent cx="5715000" cy="3905250"/>
            <wp:effectExtent l="0" t="0" r="0" b="0"/>
            <wp:docPr id="1768334625" name="Fig_10_49" descr="Feeder Load vs Line Voltage Drop" title="Fig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3905250"/>
                    </a:xfrm>
                    <a:prstGeom prst="rect">
                      <a:avLst/>
                    </a:prstGeom>
                  </pic:spPr>
                </pic:pic>
              </a:graphicData>
            </a:graphic>
          </wp:inline>
        </w:drawing>
      </w:r>
    </w:p>
    <w:p w14:paraId="212A20D0"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lastRenderedPageBreak/>
        <w:t xml:space="preserve">Figure 10.49: </w:t>
      </w:r>
      <w:r w:rsidRPr="00793FC8">
        <w:rPr>
          <w:rFonts w:ascii="Times New Roman" w:hAnsi="Times New Roman" w:cs="Times New Roman"/>
          <w:sz w:val="24"/>
          <w:szCs w:val="24"/>
        </w:rPr>
        <w:t>Feeder Load vs Line Voltage Drop</w:t>
      </w:r>
    </w:p>
    <w:p w14:paraId="68399CEF"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47CA96E6" wp14:editId="420BD1B7">
            <wp:extent cx="5715000" cy="3905250"/>
            <wp:effectExtent l="0" t="0" r="0" b="0"/>
            <wp:docPr id="35418494" name="Fig_10_50" descr="Total Load vs Composite CPQI" title="Figur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3905250"/>
                    </a:xfrm>
                    <a:prstGeom prst="rect">
                      <a:avLst/>
                    </a:prstGeom>
                  </pic:spPr>
                </pic:pic>
              </a:graphicData>
            </a:graphic>
          </wp:inline>
        </w:drawing>
      </w:r>
    </w:p>
    <w:p w14:paraId="054660B5"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10.50: </w:t>
      </w:r>
      <w:r w:rsidRPr="00793FC8">
        <w:rPr>
          <w:rFonts w:ascii="Times New Roman" w:hAnsi="Times New Roman" w:cs="Times New Roman"/>
          <w:sz w:val="24"/>
          <w:szCs w:val="24"/>
        </w:rPr>
        <w:t>Total Load vs Composite CPQI</w:t>
      </w:r>
    </w:p>
    <w:p w14:paraId="77F8B819" w14:textId="77777777" w:rsidR="00017B4A" w:rsidRPr="00793FC8" w:rsidRDefault="00000000">
      <w:pPr>
        <w:pStyle w:val="Heading2"/>
        <w:rPr>
          <w:rFonts w:ascii="Times New Roman" w:hAnsi="Times New Roman" w:cs="Times New Roman"/>
        </w:rPr>
      </w:pPr>
      <w:bookmarkStart w:id="10" w:name="_Toc233458804"/>
      <w:proofErr w:type="gramStart"/>
      <w:r w:rsidRPr="00793FC8">
        <w:rPr>
          <w:rFonts w:ascii="Times New Roman" w:hAnsi="Times New Roman" w:cs="Times New Roman"/>
          <w:color w:val="auto"/>
        </w:rPr>
        <w:t>10.9  Harmonic</w:t>
      </w:r>
      <w:proofErr w:type="gramEnd"/>
      <w:r w:rsidRPr="00793FC8">
        <w:rPr>
          <w:rFonts w:ascii="Times New Roman" w:hAnsi="Times New Roman" w:cs="Times New Roman"/>
          <w:color w:val="auto"/>
        </w:rPr>
        <w:t xml:space="preserve"> </w:t>
      </w:r>
      <w:proofErr w:type="spellStart"/>
      <w:r w:rsidRPr="00793FC8">
        <w:rPr>
          <w:rFonts w:ascii="Times New Roman" w:hAnsi="Times New Roman" w:cs="Times New Roman"/>
          <w:color w:val="auto"/>
        </w:rPr>
        <w:t>Behaviour</w:t>
      </w:r>
      <w:bookmarkEnd w:id="10"/>
      <w:proofErr w:type="spellEnd"/>
    </w:p>
    <w:p w14:paraId="1BBB87B4"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t>Harmonic distortion, generated by the proliferation of nonlinear and power-electronic loads, degrades waveform quality and accelerates equipment ageing. The long-term voltage THD trend (Figure 10.51) and current THD trend (Figure 10.52) track the evolution of distortion across the monitoring period, with industrial feeders exhibiting the highest levels.</w:t>
      </w:r>
    </w:p>
    <w:p w14:paraId="0451B82C"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5A79435A" wp14:editId="7919C6C8">
            <wp:extent cx="5715000" cy="2114550"/>
            <wp:effectExtent l="0" t="0" r="0" b="0"/>
            <wp:docPr id="678360115" name="Fig_10_51" descr="Long-Term Voltage Total Harmonic Distortion (THDv) Trend" title="Figur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2114550"/>
                    </a:xfrm>
                    <a:prstGeom prst="rect">
                      <a:avLst/>
                    </a:prstGeom>
                  </pic:spPr>
                </pic:pic>
              </a:graphicData>
            </a:graphic>
          </wp:inline>
        </w:drawing>
      </w:r>
    </w:p>
    <w:p w14:paraId="4E1310CD"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10.51: </w:t>
      </w:r>
      <w:r w:rsidRPr="00793FC8">
        <w:rPr>
          <w:rFonts w:ascii="Times New Roman" w:hAnsi="Times New Roman" w:cs="Times New Roman"/>
          <w:sz w:val="24"/>
          <w:szCs w:val="24"/>
        </w:rPr>
        <w:t>Long-Term Voltage Total Harmonic Distortion (</w:t>
      </w:r>
      <w:proofErr w:type="spellStart"/>
      <w:r w:rsidRPr="00793FC8">
        <w:rPr>
          <w:rFonts w:ascii="Times New Roman" w:hAnsi="Times New Roman" w:cs="Times New Roman"/>
          <w:sz w:val="24"/>
          <w:szCs w:val="24"/>
        </w:rPr>
        <w:t>THDv</w:t>
      </w:r>
      <w:proofErr w:type="spellEnd"/>
      <w:r w:rsidRPr="00793FC8">
        <w:rPr>
          <w:rFonts w:ascii="Times New Roman" w:hAnsi="Times New Roman" w:cs="Times New Roman"/>
          <w:sz w:val="24"/>
          <w:szCs w:val="24"/>
        </w:rPr>
        <w:t>) Trend</w:t>
      </w:r>
    </w:p>
    <w:p w14:paraId="4C7877BE"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lastRenderedPageBreak/>
        <w:drawing>
          <wp:inline distT="0" distB="0" distL="0" distR="0" wp14:anchorId="6CEBE6DB" wp14:editId="310457AB">
            <wp:extent cx="5715000" cy="2114550"/>
            <wp:effectExtent l="0" t="0" r="0" b="0"/>
            <wp:docPr id="1151467749" name="Fig_10_52" descr="Long-Term Current Total Harmonic Distortion (THDi) Trend" title="Fig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2114550"/>
                    </a:xfrm>
                    <a:prstGeom prst="rect">
                      <a:avLst/>
                    </a:prstGeom>
                  </pic:spPr>
                </pic:pic>
              </a:graphicData>
            </a:graphic>
          </wp:inline>
        </w:drawing>
      </w:r>
    </w:p>
    <w:p w14:paraId="449683BF"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10.52: </w:t>
      </w:r>
      <w:r w:rsidRPr="00793FC8">
        <w:rPr>
          <w:rFonts w:ascii="Times New Roman" w:hAnsi="Times New Roman" w:cs="Times New Roman"/>
          <w:sz w:val="24"/>
          <w:szCs w:val="24"/>
        </w:rPr>
        <w:t>Long-Term Current Total Harmonic Distortion (</w:t>
      </w:r>
      <w:proofErr w:type="spellStart"/>
      <w:r w:rsidRPr="00793FC8">
        <w:rPr>
          <w:rFonts w:ascii="Times New Roman" w:hAnsi="Times New Roman" w:cs="Times New Roman"/>
          <w:sz w:val="24"/>
          <w:szCs w:val="24"/>
        </w:rPr>
        <w:t>THDi</w:t>
      </w:r>
      <w:proofErr w:type="spellEnd"/>
      <w:r w:rsidRPr="00793FC8">
        <w:rPr>
          <w:rFonts w:ascii="Times New Roman" w:hAnsi="Times New Roman" w:cs="Times New Roman"/>
          <w:sz w:val="24"/>
          <w:szCs w:val="24"/>
        </w:rPr>
        <w:t>) Trend</w:t>
      </w:r>
    </w:p>
    <w:p w14:paraId="5D491A6A"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t>A representative harmonic spectrum (Figure 10.53) decomposes the distortion by harmonic order, exposing the dominant low-order harmonics characteristic of motor drives and rectifier loads. Compliance against the IEEE 519 limits is tracked in Figure 10.54, and the relationship between distortion and the composite indicator is established in Figure 10.55, which confirms that rising THD coincides with declining CPQI.</w:t>
      </w:r>
    </w:p>
    <w:p w14:paraId="58874127"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0EA41B8F" wp14:editId="48C1E7A8">
            <wp:extent cx="5715000" cy="3143250"/>
            <wp:effectExtent l="0" t="0" r="0" b="0"/>
            <wp:docPr id="1977354181" name="Fig_10_53" descr="Representative Substation Harmonic Spectrum Profile" title="Figur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3143250"/>
                    </a:xfrm>
                    <a:prstGeom prst="rect">
                      <a:avLst/>
                    </a:prstGeom>
                  </pic:spPr>
                </pic:pic>
              </a:graphicData>
            </a:graphic>
          </wp:inline>
        </w:drawing>
      </w:r>
    </w:p>
    <w:p w14:paraId="57DB5D8B"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10.53: </w:t>
      </w:r>
      <w:r w:rsidRPr="00793FC8">
        <w:rPr>
          <w:rFonts w:ascii="Times New Roman" w:hAnsi="Times New Roman" w:cs="Times New Roman"/>
          <w:sz w:val="24"/>
          <w:szCs w:val="24"/>
        </w:rPr>
        <w:t>Representative Substation Harmonic Spectrum Profile</w:t>
      </w:r>
    </w:p>
    <w:p w14:paraId="15A07850"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lastRenderedPageBreak/>
        <w:drawing>
          <wp:inline distT="0" distB="0" distL="0" distR="0" wp14:anchorId="51E10666" wp14:editId="40BF6640">
            <wp:extent cx="5715000" cy="3886200"/>
            <wp:effectExtent l="0" t="0" r="0" b="0"/>
            <wp:docPr id="1167191607" name="Fig_10_54" descr="Total Harmonic Distortion Standards Compliance Rate" title="Figur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3886200"/>
                    </a:xfrm>
                    <a:prstGeom prst="rect">
                      <a:avLst/>
                    </a:prstGeom>
                  </pic:spPr>
                </pic:pic>
              </a:graphicData>
            </a:graphic>
          </wp:inline>
        </w:drawing>
      </w:r>
    </w:p>
    <w:p w14:paraId="48344E3C"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10.54: </w:t>
      </w:r>
      <w:r w:rsidRPr="00793FC8">
        <w:rPr>
          <w:rFonts w:ascii="Times New Roman" w:hAnsi="Times New Roman" w:cs="Times New Roman"/>
          <w:sz w:val="24"/>
          <w:szCs w:val="24"/>
        </w:rPr>
        <w:t>Total Harmonic Distortion Standards Compliance Rate</w:t>
      </w:r>
    </w:p>
    <w:p w14:paraId="19AA1DFB"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09C26E02" wp14:editId="03030485">
            <wp:extent cx="5715000" cy="3686175"/>
            <wp:effectExtent l="0" t="0" r="0" b="0"/>
            <wp:docPr id="1724916196" name="Fig_10_55" descr="THD Distortion vs Total CPQI Performance" title="Figure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3686175"/>
                    </a:xfrm>
                    <a:prstGeom prst="rect">
                      <a:avLst/>
                    </a:prstGeom>
                  </pic:spPr>
                </pic:pic>
              </a:graphicData>
            </a:graphic>
          </wp:inline>
        </w:drawing>
      </w:r>
    </w:p>
    <w:p w14:paraId="2E4CD2EB"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10.55: </w:t>
      </w:r>
      <w:r w:rsidRPr="00793FC8">
        <w:rPr>
          <w:rFonts w:ascii="Times New Roman" w:hAnsi="Times New Roman" w:cs="Times New Roman"/>
          <w:sz w:val="24"/>
          <w:szCs w:val="24"/>
        </w:rPr>
        <w:t>THD Distortion vs Total CPQI Performance</w:t>
      </w:r>
    </w:p>
    <w:p w14:paraId="544445B4" w14:textId="77777777" w:rsidR="00017B4A" w:rsidRPr="00793FC8" w:rsidRDefault="00000000">
      <w:pPr>
        <w:pStyle w:val="Heading2"/>
        <w:rPr>
          <w:rFonts w:ascii="Times New Roman" w:hAnsi="Times New Roman" w:cs="Times New Roman"/>
          <w:color w:val="auto"/>
        </w:rPr>
      </w:pPr>
      <w:bookmarkStart w:id="11" w:name="_Toc233458805"/>
      <w:proofErr w:type="gramStart"/>
      <w:r w:rsidRPr="00793FC8">
        <w:rPr>
          <w:rFonts w:ascii="Times New Roman" w:hAnsi="Times New Roman" w:cs="Times New Roman"/>
          <w:color w:val="auto"/>
        </w:rPr>
        <w:lastRenderedPageBreak/>
        <w:t>10.10  Customer</w:t>
      </w:r>
      <w:proofErr w:type="gramEnd"/>
      <w:r w:rsidRPr="00793FC8">
        <w:rPr>
          <w:rFonts w:ascii="Times New Roman" w:hAnsi="Times New Roman" w:cs="Times New Roman"/>
          <w:color w:val="auto"/>
        </w:rPr>
        <w:t xml:space="preserve"> Perspective</w:t>
      </w:r>
      <w:bookmarkEnd w:id="11"/>
    </w:p>
    <w:p w14:paraId="5A32FD67"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t>A technically valid indicator must also align with the quality experienced by consumers. This section confronts the CPQI with customer-facing evidence. The monthly customer complaint volume trend (Figure 10.56) exhibits a seasonal pattern that mirrors the indicator depressions, and the correlation matrix relating complaint volume to the CPQI (Figure 10.57) confirms a strong inverse association.</w:t>
      </w:r>
    </w:p>
    <w:p w14:paraId="713051A6"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25D101DD" wp14:editId="5E4140D2">
            <wp:extent cx="5715000" cy="2114550"/>
            <wp:effectExtent l="0" t="0" r="0" b="0"/>
            <wp:docPr id="1416458826" name="Fig_10_56" descr="Monthly Customer Complaint Volume Trend" title="Figure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2114550"/>
                    </a:xfrm>
                    <a:prstGeom prst="rect">
                      <a:avLst/>
                    </a:prstGeom>
                  </pic:spPr>
                </pic:pic>
              </a:graphicData>
            </a:graphic>
          </wp:inline>
        </w:drawing>
      </w:r>
    </w:p>
    <w:p w14:paraId="65B94975"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10.56: </w:t>
      </w:r>
      <w:r w:rsidRPr="00793FC8">
        <w:rPr>
          <w:rFonts w:ascii="Times New Roman" w:hAnsi="Times New Roman" w:cs="Times New Roman"/>
          <w:sz w:val="24"/>
          <w:szCs w:val="24"/>
        </w:rPr>
        <w:t>Monthly Customer Complaint Volume Trend</w:t>
      </w:r>
    </w:p>
    <w:p w14:paraId="10440CF6"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0860985A" wp14:editId="7CC162EC">
            <wp:extent cx="5715000" cy="3543300"/>
            <wp:effectExtent l="0" t="0" r="0" b="0"/>
            <wp:docPr id="2086307593" name="Fig_10_57" descr="Correlation Matrix: Complaint Volume vs CPQI" title="Figur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3543300"/>
                    </a:xfrm>
                    <a:prstGeom prst="rect">
                      <a:avLst/>
                    </a:prstGeom>
                  </pic:spPr>
                </pic:pic>
              </a:graphicData>
            </a:graphic>
          </wp:inline>
        </w:drawing>
      </w:r>
    </w:p>
    <w:p w14:paraId="1DB1EBB9"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10.57: </w:t>
      </w:r>
      <w:r w:rsidRPr="00793FC8">
        <w:rPr>
          <w:rFonts w:ascii="Times New Roman" w:hAnsi="Times New Roman" w:cs="Times New Roman"/>
          <w:sz w:val="24"/>
          <w:szCs w:val="24"/>
        </w:rPr>
        <w:t>Correlation Matrix: Complaint Volume vs CPQI</w:t>
      </w:r>
    </w:p>
    <w:p w14:paraId="4DACCE14"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t xml:space="preserve">The indicator is further related to the standard reliability indices. Figures 10.58, 10.59, and 10.60 relate the CPQI to interruption frequency (SAIFI), interruption duration (SAIDI), and mean time </w:t>
      </w:r>
      <w:r w:rsidRPr="00793FC8">
        <w:rPr>
          <w:rFonts w:ascii="Times New Roman" w:hAnsi="Times New Roman" w:cs="Times New Roman"/>
          <w:sz w:val="24"/>
          <w:szCs w:val="24"/>
        </w:rPr>
        <w:lastRenderedPageBreak/>
        <w:t>to repair (MTTR), respectively. In each case the indicator declines as the reliability burden increases, demonstrating that the composite metric encodes the dimensions of service quality that consumers perceive most directly.</w:t>
      </w:r>
    </w:p>
    <w:p w14:paraId="796AC61B"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21FCFAB6" wp14:editId="012ADF14">
            <wp:extent cx="5715000" cy="3543300"/>
            <wp:effectExtent l="0" t="0" r="0" b="0"/>
            <wp:docPr id="1250221897" name="Fig_10_58" descr="Interruption Frequency (SAIFI) vs CPQI" title="Figure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3543300"/>
                    </a:xfrm>
                    <a:prstGeom prst="rect">
                      <a:avLst/>
                    </a:prstGeom>
                  </pic:spPr>
                </pic:pic>
              </a:graphicData>
            </a:graphic>
          </wp:inline>
        </w:drawing>
      </w:r>
    </w:p>
    <w:p w14:paraId="103EE8C8"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10.58: </w:t>
      </w:r>
      <w:r w:rsidRPr="00793FC8">
        <w:rPr>
          <w:rFonts w:ascii="Times New Roman" w:hAnsi="Times New Roman" w:cs="Times New Roman"/>
          <w:sz w:val="24"/>
          <w:szCs w:val="24"/>
        </w:rPr>
        <w:t>Interruption Frequency (SAIFI) vs CPQI</w:t>
      </w:r>
    </w:p>
    <w:p w14:paraId="5874F495"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64BCB644" wp14:editId="36A92ACB">
            <wp:extent cx="5715000" cy="3543300"/>
            <wp:effectExtent l="0" t="0" r="0" b="0"/>
            <wp:docPr id="1835114237" name="Fig_10_59" descr="Interruption Duration (SAIDI) vs CPQI" title="Figur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3543300"/>
                    </a:xfrm>
                    <a:prstGeom prst="rect">
                      <a:avLst/>
                    </a:prstGeom>
                  </pic:spPr>
                </pic:pic>
              </a:graphicData>
            </a:graphic>
          </wp:inline>
        </w:drawing>
      </w:r>
    </w:p>
    <w:p w14:paraId="19D7CD40"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lastRenderedPageBreak/>
        <w:t xml:space="preserve">Figure 10.59: </w:t>
      </w:r>
      <w:r w:rsidRPr="00793FC8">
        <w:rPr>
          <w:rFonts w:ascii="Times New Roman" w:hAnsi="Times New Roman" w:cs="Times New Roman"/>
          <w:sz w:val="24"/>
          <w:szCs w:val="24"/>
        </w:rPr>
        <w:t>Interruption Duration (SAIDI) vs CPQI</w:t>
      </w:r>
    </w:p>
    <w:p w14:paraId="06E9D0EB"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12DB75C1" wp14:editId="084135F3">
            <wp:extent cx="5715000" cy="3543300"/>
            <wp:effectExtent l="0" t="0" r="0" b="0"/>
            <wp:docPr id="45227694" name="Fig_10_60" descr="Repair Response Efficiency: MTTR vs CPQI" title="Figur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3543300"/>
                    </a:xfrm>
                    <a:prstGeom prst="rect">
                      <a:avLst/>
                    </a:prstGeom>
                  </pic:spPr>
                </pic:pic>
              </a:graphicData>
            </a:graphic>
          </wp:inline>
        </w:drawing>
      </w:r>
    </w:p>
    <w:p w14:paraId="5300717B"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10.60: </w:t>
      </w:r>
      <w:r w:rsidRPr="00793FC8">
        <w:rPr>
          <w:rFonts w:ascii="Times New Roman" w:hAnsi="Times New Roman" w:cs="Times New Roman"/>
          <w:sz w:val="24"/>
          <w:szCs w:val="24"/>
        </w:rPr>
        <w:t>Repair Response Efficiency: MTTR vs CPQI</w:t>
      </w:r>
    </w:p>
    <w:p w14:paraId="530E58AB"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t>Table 10.18 consolidates the complaint-based validation, classifying each feeder by calculated CPQI, annual complaint count, and resulting hotspot status. Feeders with the lowest CPQI are classified as severe complaint hotspots, while high-scoring feeders are classified as low-risk, providing a direct operational mapping from indicator value to consumer outcome.</w:t>
      </w:r>
    </w:p>
    <w:p w14:paraId="686C81EB" w14:textId="77777777" w:rsidR="00017B4A" w:rsidRPr="00793FC8" w:rsidRDefault="00000000">
      <w:pPr>
        <w:spacing w:before="160" w:after="60"/>
        <w:rPr>
          <w:rFonts w:ascii="Times New Roman" w:hAnsi="Times New Roman" w:cs="Times New Roman"/>
          <w:sz w:val="24"/>
          <w:szCs w:val="24"/>
        </w:rPr>
      </w:pPr>
      <w:r w:rsidRPr="00793FC8">
        <w:rPr>
          <w:rFonts w:ascii="Times New Roman" w:hAnsi="Times New Roman" w:cs="Times New Roman"/>
          <w:b/>
          <w:bCs/>
          <w:sz w:val="24"/>
          <w:szCs w:val="24"/>
        </w:rPr>
        <w:t>Table 10.18: Complaint Validation and Hotspot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17B4A" w:rsidRPr="00793FC8" w14:paraId="55BEA8B0" w14:textId="77777777">
        <w:trPr>
          <w:tblHeader/>
        </w:trPr>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25C1007F"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Feeder Name</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783CBFBB"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Calculated CPQI (%)</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4D946098"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Annual Complaints Count</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504A8434"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Hotspot Classification Status</w:t>
            </w:r>
          </w:p>
        </w:tc>
      </w:tr>
      <w:tr w:rsidR="00017B4A" w:rsidRPr="00793FC8" w14:paraId="3E285933"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E5A5410"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GACHA 1 F3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A57A169"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84.2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ED80A71"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18</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1156DF6"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Low Risk / Stable</w:t>
            </w:r>
          </w:p>
        </w:tc>
      </w:tr>
      <w:tr w:rsidR="00017B4A" w:rsidRPr="00793FC8" w14:paraId="6C8A7ED7"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CF2C368"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GACHA 1 F4</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83F4A5D"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52.15</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F14CCF8"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65</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C08113F"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High Risk Hotspot</w:t>
            </w:r>
          </w:p>
        </w:tc>
      </w:tr>
      <w:tr w:rsidR="00017B4A" w:rsidRPr="00793FC8" w14:paraId="05248885"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830FFF5"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1 F5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AD82B9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88.4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20D855E"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BC2397F"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Low Risk / Stable</w:t>
            </w:r>
          </w:p>
        </w:tc>
      </w:tr>
      <w:tr w:rsidR="00017B4A" w:rsidRPr="00793FC8" w14:paraId="01EEE183"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595FF73"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JOYDEBPUR 7 F5</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675D444"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71.6</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15D075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38</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8EFC89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Moderate Risk</w:t>
            </w:r>
          </w:p>
        </w:tc>
      </w:tr>
      <w:tr w:rsidR="00017B4A" w:rsidRPr="00793FC8" w14:paraId="3F1F732A"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44E08D9"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7 F1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0B657C3"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48.9</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E517FA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79BCD4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Severe Hotspot</w:t>
            </w:r>
          </w:p>
        </w:tc>
      </w:tr>
      <w:tr w:rsidR="00017B4A" w:rsidRPr="00793FC8" w14:paraId="56279F7C"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491DF96"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8 F2</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B3B425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81.1</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B6D4DC4"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21</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B4D0E39"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Low Risk / Stable</w:t>
            </w:r>
          </w:p>
        </w:tc>
      </w:tr>
    </w:tbl>
    <w:p w14:paraId="491E3EC6" w14:textId="77777777" w:rsidR="00017B4A" w:rsidRPr="00793FC8" w:rsidRDefault="00017B4A">
      <w:pPr>
        <w:spacing w:after="200"/>
        <w:rPr>
          <w:rFonts w:ascii="Times New Roman" w:hAnsi="Times New Roman" w:cs="Times New Roman"/>
        </w:rPr>
      </w:pPr>
    </w:p>
    <w:p w14:paraId="285B0CE5" w14:textId="77777777" w:rsidR="00017B4A" w:rsidRPr="00793FC8" w:rsidRDefault="00000000">
      <w:pPr>
        <w:pStyle w:val="Heading2"/>
        <w:rPr>
          <w:rFonts w:ascii="Times New Roman" w:hAnsi="Times New Roman" w:cs="Times New Roman"/>
          <w:color w:val="auto"/>
        </w:rPr>
      </w:pPr>
      <w:bookmarkStart w:id="12" w:name="_Toc233458806"/>
      <w:proofErr w:type="gramStart"/>
      <w:r w:rsidRPr="00793FC8">
        <w:rPr>
          <w:rFonts w:ascii="Times New Roman" w:hAnsi="Times New Roman" w:cs="Times New Roman"/>
          <w:color w:val="auto"/>
        </w:rPr>
        <w:t>10.11  Feeder</w:t>
      </w:r>
      <w:proofErr w:type="gramEnd"/>
      <w:r w:rsidRPr="00793FC8">
        <w:rPr>
          <w:rFonts w:ascii="Times New Roman" w:hAnsi="Times New Roman" w:cs="Times New Roman"/>
          <w:color w:val="auto"/>
        </w:rPr>
        <w:t xml:space="preserve"> Comparison</w:t>
      </w:r>
      <w:bookmarkEnd w:id="12"/>
    </w:p>
    <w:p w14:paraId="480A744C"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t>Aggregating the temporal evidence across feeders enables comparative benchmarking. The feeder-wise CPQI comparison (Figure 10.61) ranks the six feeders by overall performance, and the radar chart of indicator components (Figure 10.62) decomposes each feeder’s score into its constituent technical pillars, exposing the specific weaknesses—harmonic distortion and power factor for industrial feeders, voltage regulation for long rural feeders.</w:t>
      </w:r>
    </w:p>
    <w:p w14:paraId="541C6FE9"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lastRenderedPageBreak/>
        <w:drawing>
          <wp:inline distT="0" distB="0" distL="0" distR="0" wp14:anchorId="48BF4DAB" wp14:editId="6E138145">
            <wp:extent cx="5715000" cy="3543300"/>
            <wp:effectExtent l="0" t="0" r="0" b="0"/>
            <wp:docPr id="1862950103" name="Fig_10_61" descr="Feeder-wise CPQI Comparison" title="Figure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3543300"/>
                    </a:xfrm>
                    <a:prstGeom prst="rect">
                      <a:avLst/>
                    </a:prstGeom>
                  </pic:spPr>
                </pic:pic>
              </a:graphicData>
            </a:graphic>
          </wp:inline>
        </w:drawing>
      </w:r>
    </w:p>
    <w:p w14:paraId="61FE117D"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10.61: </w:t>
      </w:r>
      <w:r w:rsidRPr="00793FC8">
        <w:rPr>
          <w:rFonts w:ascii="Times New Roman" w:hAnsi="Times New Roman" w:cs="Times New Roman"/>
          <w:sz w:val="24"/>
          <w:szCs w:val="24"/>
        </w:rPr>
        <w:t>Feeder-wise CPQI Comparison</w:t>
      </w:r>
    </w:p>
    <w:p w14:paraId="6AF1CC10"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7D532056" wp14:editId="790C6F36">
            <wp:extent cx="5276850" cy="4095750"/>
            <wp:effectExtent l="0" t="0" r="0" b="0"/>
            <wp:docPr id="1335319275" name="Fig_10_62" descr="Radar Chart of Indicator Components" title="Figur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276850" cy="4095750"/>
                    </a:xfrm>
                    <a:prstGeom prst="rect">
                      <a:avLst/>
                    </a:prstGeom>
                  </pic:spPr>
                </pic:pic>
              </a:graphicData>
            </a:graphic>
          </wp:inline>
        </w:drawing>
      </w:r>
    </w:p>
    <w:p w14:paraId="592E71FB"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10.62: </w:t>
      </w:r>
      <w:r w:rsidRPr="00793FC8">
        <w:rPr>
          <w:rFonts w:ascii="Times New Roman" w:hAnsi="Times New Roman" w:cs="Times New Roman"/>
          <w:sz w:val="24"/>
          <w:szCs w:val="24"/>
        </w:rPr>
        <w:t>Radar Chart of Indicator Components</w:t>
      </w:r>
    </w:p>
    <w:p w14:paraId="65D780E0"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lastRenderedPageBreak/>
        <w:t>The operational performance ranking (Figure 10.63) formalizes this ordering, while the parallel coordinate plot (Figure 10.64) visualizes each feeder’s trajectory across all dimensions simultaneously. Finally, the clustering of feeders in CPQI proximity space (Figure 10.65) groups feeders with similar performance signatures, supporting targeted intervention strategies.</w:t>
      </w:r>
    </w:p>
    <w:p w14:paraId="1777F149"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6D136114" wp14:editId="1B801CDA">
            <wp:extent cx="5715000" cy="3333750"/>
            <wp:effectExtent l="0" t="0" r="0" b="0"/>
            <wp:docPr id="1273609819" name="Fig_10_63" descr="Operational Feeder Performance Ranking" title="Figure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3333750"/>
                    </a:xfrm>
                    <a:prstGeom prst="rect">
                      <a:avLst/>
                    </a:prstGeom>
                  </pic:spPr>
                </pic:pic>
              </a:graphicData>
            </a:graphic>
          </wp:inline>
        </w:drawing>
      </w:r>
    </w:p>
    <w:p w14:paraId="6F70442D"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10.63: </w:t>
      </w:r>
      <w:r w:rsidRPr="00793FC8">
        <w:rPr>
          <w:rFonts w:ascii="Times New Roman" w:hAnsi="Times New Roman" w:cs="Times New Roman"/>
          <w:sz w:val="24"/>
          <w:szCs w:val="24"/>
        </w:rPr>
        <w:t>Operational Feeder Performance Ranking</w:t>
      </w:r>
    </w:p>
    <w:p w14:paraId="40F45734"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1CDF8FEB" wp14:editId="47A0F11A">
            <wp:extent cx="5715000" cy="3114675"/>
            <wp:effectExtent l="0" t="0" r="0" b="0"/>
            <wp:docPr id="78431983" name="Fig_10_64" descr="Multidimensional Parallel Coordinate Profile" title="Figure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3114675"/>
                    </a:xfrm>
                    <a:prstGeom prst="rect">
                      <a:avLst/>
                    </a:prstGeom>
                  </pic:spPr>
                </pic:pic>
              </a:graphicData>
            </a:graphic>
          </wp:inline>
        </w:drawing>
      </w:r>
    </w:p>
    <w:p w14:paraId="78C22C3F"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10.64: </w:t>
      </w:r>
      <w:r w:rsidRPr="00793FC8">
        <w:rPr>
          <w:rFonts w:ascii="Times New Roman" w:hAnsi="Times New Roman" w:cs="Times New Roman"/>
          <w:sz w:val="24"/>
          <w:szCs w:val="24"/>
        </w:rPr>
        <w:t>Multidimensional Parallel Coordinate Profile</w:t>
      </w:r>
    </w:p>
    <w:p w14:paraId="4C285C3B"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lastRenderedPageBreak/>
        <w:drawing>
          <wp:inline distT="0" distB="0" distL="0" distR="0" wp14:anchorId="044E5E45" wp14:editId="4D833F27">
            <wp:extent cx="5715000" cy="4010025"/>
            <wp:effectExtent l="0" t="0" r="0" b="0"/>
            <wp:docPr id="1349496236" name="Fig_10_65" descr="Clustered Feeders Based on CPQI Proximity" title="Figur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15000" cy="4010025"/>
                    </a:xfrm>
                    <a:prstGeom prst="rect">
                      <a:avLst/>
                    </a:prstGeom>
                  </pic:spPr>
                </pic:pic>
              </a:graphicData>
            </a:graphic>
          </wp:inline>
        </w:drawing>
      </w:r>
    </w:p>
    <w:p w14:paraId="43671A47"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10.65: </w:t>
      </w:r>
      <w:r w:rsidRPr="00793FC8">
        <w:rPr>
          <w:rFonts w:ascii="Times New Roman" w:hAnsi="Times New Roman" w:cs="Times New Roman"/>
          <w:sz w:val="24"/>
          <w:szCs w:val="24"/>
        </w:rPr>
        <w:t>Clustered Feeders Based on CPQI Proximity</w:t>
      </w:r>
    </w:p>
    <w:p w14:paraId="6567DD46"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t>Tables 10.13, 10.14, and 10.15 present the complete feeder ranking, the best-performing feeders, and the worst-performing feeders, respectively. The ranking is consistent across all three views and aligns with the consumer-type profiles of Table 10.1: stabilized and residential feeders occupy the top of the ranking, while stressed industrial feeders occupy the bottom.</w:t>
      </w:r>
    </w:p>
    <w:p w14:paraId="5CA0AB35" w14:textId="77777777" w:rsidR="00017B4A" w:rsidRPr="00793FC8" w:rsidRDefault="00000000">
      <w:pPr>
        <w:spacing w:before="160" w:after="60"/>
        <w:rPr>
          <w:rFonts w:ascii="Times New Roman" w:hAnsi="Times New Roman" w:cs="Times New Roman"/>
          <w:sz w:val="24"/>
          <w:szCs w:val="24"/>
        </w:rPr>
      </w:pPr>
      <w:r w:rsidRPr="00793FC8">
        <w:rPr>
          <w:rFonts w:ascii="Times New Roman" w:hAnsi="Times New Roman" w:cs="Times New Roman"/>
          <w:b/>
          <w:bCs/>
          <w:sz w:val="24"/>
          <w:szCs w:val="24"/>
        </w:rPr>
        <w:t>Table 10.13: Overall Feeder Ranking Based on CPQI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17B4A" w:rsidRPr="00793FC8" w14:paraId="4ACDBE0E" w14:textId="77777777">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1AD4F5DC"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Feeder Name</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76E8B815"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Mean CPQI (%)</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58EB028D"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Performance Rank</w:t>
            </w:r>
          </w:p>
        </w:tc>
      </w:tr>
      <w:tr w:rsidR="00017B4A" w:rsidRPr="00793FC8" w14:paraId="3B83850A"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200E8F7"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1 F5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7F62952"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88.4</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99BDD40"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w:t>
            </w:r>
          </w:p>
        </w:tc>
      </w:tr>
      <w:tr w:rsidR="00017B4A" w:rsidRPr="00793FC8" w14:paraId="584ADB3A"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F93B197"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GACHA 1 F3</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010C958"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84.2</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F09067E"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2</w:t>
            </w:r>
          </w:p>
        </w:tc>
      </w:tr>
      <w:tr w:rsidR="00017B4A" w:rsidRPr="00793FC8" w14:paraId="1AF9AC07"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AC9168A"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8 F2</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F727723"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81.1</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5514CBD"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3</w:t>
            </w:r>
          </w:p>
        </w:tc>
      </w:tr>
      <w:tr w:rsidR="00017B4A" w:rsidRPr="00793FC8" w14:paraId="1F2FAEDA"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7495950"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JOYDEBPUR 7 F5</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3F44AE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71.6</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DEB191F"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w:t>
            </w:r>
          </w:p>
        </w:tc>
      </w:tr>
      <w:tr w:rsidR="00017B4A" w:rsidRPr="00793FC8" w14:paraId="794F1BA8"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353ACF4"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GACHA 1 F4</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C1EB241"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52.15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0A94881"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5</w:t>
            </w:r>
          </w:p>
        </w:tc>
      </w:tr>
      <w:tr w:rsidR="00017B4A" w:rsidRPr="00793FC8" w14:paraId="15C427FE"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AE4EEF8"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7 F1</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BB09DE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48.9</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1A6597E"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w:t>
            </w:r>
          </w:p>
        </w:tc>
      </w:tr>
    </w:tbl>
    <w:p w14:paraId="213F006F" w14:textId="77777777" w:rsidR="00017B4A" w:rsidRPr="00793FC8" w:rsidRDefault="00017B4A">
      <w:pPr>
        <w:spacing w:after="200"/>
        <w:rPr>
          <w:rFonts w:ascii="Times New Roman" w:hAnsi="Times New Roman" w:cs="Times New Roman"/>
        </w:rPr>
      </w:pPr>
    </w:p>
    <w:p w14:paraId="09006EE8" w14:textId="77777777" w:rsidR="00017B4A" w:rsidRPr="00793FC8" w:rsidRDefault="00000000">
      <w:pPr>
        <w:spacing w:before="160" w:after="60"/>
        <w:rPr>
          <w:rFonts w:ascii="Times New Roman" w:hAnsi="Times New Roman" w:cs="Times New Roman"/>
          <w:sz w:val="24"/>
          <w:szCs w:val="24"/>
        </w:rPr>
      </w:pPr>
      <w:r w:rsidRPr="00793FC8">
        <w:rPr>
          <w:rFonts w:ascii="Times New Roman" w:hAnsi="Times New Roman" w:cs="Times New Roman"/>
          <w:b/>
          <w:bCs/>
          <w:sz w:val="24"/>
          <w:szCs w:val="24"/>
        </w:rPr>
        <w:t>Table 10.14: Best-Performing Feeders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17B4A" w:rsidRPr="00793FC8" w14:paraId="20B9AAC0" w14:textId="77777777">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70AB5FD1"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Feeder Name</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7987D533"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Mean CPQI (%)</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6B0B0487"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Performance Rank</w:t>
            </w:r>
          </w:p>
        </w:tc>
      </w:tr>
      <w:tr w:rsidR="00017B4A" w:rsidRPr="00793FC8" w14:paraId="72689031"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DD85D65"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1 F5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083B6C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88.4</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8077D8F"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w:t>
            </w:r>
          </w:p>
        </w:tc>
      </w:tr>
      <w:tr w:rsidR="00017B4A" w:rsidRPr="00793FC8" w14:paraId="40265E24"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0709F50"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GACHA 1 F3</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B9C8F1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84.2</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02B1736"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2</w:t>
            </w:r>
          </w:p>
        </w:tc>
      </w:tr>
      <w:tr w:rsidR="00017B4A" w:rsidRPr="00793FC8" w14:paraId="490EA894"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AF657BB"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8 F2</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79073CD"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81.1</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BB77BA0"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3</w:t>
            </w:r>
          </w:p>
        </w:tc>
      </w:tr>
      <w:tr w:rsidR="00017B4A" w:rsidRPr="00793FC8" w14:paraId="20F13ECA"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2660E8E"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lastRenderedPageBreak/>
              <w:t>JOYDEBPUR 7 F5</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04940CB"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71.6</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547721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w:t>
            </w:r>
          </w:p>
        </w:tc>
      </w:tr>
      <w:tr w:rsidR="00017B4A" w:rsidRPr="00793FC8" w14:paraId="20C4D533"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202A213"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GACHA 1 F4</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A1092D0"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52.15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8DCFC39"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5</w:t>
            </w:r>
          </w:p>
        </w:tc>
      </w:tr>
    </w:tbl>
    <w:p w14:paraId="3A33CBBC" w14:textId="77777777" w:rsidR="00017B4A" w:rsidRPr="00793FC8" w:rsidRDefault="00017B4A">
      <w:pPr>
        <w:spacing w:after="200"/>
        <w:rPr>
          <w:rFonts w:ascii="Times New Roman" w:hAnsi="Times New Roman" w:cs="Times New Roman"/>
        </w:rPr>
      </w:pPr>
    </w:p>
    <w:p w14:paraId="701BCCB3" w14:textId="77777777" w:rsidR="00017B4A" w:rsidRPr="00793FC8" w:rsidRDefault="00000000">
      <w:pPr>
        <w:spacing w:before="160" w:after="60"/>
        <w:rPr>
          <w:rFonts w:ascii="Times New Roman" w:hAnsi="Times New Roman" w:cs="Times New Roman"/>
          <w:sz w:val="24"/>
          <w:szCs w:val="24"/>
        </w:rPr>
      </w:pPr>
      <w:r w:rsidRPr="00793FC8">
        <w:rPr>
          <w:rFonts w:ascii="Times New Roman" w:hAnsi="Times New Roman" w:cs="Times New Roman"/>
          <w:b/>
          <w:bCs/>
          <w:sz w:val="24"/>
          <w:szCs w:val="24"/>
        </w:rPr>
        <w:t>Table 10.15: Worst-Performing Feeders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17B4A" w:rsidRPr="00793FC8" w14:paraId="5CEF974D" w14:textId="77777777">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7588F452"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Feeder Name</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2211F363"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Mean CPQI (%)</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25B2F1B6"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Performance Rank</w:t>
            </w:r>
          </w:p>
        </w:tc>
      </w:tr>
      <w:tr w:rsidR="00017B4A" w:rsidRPr="00793FC8" w14:paraId="0423F415"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E8C4A0C"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7 F1</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701AFD7"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48.9</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6C379C9"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w:t>
            </w:r>
          </w:p>
        </w:tc>
      </w:tr>
      <w:tr w:rsidR="00017B4A" w:rsidRPr="00793FC8" w14:paraId="6602D6EF"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25777DB"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GACHA 1 F4</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09E0F89"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52.15</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AC6C1B9"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5</w:t>
            </w:r>
          </w:p>
        </w:tc>
      </w:tr>
      <w:tr w:rsidR="00017B4A" w:rsidRPr="00793FC8" w14:paraId="1B881D69"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5FC6B10"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JOYDEBPUR 7 F5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FA40F4B"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71.6</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3EB78DB"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w:t>
            </w:r>
          </w:p>
        </w:tc>
      </w:tr>
      <w:tr w:rsidR="00017B4A" w:rsidRPr="00793FC8" w14:paraId="7CE6D6F6"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FDD134B"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8 F2</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F3A0F64"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81.1</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16D65CB"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3</w:t>
            </w:r>
          </w:p>
        </w:tc>
      </w:tr>
      <w:tr w:rsidR="00017B4A" w:rsidRPr="00793FC8" w14:paraId="46B6F371"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ED1A0BD"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GACHA 1 F3</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B1058C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84.2</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D2B06F7"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2</w:t>
            </w:r>
          </w:p>
        </w:tc>
      </w:tr>
    </w:tbl>
    <w:p w14:paraId="73A61B5A" w14:textId="77777777" w:rsidR="00017B4A" w:rsidRPr="00793FC8" w:rsidRDefault="00017B4A">
      <w:pPr>
        <w:spacing w:after="200"/>
        <w:rPr>
          <w:rFonts w:ascii="Times New Roman" w:hAnsi="Times New Roman" w:cs="Times New Roman"/>
        </w:rPr>
      </w:pPr>
    </w:p>
    <w:p w14:paraId="46743BB7" w14:textId="77777777" w:rsidR="00017B4A" w:rsidRPr="00793FC8" w:rsidRDefault="00000000">
      <w:pPr>
        <w:pStyle w:val="Heading2"/>
        <w:rPr>
          <w:rFonts w:ascii="Times New Roman" w:hAnsi="Times New Roman" w:cs="Times New Roman"/>
          <w:color w:val="auto"/>
        </w:rPr>
      </w:pPr>
      <w:bookmarkStart w:id="13" w:name="_Toc233458807"/>
      <w:proofErr w:type="gramStart"/>
      <w:r w:rsidRPr="00793FC8">
        <w:rPr>
          <w:rFonts w:ascii="Times New Roman" w:hAnsi="Times New Roman" w:cs="Times New Roman"/>
          <w:color w:val="auto"/>
        </w:rPr>
        <w:t>10.12  Statistical</w:t>
      </w:r>
      <w:proofErr w:type="gramEnd"/>
      <w:r w:rsidRPr="00793FC8">
        <w:rPr>
          <w:rFonts w:ascii="Times New Roman" w:hAnsi="Times New Roman" w:cs="Times New Roman"/>
          <w:color w:val="auto"/>
        </w:rPr>
        <w:t xml:space="preserve"> Validation</w:t>
      </w:r>
      <w:bookmarkEnd w:id="13"/>
    </w:p>
    <w:p w14:paraId="7423A43C"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t>The preceding evidence is consolidated through formal statistical analysis. The cross-variable Pearson correlation matrix (Figure 10.66) quantifies the pairwise relationships among the CPQI and its validation variables, and the validation scatter plots (Figures 10.67–10.70) display the indicator against complaints, SAIDI, SAIFI, and voltage compliance. The scatter plots confirm strong, statistically coherent relationships: negative against complaints and the reliability indices, positive against voltage compliance.</w:t>
      </w:r>
    </w:p>
    <w:p w14:paraId="166079F3"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3F1A9CF3" wp14:editId="7B03F1B0">
            <wp:extent cx="4314825" cy="4095750"/>
            <wp:effectExtent l="0" t="0" r="0" b="0"/>
            <wp:docPr id="1109971576" name="Fig_10_66" descr="Cross-Variable Pearson Correlation Matrix" title="Figure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314825" cy="4095750"/>
                    </a:xfrm>
                    <a:prstGeom prst="rect">
                      <a:avLst/>
                    </a:prstGeom>
                  </pic:spPr>
                </pic:pic>
              </a:graphicData>
            </a:graphic>
          </wp:inline>
        </w:drawing>
      </w:r>
    </w:p>
    <w:p w14:paraId="0E332557"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lastRenderedPageBreak/>
        <w:t xml:space="preserve">Figure 10.66: </w:t>
      </w:r>
      <w:r w:rsidRPr="00793FC8">
        <w:rPr>
          <w:rFonts w:ascii="Times New Roman" w:hAnsi="Times New Roman" w:cs="Times New Roman"/>
          <w:sz w:val="24"/>
          <w:szCs w:val="24"/>
        </w:rPr>
        <w:t>Cross-Variable Pearson Correlation Matrix</w:t>
      </w:r>
    </w:p>
    <w:p w14:paraId="5B2C27B6" w14:textId="205BACD6" w:rsidR="00017B4A" w:rsidRPr="00793FC8" w:rsidRDefault="00A24935" w:rsidP="00A24935">
      <w:pPr>
        <w:spacing w:before="120" w:after="60"/>
        <w:ind w:left="720"/>
        <w:jc w:val="center"/>
        <w:rPr>
          <w:rFonts w:ascii="Times New Roman" w:hAnsi="Times New Roman" w:cs="Times New Roman"/>
          <w:sz w:val="24"/>
          <w:szCs w:val="24"/>
        </w:rPr>
      </w:pPr>
      <w:r w:rsidRPr="00793FC8">
        <w:rPr>
          <w:rFonts w:ascii="Times New Roman" w:hAnsi="Times New Roman" w:cs="Times New Roman"/>
          <w:noProof/>
          <w:sz w:val="24"/>
          <w:szCs w:val="24"/>
        </w:rPr>
        <w:t xml:space="preserve"> </w:t>
      </w:r>
      <w:r w:rsidR="00815B83">
        <w:rPr>
          <w:noProof/>
        </w:rPr>
        <w:drawing>
          <wp:inline distT="0" distB="0" distL="0" distR="0" wp14:anchorId="6111F076" wp14:editId="470CC955">
            <wp:extent cx="5943600" cy="4391660"/>
            <wp:effectExtent l="0" t="0" r="0" b="8890"/>
            <wp:docPr id="16533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43600" cy="4391660"/>
                    </a:xfrm>
                    <a:prstGeom prst="rect">
                      <a:avLst/>
                    </a:prstGeom>
                    <a:noFill/>
                    <a:ln>
                      <a:noFill/>
                    </a:ln>
                  </pic:spPr>
                </pic:pic>
              </a:graphicData>
            </a:graphic>
          </wp:inline>
        </w:drawing>
      </w:r>
    </w:p>
    <w:p w14:paraId="47FC584B"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10.67: </w:t>
      </w:r>
      <w:r w:rsidRPr="00793FC8">
        <w:rPr>
          <w:rFonts w:ascii="Times New Roman" w:hAnsi="Times New Roman" w:cs="Times New Roman"/>
          <w:sz w:val="24"/>
          <w:szCs w:val="24"/>
        </w:rPr>
        <w:t>Validation Scatter: CPQI vs Complaints</w:t>
      </w:r>
    </w:p>
    <w:p w14:paraId="36D413A8" w14:textId="037404DD" w:rsidR="00017B4A" w:rsidRPr="00793FC8" w:rsidRDefault="00A24935" w:rsidP="00A24935">
      <w:pPr>
        <w:spacing w:before="120" w:after="60"/>
        <w:ind w:firstLine="720"/>
        <w:jc w:val="center"/>
        <w:rPr>
          <w:rFonts w:ascii="Times New Roman" w:hAnsi="Times New Roman" w:cs="Times New Roman"/>
          <w:sz w:val="24"/>
          <w:szCs w:val="24"/>
        </w:rPr>
      </w:pPr>
      <w:r w:rsidRPr="00793FC8">
        <w:rPr>
          <w:rFonts w:ascii="Times New Roman" w:hAnsi="Times New Roman" w:cs="Times New Roman"/>
          <w:noProof/>
          <w:sz w:val="24"/>
          <w:szCs w:val="24"/>
        </w:rPr>
        <w:lastRenderedPageBreak/>
        <w:drawing>
          <wp:inline distT="0" distB="0" distL="0" distR="0" wp14:anchorId="31F26DB5" wp14:editId="46DB3D8C">
            <wp:extent cx="5943600" cy="4389120"/>
            <wp:effectExtent l="0" t="0" r="0" b="0"/>
            <wp:docPr id="826984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3600" cy="4389120"/>
                    </a:xfrm>
                    <a:prstGeom prst="rect">
                      <a:avLst/>
                    </a:prstGeom>
                    <a:noFill/>
                    <a:ln>
                      <a:noFill/>
                    </a:ln>
                  </pic:spPr>
                </pic:pic>
              </a:graphicData>
            </a:graphic>
          </wp:inline>
        </w:drawing>
      </w:r>
    </w:p>
    <w:p w14:paraId="0102E8C8"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10.68: </w:t>
      </w:r>
      <w:r w:rsidRPr="00793FC8">
        <w:rPr>
          <w:rFonts w:ascii="Times New Roman" w:hAnsi="Times New Roman" w:cs="Times New Roman"/>
          <w:sz w:val="24"/>
          <w:szCs w:val="24"/>
        </w:rPr>
        <w:t>Validation Scatter: CPQI vs SAIDI</w:t>
      </w:r>
    </w:p>
    <w:p w14:paraId="67A8DE7A"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lastRenderedPageBreak/>
        <w:drawing>
          <wp:inline distT="0" distB="0" distL="0" distR="0" wp14:anchorId="6A6B1604" wp14:editId="293875CB">
            <wp:extent cx="5581650" cy="4095750"/>
            <wp:effectExtent l="0" t="0" r="0" b="0"/>
            <wp:docPr id="1773791007" name="Fig_10_69" descr="Validation Scatter: CPQI vs SAIFI" title="Figure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581650" cy="4095750"/>
                    </a:xfrm>
                    <a:prstGeom prst="rect">
                      <a:avLst/>
                    </a:prstGeom>
                  </pic:spPr>
                </pic:pic>
              </a:graphicData>
            </a:graphic>
          </wp:inline>
        </w:drawing>
      </w:r>
    </w:p>
    <w:p w14:paraId="546BD366"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10.69: </w:t>
      </w:r>
      <w:r w:rsidRPr="00793FC8">
        <w:rPr>
          <w:rFonts w:ascii="Times New Roman" w:hAnsi="Times New Roman" w:cs="Times New Roman"/>
          <w:sz w:val="24"/>
          <w:szCs w:val="24"/>
        </w:rPr>
        <w:t>Validation Scatter: CPQI vs SAIFI</w:t>
      </w:r>
    </w:p>
    <w:p w14:paraId="4799D6A2"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lastRenderedPageBreak/>
        <w:drawing>
          <wp:inline distT="0" distB="0" distL="0" distR="0" wp14:anchorId="760BA28B" wp14:editId="3767985F">
            <wp:extent cx="5581650" cy="4095750"/>
            <wp:effectExtent l="0" t="0" r="0" b="0"/>
            <wp:docPr id="1027697124" name="Fig_10_70" descr="Validation Scatter: CPQI vs Voltage Compliance" title="Figure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581650" cy="4095750"/>
                    </a:xfrm>
                    <a:prstGeom prst="rect">
                      <a:avLst/>
                    </a:prstGeom>
                  </pic:spPr>
                </pic:pic>
              </a:graphicData>
            </a:graphic>
          </wp:inline>
        </w:drawing>
      </w:r>
    </w:p>
    <w:p w14:paraId="73CBD1E0"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10.70: </w:t>
      </w:r>
      <w:r w:rsidRPr="00793FC8">
        <w:rPr>
          <w:rFonts w:ascii="Times New Roman" w:hAnsi="Times New Roman" w:cs="Times New Roman"/>
          <w:sz w:val="24"/>
          <w:szCs w:val="24"/>
        </w:rPr>
        <w:t>Validation Scatter: CPQI vs Voltage Compliance</w:t>
      </w:r>
    </w:p>
    <w:p w14:paraId="6D3F7416"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t>The distributional properties of the indicator are then examined. The boxplot of CPQI under different events (Figure 10.71) shows clearly separated distributions for each event class, the histogram (Figure 10.72) and violin plot (Figure 10.73) characterize the overall distribution shape, and the empirical density curve (Figure 10.74) summarizes the probability density. A cross-regression of voltage compliance against complaints (Figure 10.75) closes the validation loop by linking a technical driver directly to a consumer outcome.</w:t>
      </w:r>
    </w:p>
    <w:p w14:paraId="3655579E"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lastRenderedPageBreak/>
        <w:drawing>
          <wp:inline distT="0" distB="0" distL="0" distR="0" wp14:anchorId="1C4D4151" wp14:editId="5ACF7ADE">
            <wp:extent cx="5715000" cy="3476625"/>
            <wp:effectExtent l="0" t="0" r="0" b="0"/>
            <wp:docPr id="1256367317" name="Fig_10_71" descr="Boxplot of CPQI Under Different Events" title="Figure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15000" cy="3476625"/>
                    </a:xfrm>
                    <a:prstGeom prst="rect">
                      <a:avLst/>
                    </a:prstGeom>
                  </pic:spPr>
                </pic:pic>
              </a:graphicData>
            </a:graphic>
          </wp:inline>
        </w:drawing>
      </w:r>
    </w:p>
    <w:p w14:paraId="030F2A55"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10.71: </w:t>
      </w:r>
      <w:r w:rsidRPr="00793FC8">
        <w:rPr>
          <w:rFonts w:ascii="Times New Roman" w:hAnsi="Times New Roman" w:cs="Times New Roman"/>
          <w:sz w:val="24"/>
          <w:szCs w:val="24"/>
        </w:rPr>
        <w:t>Boxplot of CPQI Under Different Events</w:t>
      </w:r>
    </w:p>
    <w:p w14:paraId="77D7C1DD"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64A98A90" wp14:editId="57359013">
            <wp:extent cx="5715000" cy="3629025"/>
            <wp:effectExtent l="0" t="0" r="0" b="0"/>
            <wp:docPr id="331207777" name="Fig_10_72" descr="Distribution Histogram of CPQI" title="Figure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15000" cy="3629025"/>
                    </a:xfrm>
                    <a:prstGeom prst="rect">
                      <a:avLst/>
                    </a:prstGeom>
                  </pic:spPr>
                </pic:pic>
              </a:graphicData>
            </a:graphic>
          </wp:inline>
        </w:drawing>
      </w:r>
    </w:p>
    <w:p w14:paraId="2B3523F7"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10.72: </w:t>
      </w:r>
      <w:r w:rsidRPr="00793FC8">
        <w:rPr>
          <w:rFonts w:ascii="Times New Roman" w:hAnsi="Times New Roman" w:cs="Times New Roman"/>
          <w:sz w:val="24"/>
          <w:szCs w:val="24"/>
        </w:rPr>
        <w:t>Distribution Histogram of CPQI</w:t>
      </w:r>
    </w:p>
    <w:p w14:paraId="30B17BB2"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lastRenderedPageBreak/>
        <w:drawing>
          <wp:inline distT="0" distB="0" distL="0" distR="0" wp14:anchorId="3CE519F8" wp14:editId="3C221C9B">
            <wp:extent cx="5715000" cy="3781425"/>
            <wp:effectExtent l="0" t="0" r="0" b="0"/>
            <wp:docPr id="1054253400" name="Fig_10_73" descr="CPQI Probability Density Violin Plot" title="Figure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715000" cy="3781425"/>
                    </a:xfrm>
                    <a:prstGeom prst="rect">
                      <a:avLst/>
                    </a:prstGeom>
                  </pic:spPr>
                </pic:pic>
              </a:graphicData>
            </a:graphic>
          </wp:inline>
        </w:drawing>
      </w:r>
    </w:p>
    <w:p w14:paraId="23E321A6"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10.73: </w:t>
      </w:r>
      <w:r w:rsidRPr="00793FC8">
        <w:rPr>
          <w:rFonts w:ascii="Times New Roman" w:hAnsi="Times New Roman" w:cs="Times New Roman"/>
          <w:sz w:val="24"/>
          <w:szCs w:val="24"/>
        </w:rPr>
        <w:t>CPQI Probability Density Violin Plot</w:t>
      </w:r>
    </w:p>
    <w:p w14:paraId="5B8EA9CE"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drawing>
          <wp:inline distT="0" distB="0" distL="0" distR="0" wp14:anchorId="03B0342A" wp14:editId="19CDD82C">
            <wp:extent cx="5715000" cy="3524250"/>
            <wp:effectExtent l="0" t="0" r="0" b="0"/>
            <wp:docPr id="2111979054" name="Fig_10_74" descr="Empirical Probability Density Curve of CPQI" title="Figure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15000" cy="3524250"/>
                    </a:xfrm>
                    <a:prstGeom prst="rect">
                      <a:avLst/>
                    </a:prstGeom>
                  </pic:spPr>
                </pic:pic>
              </a:graphicData>
            </a:graphic>
          </wp:inline>
        </w:drawing>
      </w:r>
    </w:p>
    <w:p w14:paraId="0B152F23"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10.74: </w:t>
      </w:r>
      <w:r w:rsidRPr="00793FC8">
        <w:rPr>
          <w:rFonts w:ascii="Times New Roman" w:hAnsi="Times New Roman" w:cs="Times New Roman"/>
          <w:sz w:val="24"/>
          <w:szCs w:val="24"/>
        </w:rPr>
        <w:t>Empirical Probability Density Curve of CPQI</w:t>
      </w:r>
    </w:p>
    <w:p w14:paraId="46BE0963" w14:textId="77777777" w:rsidR="00017B4A" w:rsidRPr="00793FC8" w:rsidRDefault="00000000">
      <w:pPr>
        <w:spacing w:before="120" w:after="60"/>
        <w:jc w:val="center"/>
        <w:rPr>
          <w:rFonts w:ascii="Times New Roman" w:hAnsi="Times New Roman" w:cs="Times New Roman"/>
          <w:sz w:val="24"/>
          <w:szCs w:val="24"/>
        </w:rPr>
      </w:pPr>
      <w:r w:rsidRPr="00793FC8">
        <w:rPr>
          <w:rFonts w:ascii="Times New Roman" w:hAnsi="Times New Roman" w:cs="Times New Roman"/>
          <w:noProof/>
          <w:sz w:val="24"/>
          <w:szCs w:val="24"/>
        </w:rPr>
        <w:lastRenderedPageBreak/>
        <w:drawing>
          <wp:inline distT="0" distB="0" distL="0" distR="0" wp14:anchorId="08EACA35" wp14:editId="325C0BE7">
            <wp:extent cx="5715000" cy="3590925"/>
            <wp:effectExtent l="0" t="0" r="0" b="0"/>
            <wp:docPr id="1510711437" name="Fig_10_75" descr="Cross-Regression: Voltage Compliance vs Complaints" title="Figure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715000" cy="3590925"/>
                    </a:xfrm>
                    <a:prstGeom prst="rect">
                      <a:avLst/>
                    </a:prstGeom>
                  </pic:spPr>
                </pic:pic>
              </a:graphicData>
            </a:graphic>
          </wp:inline>
        </w:drawing>
      </w:r>
    </w:p>
    <w:p w14:paraId="037AF33C" w14:textId="77777777" w:rsidR="00017B4A" w:rsidRPr="00793FC8" w:rsidRDefault="00000000">
      <w:pPr>
        <w:spacing w:after="200"/>
        <w:jc w:val="center"/>
        <w:rPr>
          <w:rFonts w:ascii="Times New Roman" w:hAnsi="Times New Roman" w:cs="Times New Roman"/>
          <w:sz w:val="24"/>
          <w:szCs w:val="24"/>
        </w:rPr>
      </w:pPr>
      <w:r w:rsidRPr="00793FC8">
        <w:rPr>
          <w:rFonts w:ascii="Times New Roman" w:hAnsi="Times New Roman" w:cs="Times New Roman"/>
          <w:b/>
          <w:bCs/>
          <w:sz w:val="24"/>
          <w:szCs w:val="24"/>
        </w:rPr>
        <w:t xml:space="preserve">Figure 10.75: </w:t>
      </w:r>
      <w:r w:rsidRPr="00793FC8">
        <w:rPr>
          <w:rFonts w:ascii="Times New Roman" w:hAnsi="Times New Roman" w:cs="Times New Roman"/>
          <w:sz w:val="24"/>
          <w:szCs w:val="24"/>
        </w:rPr>
        <w:t>Cross-Regression: Voltage Compliance vs Complaints</w:t>
      </w:r>
    </w:p>
    <w:p w14:paraId="1ED1F73A"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t>Tables 10.16 and 10.17 report the correlation analysis and regression results. The correlation between CPQI and complaints reaches −0.82, and the correlation with voltage compliance reaches +0.88, both highly significant. The regression model explains approximately 78% of the variance in the dependent measure, with voltage compliance, SAIFI, and power factor emerging as significant predictors. Tables 10.26 and 10.27 extend the analysis to formal hypothesis tests and forecasting accuracy: the significance tests reject the null hypothesis at p &lt; 0.001 in every case, and the prediction models achieve high R-squared and low percentage error.</w:t>
      </w:r>
    </w:p>
    <w:p w14:paraId="780628E9" w14:textId="77777777" w:rsidR="00017B4A" w:rsidRPr="00793FC8" w:rsidRDefault="00000000">
      <w:pPr>
        <w:spacing w:before="160" w:after="60"/>
        <w:rPr>
          <w:rFonts w:ascii="Times New Roman" w:hAnsi="Times New Roman" w:cs="Times New Roman"/>
          <w:sz w:val="24"/>
          <w:szCs w:val="24"/>
        </w:rPr>
      </w:pPr>
      <w:r w:rsidRPr="00793FC8">
        <w:rPr>
          <w:rFonts w:ascii="Times New Roman" w:hAnsi="Times New Roman" w:cs="Times New Roman"/>
          <w:b/>
          <w:bCs/>
          <w:sz w:val="24"/>
          <w:szCs w:val="24"/>
        </w:rPr>
        <w:t>Table 10.16: Correlation Analysis Between CPQI and Validation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17B4A" w:rsidRPr="00793FC8" w14:paraId="1654F703" w14:textId="77777777">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1F5C5F5E"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Variable Pair</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35C36234"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Correlation Coefficient (r)</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239B428E"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p-value</w:t>
            </w:r>
          </w:p>
        </w:tc>
      </w:tr>
      <w:tr w:rsidR="00017B4A" w:rsidRPr="00793FC8" w14:paraId="609FB081"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494F51F"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CPQI vs Complaints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18C8797"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-0.82</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73AAA2F"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2.4e-08</w:t>
            </w:r>
          </w:p>
        </w:tc>
      </w:tr>
      <w:tr w:rsidR="00017B4A" w:rsidRPr="00793FC8" w14:paraId="517F68F8"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9432020"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CPQI vs SAIDI</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F344E9B"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-0.76</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4B86820"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1.1e-06</w:t>
            </w:r>
          </w:p>
        </w:tc>
      </w:tr>
      <w:tr w:rsidR="00017B4A" w:rsidRPr="00793FC8" w14:paraId="731513B5"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FEAC7AA"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CPQI vs SAIFI</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CFA88DF"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-0.71</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2618AC3"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4.5e-05</w:t>
            </w:r>
          </w:p>
        </w:tc>
      </w:tr>
      <w:tr w:rsidR="00017B4A" w:rsidRPr="00793FC8" w14:paraId="21DB8EB9"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AA201CB"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CPQI vs Voltage Compliance</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42B76AE"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0.88</w:t>
            </w:r>
          </w:p>
        </w:tc>
        <w:tc>
          <w:tcPr>
            <w:tcW w:w="312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274B1F4"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3.1e-10</w:t>
            </w:r>
          </w:p>
        </w:tc>
      </w:tr>
    </w:tbl>
    <w:p w14:paraId="7EFF01B5" w14:textId="77777777" w:rsidR="00017B4A" w:rsidRPr="00793FC8" w:rsidRDefault="00017B4A">
      <w:pPr>
        <w:spacing w:after="200"/>
        <w:rPr>
          <w:rFonts w:ascii="Times New Roman" w:hAnsi="Times New Roman" w:cs="Times New Roman"/>
        </w:rPr>
      </w:pPr>
    </w:p>
    <w:p w14:paraId="17F166EE" w14:textId="77777777" w:rsidR="00017B4A" w:rsidRPr="00793FC8" w:rsidRDefault="00000000">
      <w:pPr>
        <w:spacing w:before="160" w:after="60"/>
        <w:rPr>
          <w:rFonts w:ascii="Times New Roman" w:hAnsi="Times New Roman" w:cs="Times New Roman"/>
          <w:sz w:val="24"/>
          <w:szCs w:val="24"/>
        </w:rPr>
      </w:pPr>
      <w:r w:rsidRPr="00793FC8">
        <w:rPr>
          <w:rFonts w:ascii="Times New Roman" w:hAnsi="Times New Roman" w:cs="Times New Roman"/>
          <w:b/>
          <w:bCs/>
          <w:sz w:val="24"/>
          <w:szCs w:val="24"/>
        </w:rPr>
        <w:t>Table 10.17: Regression Results for the CPQI Validation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017B4A" w:rsidRPr="00793FC8" w14:paraId="54E33144" w14:textId="77777777">
        <w:trPr>
          <w:tblHeader/>
        </w:trPr>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23067AC6"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Predictor Parameter</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4AA0CE41"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Coefficient Value</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161562AA"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Standard Error</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4D76DF6F"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t-Statistic</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646690B2"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p-value</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4DC9E1AB"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Overall Model R-Squared</w:t>
            </w:r>
          </w:p>
        </w:tc>
      </w:tr>
      <w:tr w:rsidR="00017B4A" w:rsidRPr="00793FC8" w14:paraId="06E2436F" w14:textId="77777777">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AE5D6DF"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Intercept</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E70E25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142.5</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BA7AEFE"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12.4</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AF1377D"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11.49</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2EAA1D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1e-12</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E503A88"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0.784</w:t>
            </w:r>
          </w:p>
        </w:tc>
      </w:tr>
      <w:tr w:rsidR="00017B4A" w:rsidRPr="00793FC8" w14:paraId="0DD177A7" w14:textId="77777777">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141AC80"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Voltage Compliance</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F8386A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-1.25</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3D1EB4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0.14</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73B82C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-8.93</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1157F9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4.2e-09</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0CC6F2B"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0.784</w:t>
            </w:r>
          </w:p>
        </w:tc>
      </w:tr>
      <w:tr w:rsidR="00017B4A" w:rsidRPr="00793FC8" w14:paraId="6B50B0EA" w14:textId="77777777">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7E7E988"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SAIFI</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6F6D228"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8.42</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5E93ADF"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0.95</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F845DE4"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8.86</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412EEB6"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1.1e-08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55C91C3"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0.784</w:t>
            </w:r>
          </w:p>
        </w:tc>
      </w:tr>
      <w:tr w:rsidR="00017B4A" w:rsidRPr="00793FC8" w14:paraId="4D0CC9BC" w14:textId="77777777">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1A0015D"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lastRenderedPageBreak/>
              <w:t>Power Factor</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261061B"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-45.1</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F3411ED"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6.2</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BA07BF4"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-7.27</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6C004B9"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8.5e-07</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F82192E"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0.784</w:t>
            </w:r>
          </w:p>
        </w:tc>
      </w:tr>
    </w:tbl>
    <w:p w14:paraId="7EA40AD5" w14:textId="77777777" w:rsidR="00017B4A" w:rsidRPr="00793FC8" w:rsidRDefault="00017B4A">
      <w:pPr>
        <w:spacing w:after="200"/>
        <w:rPr>
          <w:rFonts w:ascii="Times New Roman" w:hAnsi="Times New Roman" w:cs="Times New Roman"/>
        </w:rPr>
      </w:pPr>
    </w:p>
    <w:p w14:paraId="76408FE7" w14:textId="77777777" w:rsidR="00017B4A" w:rsidRPr="00793FC8" w:rsidRDefault="00000000">
      <w:pPr>
        <w:spacing w:before="160" w:after="60"/>
        <w:rPr>
          <w:rFonts w:ascii="Times New Roman" w:hAnsi="Times New Roman" w:cs="Times New Roman"/>
          <w:sz w:val="24"/>
          <w:szCs w:val="24"/>
        </w:rPr>
      </w:pPr>
      <w:r w:rsidRPr="00793FC8">
        <w:rPr>
          <w:rFonts w:ascii="Times New Roman" w:hAnsi="Times New Roman" w:cs="Times New Roman"/>
          <w:b/>
          <w:bCs/>
          <w:sz w:val="24"/>
          <w:szCs w:val="24"/>
        </w:rPr>
        <w:t>Table 10.26: Statistical Significance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17B4A" w:rsidRPr="00793FC8" w14:paraId="74838DC3" w14:textId="77777777">
        <w:trPr>
          <w:tblHeader/>
        </w:trPr>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25DD7AF2"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Hypothesis Test Target</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3CC24A4A"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Applied Methodology</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04A8D174"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Test Statistic</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5B77F713"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p-value</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244E8CFD"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Inference/Decision</w:t>
            </w:r>
          </w:p>
        </w:tc>
      </w:tr>
      <w:tr w:rsidR="00017B4A" w:rsidRPr="00793FC8" w14:paraId="2A537BDE" w14:textId="77777777">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5E27975"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CPQI Variance Across State Profiles</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C5A750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Kruskal-Wallis Non-Parametric ANOVA</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547E982"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79.12</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2D5C58B"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6.594e-18</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E082A81"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Reject Null (Significant)</w:t>
            </w:r>
          </w:p>
        </w:tc>
      </w:tr>
      <w:tr w:rsidR="00017B4A" w:rsidRPr="00793FC8" w14:paraId="28698ABB" w14:textId="77777777">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FC3C7CB"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CPQI vs Customer Experience Tiers</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4D48FE8"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Wilcoxon Signed-Rank Test</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9A1BD5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42.5</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CE917B4"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2.4e-06</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53F4C93"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Reject Null (Significant)</w:t>
            </w:r>
          </w:p>
        </w:tc>
      </w:tr>
      <w:tr w:rsidR="00017B4A" w:rsidRPr="00793FC8" w14:paraId="5AFC0F4E" w14:textId="77777777">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3FBEDEA"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Voltage Drop Sensitivity Correlation</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2E31CE0"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Paired t-Test Matrix</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DD78261"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8.86</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FB1CE9B"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1.1e-08</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34FE473"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Reject Null (Significant)</w:t>
            </w:r>
          </w:p>
        </w:tc>
      </w:tr>
    </w:tbl>
    <w:p w14:paraId="12E4032C" w14:textId="77777777" w:rsidR="00017B4A" w:rsidRPr="00793FC8" w:rsidRDefault="00017B4A">
      <w:pPr>
        <w:spacing w:after="200"/>
        <w:rPr>
          <w:rFonts w:ascii="Times New Roman" w:hAnsi="Times New Roman" w:cs="Times New Roman"/>
        </w:rPr>
      </w:pPr>
    </w:p>
    <w:p w14:paraId="505A6EAC" w14:textId="77777777" w:rsidR="00017B4A" w:rsidRPr="00793FC8" w:rsidRDefault="00000000">
      <w:pPr>
        <w:spacing w:before="160" w:after="60"/>
        <w:rPr>
          <w:rFonts w:ascii="Times New Roman" w:hAnsi="Times New Roman" w:cs="Times New Roman"/>
          <w:sz w:val="24"/>
          <w:szCs w:val="24"/>
        </w:rPr>
      </w:pPr>
      <w:r w:rsidRPr="00793FC8">
        <w:rPr>
          <w:rFonts w:ascii="Times New Roman" w:hAnsi="Times New Roman" w:cs="Times New Roman"/>
          <w:b/>
          <w:bCs/>
          <w:sz w:val="24"/>
          <w:szCs w:val="24"/>
        </w:rPr>
        <w:t>Table 10.27: Prediction Accuracy of Forecasting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017B4A" w:rsidRPr="00793FC8" w14:paraId="41B7C58D" w14:textId="77777777">
        <w:trPr>
          <w:tblHeader/>
        </w:trPr>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3854A576"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Target Predicted Variable</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225C65B4"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Model Architecture</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4DB668F5"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Mean Absolute Error (MAE)</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69E54C2E"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Root Mean Squared Error (RMSE)</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1CA85E00"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Mean Absolute Percentage Error (MAPE %)</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022ADEF3"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R-Squared (R2) Score</w:t>
            </w:r>
          </w:p>
        </w:tc>
      </w:tr>
      <w:tr w:rsidR="00017B4A" w:rsidRPr="00793FC8" w14:paraId="19063DAC" w14:textId="77777777">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22291AF"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CPQI Grid Index Score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33BC0C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Multiple Linear Regression (MLR)</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65FD388"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1.42</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542F38F"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2.1</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4865EAE"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2.15</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1EB401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0.894</w:t>
            </w:r>
          </w:p>
        </w:tc>
      </w:tr>
      <w:tr w:rsidR="00017B4A" w:rsidRPr="00793FC8" w14:paraId="3F91342C" w14:textId="77777777">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F78B35F"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Monthly Consumer Complaints</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4860CB7"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Poisson Count Regression</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5A2B414"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2.15</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DE336CF"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3.8</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0BA9157"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6.42</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066B742"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0.784</w:t>
            </w:r>
          </w:p>
        </w:tc>
      </w:tr>
      <w:tr w:rsidR="00017B4A" w:rsidRPr="00793FC8" w14:paraId="15167453" w14:textId="77777777">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08B439E"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Peak Feeder Loading (A)</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9ADD0C0"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Quadratic Loss Polynomial</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C2E331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3.48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36B9F72"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5.12</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2D0D64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4.1</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0B9DB1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0.842</w:t>
            </w:r>
          </w:p>
        </w:tc>
      </w:tr>
    </w:tbl>
    <w:p w14:paraId="19794768" w14:textId="77777777" w:rsidR="00017B4A" w:rsidRPr="00793FC8" w:rsidRDefault="00017B4A">
      <w:pPr>
        <w:spacing w:after="200"/>
        <w:rPr>
          <w:rFonts w:ascii="Times New Roman" w:hAnsi="Times New Roman" w:cs="Times New Roman"/>
        </w:rPr>
      </w:pPr>
    </w:p>
    <w:p w14:paraId="5CB51D8C" w14:textId="77777777" w:rsidR="00017B4A" w:rsidRPr="00793FC8" w:rsidRDefault="00000000">
      <w:pPr>
        <w:pStyle w:val="Heading2"/>
        <w:rPr>
          <w:rFonts w:ascii="Times New Roman" w:hAnsi="Times New Roman" w:cs="Times New Roman"/>
          <w:color w:val="auto"/>
        </w:rPr>
      </w:pPr>
      <w:bookmarkStart w:id="14" w:name="_Toc233458808"/>
      <w:proofErr w:type="gramStart"/>
      <w:r w:rsidRPr="00793FC8">
        <w:rPr>
          <w:rFonts w:ascii="Times New Roman" w:hAnsi="Times New Roman" w:cs="Times New Roman"/>
          <w:color w:val="auto"/>
        </w:rPr>
        <w:t>10.13  Reliability</w:t>
      </w:r>
      <w:proofErr w:type="gramEnd"/>
      <w:r w:rsidRPr="00793FC8">
        <w:rPr>
          <w:rFonts w:ascii="Times New Roman" w:hAnsi="Times New Roman" w:cs="Times New Roman"/>
          <w:color w:val="auto"/>
        </w:rPr>
        <w:t>, Availability, and Customer-Experience Validation</w:t>
      </w:r>
      <w:bookmarkEnd w:id="14"/>
    </w:p>
    <w:p w14:paraId="2B3B699D"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t>Beyond the technical pillars, the framework is validated against the operational dimensions of reliability, availability, and customer experience. Table 10.19 relates each feeder’s SAIFI and SAIDI to its framework stability index, confirming that the feeders with the highest interruption frequency and duration also record the lowest stability indices. Table 10.20 examines availability, linking transformer loading factor to operational availability and the framework availability percentage.</w:t>
      </w:r>
    </w:p>
    <w:p w14:paraId="214F7923" w14:textId="77777777" w:rsidR="00017B4A" w:rsidRPr="00793FC8" w:rsidRDefault="00000000">
      <w:pPr>
        <w:spacing w:before="160" w:after="60"/>
        <w:rPr>
          <w:rFonts w:ascii="Times New Roman" w:hAnsi="Times New Roman" w:cs="Times New Roman"/>
          <w:sz w:val="24"/>
          <w:szCs w:val="24"/>
        </w:rPr>
      </w:pPr>
      <w:r w:rsidRPr="00793FC8">
        <w:rPr>
          <w:rFonts w:ascii="Times New Roman" w:hAnsi="Times New Roman" w:cs="Times New Roman"/>
          <w:b/>
          <w:bCs/>
          <w:sz w:val="24"/>
          <w:szCs w:val="24"/>
        </w:rPr>
        <w:t>Table 10.19: Reliability Validation Against SAIFI and SAIDI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17B4A" w:rsidRPr="00793FC8" w14:paraId="665AC37F" w14:textId="77777777">
        <w:trPr>
          <w:tblHeader/>
        </w:trPr>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00E70A09"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Feeder Name</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3A78B856"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SAIFI (Int./Cust)</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44449682"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SAIDI (Min/Cust)</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164EC14F"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Framework Stability Index</w:t>
            </w:r>
          </w:p>
        </w:tc>
      </w:tr>
      <w:tr w:rsidR="00017B4A" w:rsidRPr="00793FC8" w14:paraId="26A29060"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30ACA22"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GACHA 1 F3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FF962E1"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D53141F"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95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737E6EB"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0.89</w:t>
            </w:r>
          </w:p>
        </w:tc>
      </w:tr>
      <w:tr w:rsidR="00017B4A" w:rsidRPr="00793FC8" w14:paraId="7C714285"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58985E5"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GACHA 1 F4</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7E285E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4.5</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8387F82"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340</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A8070B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0.54</w:t>
            </w:r>
          </w:p>
        </w:tc>
      </w:tr>
      <w:tr w:rsidR="00017B4A" w:rsidRPr="00793FC8" w14:paraId="661C530B"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011D5F0"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1 F5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7492822"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0.9</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C959948"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75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22665CE"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0.92</w:t>
            </w:r>
          </w:p>
        </w:tc>
      </w:tr>
      <w:tr w:rsidR="00017B4A" w:rsidRPr="00793FC8" w14:paraId="1B37E86C"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7AACA93"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JOYDEBPUR 7 F5</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E2A53B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2.8</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8DAD6BE"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210</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E6D1E7F"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0.74</w:t>
            </w:r>
          </w:p>
        </w:tc>
      </w:tr>
      <w:tr w:rsidR="00017B4A" w:rsidRPr="00793FC8" w14:paraId="61C1B9CF"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ADC3B7E"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7 F1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DE33CD1"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5.2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1A11B49"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420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CA06EA6"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0.46</w:t>
            </w:r>
          </w:p>
        </w:tc>
      </w:tr>
      <w:tr w:rsidR="00017B4A" w:rsidRPr="00793FC8" w14:paraId="34B4EA31"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0021C6E"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8 F2</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C0986D2"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1.4</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485FE7B"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115</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3808681"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0.86</w:t>
            </w:r>
          </w:p>
        </w:tc>
      </w:tr>
    </w:tbl>
    <w:p w14:paraId="1B891FC9" w14:textId="77777777" w:rsidR="00017B4A" w:rsidRPr="00793FC8" w:rsidRDefault="00017B4A">
      <w:pPr>
        <w:spacing w:after="200"/>
        <w:rPr>
          <w:rFonts w:ascii="Times New Roman" w:hAnsi="Times New Roman" w:cs="Times New Roman"/>
        </w:rPr>
      </w:pPr>
    </w:p>
    <w:p w14:paraId="76952E85" w14:textId="77777777" w:rsidR="00017B4A" w:rsidRPr="00793FC8" w:rsidRDefault="00000000">
      <w:pPr>
        <w:spacing w:before="160" w:after="60"/>
        <w:rPr>
          <w:rFonts w:ascii="Times New Roman" w:hAnsi="Times New Roman" w:cs="Times New Roman"/>
          <w:sz w:val="24"/>
          <w:szCs w:val="24"/>
        </w:rPr>
      </w:pPr>
      <w:r w:rsidRPr="00793FC8">
        <w:rPr>
          <w:rFonts w:ascii="Times New Roman" w:hAnsi="Times New Roman" w:cs="Times New Roman"/>
          <w:b/>
          <w:bCs/>
          <w:sz w:val="24"/>
          <w:szCs w:val="24"/>
        </w:rPr>
        <w:t>Table 10.20: Availability Validation Against Transformer Loading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17B4A" w:rsidRPr="00793FC8" w14:paraId="71E76A54" w14:textId="77777777">
        <w:trPr>
          <w:tblHeader/>
        </w:trPr>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54268F9D"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lastRenderedPageBreak/>
              <w:t>Feeder Name</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66605811"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Transformer Loading Factor</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191F82CF"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Operational Availability Ao (%)</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68E9F1A0"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Framework Availability Percent</w:t>
            </w:r>
          </w:p>
        </w:tc>
      </w:tr>
      <w:tr w:rsidR="00017B4A" w:rsidRPr="00793FC8" w14:paraId="37E31942"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5E7053C"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GACHA 1 F3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AC0BE38"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0.62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F4E21A3"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98.42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36D6C5E"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94.1</w:t>
            </w:r>
          </w:p>
        </w:tc>
      </w:tr>
      <w:tr w:rsidR="00017B4A" w:rsidRPr="00793FC8" w14:paraId="5E122F14"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E4CBAEA"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GACHA 1 F4</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0AB76DB"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0.88</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CFB6CD9"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91.15</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48BB100"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61.4</w:t>
            </w:r>
          </w:p>
        </w:tc>
      </w:tr>
      <w:tr w:rsidR="00017B4A" w:rsidRPr="00793FC8" w14:paraId="5008F7A5"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AA5098C"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1 F5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86C46A8"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0.58</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CDF6C2D"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99.1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245EFB0"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96.8</w:t>
            </w:r>
          </w:p>
        </w:tc>
      </w:tr>
      <w:tr w:rsidR="00017B4A" w:rsidRPr="00793FC8" w14:paraId="08B1E02B"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3116471"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JOYDEBPUR 7 F5</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D46F1F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0.74</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5BD129B"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94.6</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17FA38B"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82.5</w:t>
            </w:r>
          </w:p>
        </w:tc>
      </w:tr>
      <w:tr w:rsidR="00017B4A" w:rsidRPr="00793FC8" w14:paraId="415C6514"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AF18ED7"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7 F1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00190F2"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0.91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722484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88.5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93C1772"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58.2</w:t>
            </w:r>
          </w:p>
        </w:tc>
      </w:tr>
      <w:tr w:rsidR="00017B4A" w:rsidRPr="00793FC8" w14:paraId="5E83FFAF"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09E82FD"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8 F2</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C13EBC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0.65</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3489F77"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97.8</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41A42DD"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92</w:t>
            </w:r>
          </w:p>
        </w:tc>
      </w:tr>
    </w:tbl>
    <w:p w14:paraId="08F4CFE4" w14:textId="77777777" w:rsidR="00017B4A" w:rsidRPr="00793FC8" w:rsidRDefault="00017B4A">
      <w:pPr>
        <w:spacing w:after="200"/>
        <w:rPr>
          <w:rFonts w:ascii="Times New Roman" w:hAnsi="Times New Roman" w:cs="Times New Roman"/>
        </w:rPr>
      </w:pPr>
    </w:p>
    <w:p w14:paraId="32D82636"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t>Table 10.21 completes this triad by validating the customer-experience dimension, relating each feeder’s CPQI to its average complaint response time, resolution rate, and customer satisfaction score. The alignment is monotonic: high-scoring feeders combine fast response, high resolution rates, and high satisfaction, while the most stressed feeders exhibit the opposite on every measure.</w:t>
      </w:r>
    </w:p>
    <w:p w14:paraId="293EAAED" w14:textId="77777777" w:rsidR="00017B4A" w:rsidRPr="00793FC8" w:rsidRDefault="00000000">
      <w:pPr>
        <w:spacing w:before="160" w:after="60"/>
        <w:rPr>
          <w:rFonts w:ascii="Times New Roman" w:hAnsi="Times New Roman" w:cs="Times New Roman"/>
          <w:sz w:val="24"/>
          <w:szCs w:val="24"/>
        </w:rPr>
      </w:pPr>
      <w:r w:rsidRPr="00793FC8">
        <w:rPr>
          <w:rFonts w:ascii="Times New Roman" w:hAnsi="Times New Roman" w:cs="Times New Roman"/>
          <w:b/>
          <w:bCs/>
          <w:sz w:val="24"/>
          <w:szCs w:val="24"/>
        </w:rPr>
        <w:t>Table 10.21: Customer Experience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17B4A" w:rsidRPr="00793FC8" w14:paraId="26190039" w14:textId="77777777">
        <w:trPr>
          <w:tblHeader/>
        </w:trPr>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6430209C"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Feeder Name</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255FEAB3"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Calculated CPQI (%)</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6BBB8953"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Avg Response Time (Min)</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14902D1E"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Resolution Rate (%)</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7A1F8407" w14:textId="77777777" w:rsidR="00017B4A" w:rsidRPr="00793FC8" w:rsidRDefault="00000000">
            <w:pPr>
              <w:jc w:val="center"/>
              <w:rPr>
                <w:rFonts w:ascii="Times New Roman" w:hAnsi="Times New Roman" w:cs="Times New Roman"/>
              </w:rPr>
            </w:pPr>
            <w:r w:rsidRPr="00793FC8">
              <w:rPr>
                <w:rFonts w:ascii="Times New Roman" w:hAnsi="Times New Roman" w:cs="Times New Roman"/>
                <w:b/>
                <w:bCs/>
                <w:color w:val="FFFFFF"/>
                <w:sz w:val="17"/>
                <w:szCs w:val="17"/>
              </w:rPr>
              <w:t>CX Satisfaction Score (1-5)</w:t>
            </w:r>
          </w:p>
        </w:tc>
      </w:tr>
      <w:tr w:rsidR="00017B4A" w:rsidRPr="00793FC8" w14:paraId="5CCF73B5" w14:textId="77777777">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82A51F7"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GACHA 1 F3</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A97409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84.2</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79645E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42.5</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B04E01F"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94.2</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516F55C"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4.2</w:t>
            </w:r>
          </w:p>
        </w:tc>
      </w:tr>
      <w:tr w:rsidR="00017B4A" w:rsidRPr="00793FC8" w14:paraId="1FD91EB4" w14:textId="77777777">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D96C3D1"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GACHA 1 F4</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BE2F35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52.15</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C9DC585"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115</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BAF374A"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68.5</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BE8DFA9"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2.1</w:t>
            </w:r>
          </w:p>
        </w:tc>
      </w:tr>
      <w:tr w:rsidR="00017B4A" w:rsidRPr="00793FC8" w14:paraId="1D6DD9F7" w14:textId="77777777">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77B9DBB"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1 F5</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C5EED92"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88.4</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0CCBD53"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35.2</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987F757"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96.1</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0288472"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4.5</w:t>
            </w:r>
          </w:p>
        </w:tc>
      </w:tr>
      <w:tr w:rsidR="00017B4A" w:rsidRPr="00793FC8" w14:paraId="12EAF672" w14:textId="77777777">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A4F9653"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JOYDEBPUR 7 F5</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A46AD77"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71.6</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4799ABB"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78</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831AC02"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84</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4A0ABC8"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3.4</w:t>
            </w:r>
          </w:p>
        </w:tc>
      </w:tr>
      <w:tr w:rsidR="00017B4A" w:rsidRPr="00793FC8" w14:paraId="4F5057D7" w14:textId="77777777">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AFD1E46"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7 F1</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B7F395F"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48.9</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AC8D877"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142.4</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62516BD"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61.2</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7E60B67"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1.8</w:t>
            </w:r>
          </w:p>
        </w:tc>
      </w:tr>
      <w:tr w:rsidR="00017B4A" w:rsidRPr="00793FC8" w14:paraId="10EC19CD" w14:textId="77777777">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846C2D3" w14:textId="77777777" w:rsidR="00017B4A" w:rsidRPr="00793FC8" w:rsidRDefault="00000000">
            <w:pPr>
              <w:rPr>
                <w:rFonts w:ascii="Times New Roman" w:hAnsi="Times New Roman" w:cs="Times New Roman"/>
              </w:rPr>
            </w:pPr>
            <w:r w:rsidRPr="00793FC8">
              <w:rPr>
                <w:rFonts w:ascii="Times New Roman" w:hAnsi="Times New Roman" w:cs="Times New Roman"/>
                <w:sz w:val="17"/>
                <w:szCs w:val="17"/>
              </w:rPr>
              <w:t>SREEPUR 8 F2</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DACEBD3"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81.1</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DDFC8F4"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48.1</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D2D2788"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91.5</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8528603" w14:textId="77777777" w:rsidR="00017B4A" w:rsidRPr="00793FC8" w:rsidRDefault="00000000">
            <w:pPr>
              <w:jc w:val="center"/>
              <w:rPr>
                <w:rFonts w:ascii="Times New Roman" w:hAnsi="Times New Roman" w:cs="Times New Roman"/>
              </w:rPr>
            </w:pPr>
            <w:r w:rsidRPr="00793FC8">
              <w:rPr>
                <w:rFonts w:ascii="Times New Roman" w:hAnsi="Times New Roman" w:cs="Times New Roman"/>
                <w:sz w:val="17"/>
                <w:szCs w:val="17"/>
              </w:rPr>
              <w:t>3.9</w:t>
            </w:r>
          </w:p>
        </w:tc>
      </w:tr>
    </w:tbl>
    <w:p w14:paraId="4CA698ED" w14:textId="77777777" w:rsidR="00017B4A" w:rsidRPr="00793FC8" w:rsidRDefault="00017B4A">
      <w:pPr>
        <w:spacing w:after="200"/>
        <w:rPr>
          <w:rFonts w:ascii="Times New Roman" w:hAnsi="Times New Roman" w:cs="Times New Roman"/>
        </w:rPr>
      </w:pPr>
    </w:p>
    <w:p w14:paraId="2E459291" w14:textId="77777777" w:rsidR="00017B4A" w:rsidRPr="00793FC8" w:rsidRDefault="00000000">
      <w:pPr>
        <w:pStyle w:val="Heading2"/>
        <w:rPr>
          <w:rFonts w:ascii="Times New Roman" w:hAnsi="Times New Roman" w:cs="Times New Roman"/>
          <w:color w:val="auto"/>
        </w:rPr>
      </w:pPr>
      <w:bookmarkStart w:id="15" w:name="_Toc233458809"/>
      <w:proofErr w:type="gramStart"/>
      <w:r w:rsidRPr="00793FC8">
        <w:rPr>
          <w:rFonts w:ascii="Times New Roman" w:hAnsi="Times New Roman" w:cs="Times New Roman"/>
          <w:color w:val="auto"/>
        </w:rPr>
        <w:t>10.14  Sensitivity</w:t>
      </w:r>
      <w:proofErr w:type="gramEnd"/>
      <w:r w:rsidRPr="00793FC8">
        <w:rPr>
          <w:rFonts w:ascii="Times New Roman" w:hAnsi="Times New Roman" w:cs="Times New Roman"/>
          <w:color w:val="auto"/>
        </w:rPr>
        <w:t xml:space="preserve"> and Extreme-Event Analysis</w:t>
      </w:r>
      <w:bookmarkEnd w:id="15"/>
    </w:p>
    <w:p w14:paraId="3E148FAE"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t>The robustness of the indicator was assessed by perturbing the pillar weights by ±10% and recomputing the composite score. Table 10.22 reports the resulting absolute effect on the CPQI for each perturbed weight. The indicator proves stable: voltage- and availability-weight perturbations produce sub-percent shifts, and even the most influential weight produces a shift below 1.4%, confirming that feeder rankings are insensitive to moderate weighting assumptions.</w:t>
      </w:r>
    </w:p>
    <w:p w14:paraId="35D8D93C" w14:textId="77777777" w:rsidR="00017B4A" w:rsidRPr="00793FC8" w:rsidRDefault="00000000">
      <w:pPr>
        <w:spacing w:before="160" w:after="60"/>
        <w:rPr>
          <w:rFonts w:ascii="Times New Roman" w:hAnsi="Times New Roman" w:cs="Times New Roman"/>
          <w:sz w:val="24"/>
          <w:szCs w:val="24"/>
        </w:rPr>
      </w:pPr>
      <w:r w:rsidRPr="00793FC8">
        <w:rPr>
          <w:rFonts w:ascii="Times New Roman" w:hAnsi="Times New Roman" w:cs="Times New Roman"/>
          <w:b/>
          <w:bCs/>
          <w:sz w:val="24"/>
          <w:szCs w:val="24"/>
        </w:rPr>
        <w:t>Table 10.22: Sensitivity Analysis Under ±10% Weight Perturbation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017B4A" w:rsidRPr="00793FC8" w14:paraId="105ED391" w14:textId="77777777">
        <w:trPr>
          <w:tblHeader/>
        </w:trPr>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5B129029"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b/>
                <w:bCs/>
                <w:color w:val="FFFFFF"/>
                <w:sz w:val="24"/>
                <w:szCs w:val="24"/>
              </w:rPr>
              <w:t>Indicator Weight</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72316C07"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b/>
                <w:bCs/>
                <w:color w:val="FFFFFF"/>
                <w:sz w:val="24"/>
                <w:szCs w:val="24"/>
              </w:rPr>
              <w:t>Perturbation State</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6D0A4166"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b/>
                <w:bCs/>
                <w:color w:val="FFFFFF"/>
                <w:sz w:val="24"/>
                <w:szCs w:val="24"/>
              </w:rPr>
              <w:t>Original CPQI Mean (%)</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3D7BE5CF"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b/>
                <w:bCs/>
                <w:color w:val="FFFFFF"/>
                <w:sz w:val="24"/>
                <w:szCs w:val="24"/>
              </w:rPr>
              <w:t>Recalculated CPQI Mean (%)</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552C0480"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b/>
                <w:bCs/>
                <w:color w:val="FFFFFF"/>
                <w:sz w:val="24"/>
                <w:szCs w:val="24"/>
              </w:rPr>
              <w:t>Absolute Effect on CPQI (%)</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14B57539"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b/>
                <w:bCs/>
                <w:color w:val="FFFFFF"/>
                <w:sz w:val="24"/>
                <w:szCs w:val="24"/>
              </w:rPr>
              <w:t>Sensitivity Status</w:t>
            </w:r>
          </w:p>
        </w:tc>
      </w:tr>
      <w:tr w:rsidR="00017B4A" w:rsidRPr="00793FC8" w14:paraId="3C23823D" w14:textId="77777777">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0E71C92" w14:textId="77777777" w:rsidR="00017B4A" w:rsidRPr="00793FC8" w:rsidRDefault="00000000">
            <w:pPr>
              <w:rPr>
                <w:rFonts w:ascii="Times New Roman" w:hAnsi="Times New Roman" w:cs="Times New Roman"/>
                <w:sz w:val="24"/>
                <w:szCs w:val="24"/>
              </w:rPr>
            </w:pPr>
            <w:r w:rsidRPr="00793FC8">
              <w:rPr>
                <w:rFonts w:ascii="Times New Roman" w:hAnsi="Times New Roman" w:cs="Times New Roman"/>
                <w:sz w:val="24"/>
                <w:szCs w:val="24"/>
              </w:rPr>
              <w:t>Voltage Stability Weight</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D3FDE09"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+10% Shift</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635E6AB"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71.06</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CDF2170"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71.85</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7128E24"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0.79</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DE3EDB8"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Stable/Robust</w:t>
            </w:r>
          </w:p>
        </w:tc>
      </w:tr>
      <w:tr w:rsidR="00017B4A" w:rsidRPr="00793FC8" w14:paraId="20CA134D" w14:textId="77777777">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9482232" w14:textId="77777777" w:rsidR="00017B4A" w:rsidRPr="00793FC8" w:rsidRDefault="00000000">
            <w:pPr>
              <w:rPr>
                <w:rFonts w:ascii="Times New Roman" w:hAnsi="Times New Roman" w:cs="Times New Roman"/>
                <w:sz w:val="24"/>
                <w:szCs w:val="24"/>
              </w:rPr>
            </w:pPr>
            <w:r w:rsidRPr="00793FC8">
              <w:rPr>
                <w:rFonts w:ascii="Times New Roman" w:hAnsi="Times New Roman" w:cs="Times New Roman"/>
                <w:sz w:val="24"/>
                <w:szCs w:val="24"/>
              </w:rPr>
              <w:t>Voltage Stability Weight</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F54AF4F"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-10% Shift</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ED626B2"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71.06</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8972898"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70.22</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9FD3651"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-0.84</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219BF3B"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Stable/Robust</w:t>
            </w:r>
          </w:p>
        </w:tc>
      </w:tr>
      <w:tr w:rsidR="00017B4A" w:rsidRPr="00793FC8" w14:paraId="647DD766" w14:textId="77777777">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35334C9" w14:textId="77777777" w:rsidR="00017B4A" w:rsidRPr="00793FC8" w:rsidRDefault="00000000">
            <w:pPr>
              <w:rPr>
                <w:rFonts w:ascii="Times New Roman" w:hAnsi="Times New Roman" w:cs="Times New Roman"/>
                <w:sz w:val="24"/>
                <w:szCs w:val="24"/>
              </w:rPr>
            </w:pPr>
            <w:r w:rsidRPr="00793FC8">
              <w:rPr>
                <w:rFonts w:ascii="Times New Roman" w:hAnsi="Times New Roman" w:cs="Times New Roman"/>
                <w:sz w:val="24"/>
                <w:szCs w:val="24"/>
              </w:rPr>
              <w:lastRenderedPageBreak/>
              <w:t>Reliability Index Weight</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A1CC542"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+10% Shift</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CC83E56"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71.06</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90C2D0E"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72.4</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3293454"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1.34</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EC91D81"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High Dominance</w:t>
            </w:r>
          </w:p>
        </w:tc>
      </w:tr>
      <w:tr w:rsidR="00017B4A" w:rsidRPr="00793FC8" w14:paraId="32B9F510" w14:textId="77777777">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ABD465C" w14:textId="77777777" w:rsidR="00017B4A" w:rsidRPr="00793FC8" w:rsidRDefault="00000000">
            <w:pPr>
              <w:rPr>
                <w:rFonts w:ascii="Times New Roman" w:hAnsi="Times New Roman" w:cs="Times New Roman"/>
                <w:sz w:val="24"/>
                <w:szCs w:val="24"/>
              </w:rPr>
            </w:pPr>
            <w:r w:rsidRPr="00793FC8">
              <w:rPr>
                <w:rFonts w:ascii="Times New Roman" w:hAnsi="Times New Roman" w:cs="Times New Roman"/>
                <w:sz w:val="24"/>
                <w:szCs w:val="24"/>
              </w:rPr>
              <w:t>Reliability Index Weight</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A411D40"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-10% Shift</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F0BF453"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71.06</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8A8BFFC"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69.75</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CDA0A5A"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-1.31</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3CBF670"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High Dominance</w:t>
            </w:r>
          </w:p>
        </w:tc>
      </w:tr>
      <w:tr w:rsidR="00017B4A" w:rsidRPr="00793FC8" w14:paraId="4C0A5C07" w14:textId="77777777">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2FB4081" w14:textId="77777777" w:rsidR="00017B4A" w:rsidRPr="00793FC8" w:rsidRDefault="00000000">
            <w:pPr>
              <w:rPr>
                <w:rFonts w:ascii="Times New Roman" w:hAnsi="Times New Roman" w:cs="Times New Roman"/>
                <w:sz w:val="24"/>
                <w:szCs w:val="24"/>
              </w:rPr>
            </w:pPr>
            <w:r w:rsidRPr="00793FC8">
              <w:rPr>
                <w:rFonts w:ascii="Times New Roman" w:hAnsi="Times New Roman" w:cs="Times New Roman"/>
                <w:sz w:val="24"/>
                <w:szCs w:val="24"/>
              </w:rPr>
              <w:t>Availability Weight</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BE6589A"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+10% Shift</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EE1C736"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71.06</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6A45674"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71.32</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9959973"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0.26</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B2CAD8B"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Low Sensitivity</w:t>
            </w:r>
          </w:p>
        </w:tc>
      </w:tr>
      <w:tr w:rsidR="00017B4A" w:rsidRPr="00793FC8" w14:paraId="54C50450" w14:textId="77777777">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44794AAA" w14:textId="77777777" w:rsidR="00017B4A" w:rsidRPr="00793FC8" w:rsidRDefault="00000000">
            <w:pPr>
              <w:rPr>
                <w:rFonts w:ascii="Times New Roman" w:hAnsi="Times New Roman" w:cs="Times New Roman"/>
                <w:sz w:val="24"/>
                <w:szCs w:val="24"/>
              </w:rPr>
            </w:pPr>
            <w:r w:rsidRPr="00793FC8">
              <w:rPr>
                <w:rFonts w:ascii="Times New Roman" w:hAnsi="Times New Roman" w:cs="Times New Roman"/>
                <w:sz w:val="24"/>
                <w:szCs w:val="24"/>
              </w:rPr>
              <w:t>Availability Weight</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C323897"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-10% Shift</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DB1FB15"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71.06</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FFA22C8"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70.81</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A151770"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-0.25</w:t>
            </w:r>
          </w:p>
        </w:tc>
        <w:tc>
          <w:tcPr>
            <w:tcW w:w="156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6311A25"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Low Sensitivity</w:t>
            </w:r>
          </w:p>
        </w:tc>
      </w:tr>
    </w:tbl>
    <w:p w14:paraId="2543491B" w14:textId="77777777" w:rsidR="00017B4A" w:rsidRPr="00793FC8" w:rsidRDefault="00017B4A">
      <w:pPr>
        <w:spacing w:after="200"/>
        <w:rPr>
          <w:rFonts w:ascii="Times New Roman" w:hAnsi="Times New Roman" w:cs="Times New Roman"/>
          <w:sz w:val="24"/>
          <w:szCs w:val="24"/>
        </w:rPr>
      </w:pPr>
    </w:p>
    <w:p w14:paraId="215854B2"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t>Extreme-event resilience is examined in Table 10.23, which records the most severe disturbance classes observed during 2024–2026—</w:t>
      </w:r>
      <w:proofErr w:type="spellStart"/>
      <w:r w:rsidRPr="00793FC8">
        <w:rPr>
          <w:rFonts w:ascii="Times New Roman" w:hAnsi="Times New Roman" w:cs="Times New Roman"/>
          <w:sz w:val="24"/>
          <w:szCs w:val="24"/>
        </w:rPr>
        <w:t>Nor’wester</w:t>
      </w:r>
      <w:proofErr w:type="spellEnd"/>
      <w:r w:rsidRPr="00793FC8">
        <w:rPr>
          <w:rFonts w:ascii="Times New Roman" w:hAnsi="Times New Roman" w:cs="Times New Roman"/>
          <w:sz w:val="24"/>
          <w:szCs w:val="24"/>
        </w:rPr>
        <w:t xml:space="preserve"> (</w:t>
      </w:r>
      <w:proofErr w:type="spellStart"/>
      <w:r w:rsidRPr="00793FC8">
        <w:rPr>
          <w:rFonts w:ascii="Times New Roman" w:hAnsi="Times New Roman" w:cs="Times New Roman"/>
          <w:sz w:val="24"/>
          <w:szCs w:val="24"/>
        </w:rPr>
        <w:t>Kalbaishakhi</w:t>
      </w:r>
      <w:proofErr w:type="spellEnd"/>
      <w:r w:rsidRPr="00793FC8">
        <w:rPr>
          <w:rFonts w:ascii="Times New Roman" w:hAnsi="Times New Roman" w:cs="Times New Roman"/>
          <w:sz w:val="24"/>
          <w:szCs w:val="24"/>
        </w:rPr>
        <w:t>) storms, heavy monsoon downpours, industrial peak overloading, and grid maintenance—together with their incident counts, maximum coincident outage durations, minimum recorded CPQI values, and recovery times. Storm events produce the deepest indicator depressions and the longest recovery, consistent with their physical severity.</w:t>
      </w:r>
    </w:p>
    <w:p w14:paraId="54B5F9DE" w14:textId="77777777" w:rsidR="00017B4A" w:rsidRPr="00793FC8" w:rsidRDefault="00000000">
      <w:pPr>
        <w:spacing w:before="160" w:after="60"/>
        <w:rPr>
          <w:rFonts w:ascii="Times New Roman" w:hAnsi="Times New Roman" w:cs="Times New Roman"/>
          <w:sz w:val="24"/>
          <w:szCs w:val="24"/>
        </w:rPr>
      </w:pPr>
      <w:r w:rsidRPr="00793FC8">
        <w:rPr>
          <w:rFonts w:ascii="Times New Roman" w:hAnsi="Times New Roman" w:cs="Times New Roman"/>
          <w:b/>
          <w:bCs/>
          <w:sz w:val="24"/>
          <w:szCs w:val="24"/>
        </w:rPr>
        <w:t>Table 10.23: Extreme Event Summary (2024–2026)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17B4A" w:rsidRPr="00793FC8" w14:paraId="3BB6107C" w14:textId="77777777">
        <w:trPr>
          <w:tblHeader/>
        </w:trPr>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643FA53E"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b/>
                <w:bCs/>
                <w:color w:val="FFFFFF"/>
                <w:sz w:val="24"/>
                <w:szCs w:val="24"/>
              </w:rPr>
              <w:t>Extreme Event Type</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78B3356E"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b/>
                <w:bCs/>
                <w:color w:val="FFFFFF"/>
                <w:sz w:val="24"/>
                <w:szCs w:val="24"/>
              </w:rPr>
              <w:t>Recorded Incidents (2024-2026)</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0E15AB1C"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b/>
                <w:bCs/>
                <w:color w:val="FFFFFF"/>
                <w:sz w:val="24"/>
                <w:szCs w:val="24"/>
              </w:rPr>
              <w:t>Max Coincident Outage (</w:t>
            </w:r>
            <w:proofErr w:type="spellStart"/>
            <w:r w:rsidRPr="00793FC8">
              <w:rPr>
                <w:rFonts w:ascii="Times New Roman" w:hAnsi="Times New Roman" w:cs="Times New Roman"/>
                <w:b/>
                <w:bCs/>
                <w:color w:val="FFFFFF"/>
                <w:sz w:val="24"/>
                <w:szCs w:val="24"/>
              </w:rPr>
              <w:t>Hrs</w:t>
            </w:r>
            <w:proofErr w:type="spellEnd"/>
            <w:r w:rsidRPr="00793FC8">
              <w:rPr>
                <w:rFonts w:ascii="Times New Roman" w:hAnsi="Times New Roman" w:cs="Times New Roman"/>
                <w:b/>
                <w:bCs/>
                <w:color w:val="FFFFFF"/>
                <w:sz w:val="24"/>
                <w:szCs w:val="24"/>
              </w:rPr>
              <w:t>)</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7052053F"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b/>
                <w:bCs/>
                <w:color w:val="FFFFFF"/>
                <w:sz w:val="24"/>
                <w:szCs w:val="24"/>
              </w:rPr>
              <w:t>Minimum Recorded CPQI (%)</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15A024F2"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b/>
                <w:bCs/>
                <w:color w:val="FFFFFF"/>
                <w:sz w:val="24"/>
                <w:szCs w:val="24"/>
              </w:rPr>
              <w:t xml:space="preserve">System Recovery Time (MTTR - </w:t>
            </w:r>
            <w:proofErr w:type="spellStart"/>
            <w:r w:rsidRPr="00793FC8">
              <w:rPr>
                <w:rFonts w:ascii="Times New Roman" w:hAnsi="Times New Roman" w:cs="Times New Roman"/>
                <w:b/>
                <w:bCs/>
                <w:color w:val="FFFFFF"/>
                <w:sz w:val="24"/>
                <w:szCs w:val="24"/>
              </w:rPr>
              <w:t>Hrs</w:t>
            </w:r>
            <w:proofErr w:type="spellEnd"/>
            <w:r w:rsidRPr="00793FC8">
              <w:rPr>
                <w:rFonts w:ascii="Times New Roman" w:hAnsi="Times New Roman" w:cs="Times New Roman"/>
                <w:b/>
                <w:bCs/>
                <w:color w:val="FFFFFF"/>
                <w:sz w:val="24"/>
                <w:szCs w:val="24"/>
              </w:rPr>
              <w:t>)</w:t>
            </w:r>
          </w:p>
        </w:tc>
      </w:tr>
      <w:tr w:rsidR="00017B4A" w:rsidRPr="00793FC8" w14:paraId="36526F84" w14:textId="77777777">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2A34434" w14:textId="77777777" w:rsidR="00017B4A" w:rsidRPr="00793FC8" w:rsidRDefault="00000000">
            <w:pPr>
              <w:rPr>
                <w:rFonts w:ascii="Times New Roman" w:hAnsi="Times New Roman" w:cs="Times New Roman"/>
                <w:sz w:val="24"/>
                <w:szCs w:val="24"/>
              </w:rPr>
            </w:pPr>
            <w:proofErr w:type="spellStart"/>
            <w:r w:rsidRPr="00793FC8">
              <w:rPr>
                <w:rFonts w:ascii="Times New Roman" w:hAnsi="Times New Roman" w:cs="Times New Roman"/>
                <w:sz w:val="24"/>
                <w:szCs w:val="24"/>
              </w:rPr>
              <w:t>Nor'wester</w:t>
            </w:r>
            <w:proofErr w:type="spellEnd"/>
            <w:r w:rsidRPr="00793FC8">
              <w:rPr>
                <w:rFonts w:ascii="Times New Roman" w:hAnsi="Times New Roman" w:cs="Times New Roman"/>
                <w:sz w:val="24"/>
                <w:szCs w:val="24"/>
              </w:rPr>
              <w:t xml:space="preserve"> (</w:t>
            </w:r>
            <w:proofErr w:type="spellStart"/>
            <w:r w:rsidRPr="00793FC8">
              <w:rPr>
                <w:rFonts w:ascii="Times New Roman" w:hAnsi="Times New Roman" w:cs="Times New Roman"/>
                <w:sz w:val="24"/>
                <w:szCs w:val="24"/>
              </w:rPr>
              <w:t>Kalbaishakhi</w:t>
            </w:r>
            <w:proofErr w:type="spellEnd"/>
            <w:r w:rsidRPr="00793FC8">
              <w:rPr>
                <w:rFonts w:ascii="Times New Roman" w:hAnsi="Times New Roman" w:cs="Times New Roman"/>
                <w:sz w:val="24"/>
                <w:szCs w:val="24"/>
              </w:rPr>
              <w:t>) Storm</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C7C72F4"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8</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D52E258"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14.5</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FC20C6E"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1.5</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263B639"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5.2</w:t>
            </w:r>
          </w:p>
        </w:tc>
      </w:tr>
      <w:tr w:rsidR="00017B4A" w:rsidRPr="00793FC8" w14:paraId="4818E0AF" w14:textId="77777777">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38CE762" w14:textId="77777777" w:rsidR="00017B4A" w:rsidRPr="00793FC8" w:rsidRDefault="00000000">
            <w:pPr>
              <w:rPr>
                <w:rFonts w:ascii="Times New Roman" w:hAnsi="Times New Roman" w:cs="Times New Roman"/>
                <w:sz w:val="24"/>
                <w:szCs w:val="24"/>
              </w:rPr>
            </w:pPr>
            <w:r w:rsidRPr="00793FC8">
              <w:rPr>
                <w:rFonts w:ascii="Times New Roman" w:hAnsi="Times New Roman" w:cs="Times New Roman"/>
                <w:sz w:val="24"/>
                <w:szCs w:val="24"/>
              </w:rPr>
              <w:t>Heavy Monsoon Downpour</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F955892"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14</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F7394D5"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8.2</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0218745"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8.4</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14F3E61"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3.1</w:t>
            </w:r>
          </w:p>
        </w:tc>
      </w:tr>
      <w:tr w:rsidR="00017B4A" w:rsidRPr="00793FC8" w14:paraId="253E4A1B" w14:textId="77777777">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D70846B" w14:textId="77777777" w:rsidR="00017B4A" w:rsidRPr="00793FC8" w:rsidRDefault="00000000">
            <w:pPr>
              <w:rPr>
                <w:rFonts w:ascii="Times New Roman" w:hAnsi="Times New Roman" w:cs="Times New Roman"/>
                <w:sz w:val="24"/>
                <w:szCs w:val="24"/>
              </w:rPr>
            </w:pPr>
            <w:r w:rsidRPr="00793FC8">
              <w:rPr>
                <w:rFonts w:ascii="Times New Roman" w:hAnsi="Times New Roman" w:cs="Times New Roman"/>
                <w:sz w:val="24"/>
                <w:szCs w:val="24"/>
              </w:rPr>
              <w:t>Industrial Peak Overloading</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094FDD2"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22</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EDA525B"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3.5</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8964A92"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34.2</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8B790E4"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1.4</w:t>
            </w:r>
          </w:p>
        </w:tc>
      </w:tr>
      <w:tr w:rsidR="00017B4A" w:rsidRPr="00793FC8" w14:paraId="6A1D672A" w14:textId="77777777">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1ADA807" w14:textId="77777777" w:rsidR="00017B4A" w:rsidRPr="00793FC8" w:rsidRDefault="00000000">
            <w:pPr>
              <w:rPr>
                <w:rFonts w:ascii="Times New Roman" w:hAnsi="Times New Roman" w:cs="Times New Roman"/>
                <w:sz w:val="24"/>
                <w:szCs w:val="24"/>
              </w:rPr>
            </w:pPr>
            <w:r w:rsidRPr="00793FC8">
              <w:rPr>
                <w:rFonts w:ascii="Times New Roman" w:hAnsi="Times New Roman" w:cs="Times New Roman"/>
                <w:sz w:val="24"/>
                <w:szCs w:val="24"/>
              </w:rPr>
              <w:t>Grid Substation Maintenance</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E13F38D"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6</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E734E5A"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6</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8919C46"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11</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5251182"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2</w:t>
            </w:r>
          </w:p>
        </w:tc>
      </w:tr>
    </w:tbl>
    <w:p w14:paraId="050BA648" w14:textId="77777777" w:rsidR="00017B4A" w:rsidRPr="00793FC8" w:rsidRDefault="00017B4A">
      <w:pPr>
        <w:spacing w:after="200"/>
        <w:rPr>
          <w:rFonts w:ascii="Times New Roman" w:hAnsi="Times New Roman" w:cs="Times New Roman"/>
          <w:sz w:val="24"/>
          <w:szCs w:val="24"/>
        </w:rPr>
      </w:pPr>
    </w:p>
    <w:p w14:paraId="2AF6BA7A"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t>The seasonal distribution of events (Table 10.24) confirms that the monsoon season concentrates the greatest number of interruptions and the highest voltage-excursion rate, and records the lowest seasonal average CPQI. Table 10.25 then provides an operational performance summary, contrasting the worst- and best-recorded feeder profiles against the global fleet average across the principal performance metrics.</w:t>
      </w:r>
    </w:p>
    <w:p w14:paraId="565C9523" w14:textId="77777777" w:rsidR="00017B4A" w:rsidRPr="00793FC8" w:rsidRDefault="00000000">
      <w:pPr>
        <w:spacing w:before="160" w:after="60"/>
        <w:rPr>
          <w:rFonts w:ascii="Times New Roman" w:hAnsi="Times New Roman" w:cs="Times New Roman"/>
          <w:sz w:val="24"/>
          <w:szCs w:val="24"/>
        </w:rPr>
      </w:pPr>
      <w:r w:rsidRPr="00793FC8">
        <w:rPr>
          <w:rFonts w:ascii="Times New Roman" w:hAnsi="Times New Roman" w:cs="Times New Roman"/>
          <w:b/>
          <w:bCs/>
          <w:sz w:val="24"/>
          <w:szCs w:val="24"/>
        </w:rPr>
        <w:t>Table 10.24: Season-wise Event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17B4A" w:rsidRPr="00793FC8" w14:paraId="038D0417" w14:textId="77777777">
        <w:trPr>
          <w:tblHeader/>
        </w:trPr>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38D2501C"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b/>
                <w:bCs/>
                <w:color w:val="FFFFFF"/>
                <w:sz w:val="24"/>
                <w:szCs w:val="24"/>
              </w:rPr>
              <w:lastRenderedPageBreak/>
              <w:t>Season</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77580754"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b/>
                <w:bCs/>
                <w:color w:val="FFFFFF"/>
                <w:sz w:val="24"/>
                <w:szCs w:val="24"/>
              </w:rPr>
              <w:t>Total Interruption Events</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071E1476"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b/>
                <w:bCs/>
                <w:color w:val="FFFFFF"/>
                <w:sz w:val="24"/>
                <w:szCs w:val="24"/>
              </w:rPr>
              <w:t>Voltage Excursion Rate (%)</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2803988F"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b/>
                <w:bCs/>
                <w:color w:val="FFFFFF"/>
                <w:sz w:val="24"/>
                <w:szCs w:val="24"/>
              </w:rPr>
              <w:t>Mean Power Factor (Lagging)</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2D006770"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b/>
                <w:bCs/>
                <w:color w:val="FFFFFF"/>
                <w:sz w:val="24"/>
                <w:szCs w:val="24"/>
              </w:rPr>
              <w:t>Seasonal Average CPQI (%)</w:t>
            </w:r>
          </w:p>
        </w:tc>
      </w:tr>
      <w:tr w:rsidR="00017B4A" w:rsidRPr="00793FC8" w14:paraId="268656D7" w14:textId="77777777">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3E29602" w14:textId="77777777" w:rsidR="00017B4A" w:rsidRPr="00793FC8" w:rsidRDefault="00000000">
            <w:pPr>
              <w:rPr>
                <w:rFonts w:ascii="Times New Roman" w:hAnsi="Times New Roman" w:cs="Times New Roman"/>
                <w:sz w:val="24"/>
                <w:szCs w:val="24"/>
              </w:rPr>
            </w:pPr>
            <w:r w:rsidRPr="00793FC8">
              <w:rPr>
                <w:rFonts w:ascii="Times New Roman" w:hAnsi="Times New Roman" w:cs="Times New Roman"/>
                <w:sz w:val="24"/>
                <w:szCs w:val="24"/>
              </w:rPr>
              <w:t>Summer</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6A1B8A6"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58</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5357DAF"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14.2</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023AA6C"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0.84</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34DB0DA"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64.2</w:t>
            </w:r>
          </w:p>
        </w:tc>
      </w:tr>
      <w:tr w:rsidR="00017B4A" w:rsidRPr="00793FC8" w14:paraId="660E47E0" w14:textId="77777777">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ABE4010" w14:textId="77777777" w:rsidR="00017B4A" w:rsidRPr="00793FC8" w:rsidRDefault="00000000">
            <w:pPr>
              <w:rPr>
                <w:rFonts w:ascii="Times New Roman" w:hAnsi="Times New Roman" w:cs="Times New Roman"/>
                <w:sz w:val="24"/>
                <w:szCs w:val="24"/>
              </w:rPr>
            </w:pPr>
            <w:r w:rsidRPr="00793FC8">
              <w:rPr>
                <w:rFonts w:ascii="Times New Roman" w:hAnsi="Times New Roman" w:cs="Times New Roman"/>
                <w:sz w:val="24"/>
                <w:szCs w:val="24"/>
              </w:rPr>
              <w:t>Rainy (Monsoon)</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FAC6401"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84</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53854B0F"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18.5</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3B9D7057"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0.88</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1EB970B"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58.8</w:t>
            </w:r>
          </w:p>
        </w:tc>
      </w:tr>
      <w:tr w:rsidR="00017B4A" w:rsidRPr="00793FC8" w14:paraId="62B3E011" w14:textId="77777777">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CE85622" w14:textId="77777777" w:rsidR="00017B4A" w:rsidRPr="00793FC8" w:rsidRDefault="00000000">
            <w:pPr>
              <w:rPr>
                <w:rFonts w:ascii="Times New Roman" w:hAnsi="Times New Roman" w:cs="Times New Roman"/>
                <w:sz w:val="24"/>
                <w:szCs w:val="24"/>
              </w:rPr>
            </w:pPr>
            <w:r w:rsidRPr="00793FC8">
              <w:rPr>
                <w:rFonts w:ascii="Times New Roman" w:hAnsi="Times New Roman" w:cs="Times New Roman"/>
                <w:sz w:val="24"/>
                <w:szCs w:val="24"/>
              </w:rPr>
              <w:t>Autumn</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83D3690"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19</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F62EE7B"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4.1</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163B90F"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0.91</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9BF15CA"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78.5</w:t>
            </w:r>
          </w:p>
        </w:tc>
      </w:tr>
      <w:tr w:rsidR="00017B4A" w:rsidRPr="00793FC8" w14:paraId="3FBD1C24" w14:textId="77777777">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9A7D0E2" w14:textId="77777777" w:rsidR="00017B4A" w:rsidRPr="00793FC8" w:rsidRDefault="00000000">
            <w:pPr>
              <w:rPr>
                <w:rFonts w:ascii="Times New Roman" w:hAnsi="Times New Roman" w:cs="Times New Roman"/>
                <w:sz w:val="24"/>
                <w:szCs w:val="24"/>
              </w:rPr>
            </w:pPr>
            <w:r w:rsidRPr="00793FC8">
              <w:rPr>
                <w:rFonts w:ascii="Times New Roman" w:hAnsi="Times New Roman" w:cs="Times New Roman"/>
                <w:sz w:val="24"/>
                <w:szCs w:val="24"/>
              </w:rPr>
              <w:t>Winter</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6052660"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24</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E9DF429"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6.8</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CACA713"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0.89</w:t>
            </w:r>
          </w:p>
        </w:tc>
        <w:tc>
          <w:tcPr>
            <w:tcW w:w="1872"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6929079"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74.1</w:t>
            </w:r>
          </w:p>
        </w:tc>
      </w:tr>
    </w:tbl>
    <w:p w14:paraId="54ED7508" w14:textId="77777777" w:rsidR="00017B4A" w:rsidRPr="00793FC8" w:rsidRDefault="00017B4A">
      <w:pPr>
        <w:spacing w:after="200"/>
        <w:rPr>
          <w:rFonts w:ascii="Times New Roman" w:hAnsi="Times New Roman" w:cs="Times New Roman"/>
          <w:sz w:val="24"/>
          <w:szCs w:val="24"/>
        </w:rPr>
      </w:pPr>
    </w:p>
    <w:p w14:paraId="34AF9996" w14:textId="77777777" w:rsidR="00017B4A" w:rsidRPr="00793FC8" w:rsidRDefault="00000000">
      <w:pPr>
        <w:spacing w:before="160" w:after="60"/>
        <w:rPr>
          <w:rFonts w:ascii="Times New Roman" w:hAnsi="Times New Roman" w:cs="Times New Roman"/>
          <w:sz w:val="24"/>
          <w:szCs w:val="24"/>
        </w:rPr>
      </w:pPr>
      <w:r w:rsidRPr="00793FC8">
        <w:rPr>
          <w:rFonts w:ascii="Times New Roman" w:hAnsi="Times New Roman" w:cs="Times New Roman"/>
          <w:b/>
          <w:bCs/>
          <w:sz w:val="24"/>
          <w:szCs w:val="24"/>
        </w:rPr>
        <w:t>Table 10.25: Operational Performance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17B4A" w:rsidRPr="00793FC8" w14:paraId="15E9BE0D" w14:textId="77777777">
        <w:trPr>
          <w:tblHeader/>
        </w:trPr>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4FA3D5A0"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b/>
                <w:bCs/>
                <w:color w:val="FFFFFF"/>
                <w:sz w:val="24"/>
                <w:szCs w:val="24"/>
              </w:rPr>
              <w:t>Metric Category</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5B473590"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b/>
                <w:bCs/>
                <w:color w:val="FFFFFF"/>
                <w:sz w:val="24"/>
                <w:szCs w:val="24"/>
              </w:rPr>
              <w:t>Worst Recorded Feeder Profile</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55DEB85E"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b/>
                <w:bCs/>
                <w:color w:val="FFFFFF"/>
                <w:sz w:val="24"/>
                <w:szCs w:val="24"/>
              </w:rPr>
              <w:t>Best Recorded Feeder Profile</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5C53CCEE"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b/>
                <w:bCs/>
                <w:color w:val="FFFFFF"/>
                <w:sz w:val="24"/>
                <w:szCs w:val="24"/>
              </w:rPr>
              <w:t>Global Fleet Average</w:t>
            </w:r>
          </w:p>
        </w:tc>
      </w:tr>
      <w:tr w:rsidR="00017B4A" w:rsidRPr="00793FC8" w14:paraId="0049AA27"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32CA84D" w14:textId="77777777" w:rsidR="00017B4A" w:rsidRPr="00793FC8" w:rsidRDefault="00000000">
            <w:pPr>
              <w:rPr>
                <w:rFonts w:ascii="Times New Roman" w:hAnsi="Times New Roman" w:cs="Times New Roman"/>
                <w:sz w:val="24"/>
                <w:szCs w:val="24"/>
              </w:rPr>
            </w:pPr>
            <w:r w:rsidRPr="00793FC8">
              <w:rPr>
                <w:rFonts w:ascii="Times New Roman" w:hAnsi="Times New Roman" w:cs="Times New Roman"/>
                <w:sz w:val="24"/>
                <w:szCs w:val="24"/>
              </w:rPr>
              <w:t>Voltage Compliance Rate (%)</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34178ED"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48.90% (</w:t>
            </w:r>
            <w:proofErr w:type="spellStart"/>
            <w:r w:rsidRPr="00793FC8">
              <w:rPr>
                <w:rFonts w:ascii="Times New Roman" w:hAnsi="Times New Roman" w:cs="Times New Roman"/>
                <w:sz w:val="24"/>
                <w:szCs w:val="24"/>
              </w:rPr>
              <w:t>Sreepur</w:t>
            </w:r>
            <w:proofErr w:type="spellEnd"/>
            <w:r w:rsidRPr="00793FC8">
              <w:rPr>
                <w:rFonts w:ascii="Times New Roman" w:hAnsi="Times New Roman" w:cs="Times New Roman"/>
                <w:sz w:val="24"/>
                <w:szCs w:val="24"/>
              </w:rPr>
              <w:t xml:space="preserve"> 7 F1)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1C8E59B"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88.40% (</w:t>
            </w:r>
            <w:proofErr w:type="spellStart"/>
            <w:r w:rsidRPr="00793FC8">
              <w:rPr>
                <w:rFonts w:ascii="Times New Roman" w:hAnsi="Times New Roman" w:cs="Times New Roman"/>
                <w:sz w:val="24"/>
                <w:szCs w:val="24"/>
              </w:rPr>
              <w:t>Sreepur</w:t>
            </w:r>
            <w:proofErr w:type="spellEnd"/>
            <w:r w:rsidRPr="00793FC8">
              <w:rPr>
                <w:rFonts w:ascii="Times New Roman" w:hAnsi="Times New Roman" w:cs="Times New Roman"/>
                <w:sz w:val="24"/>
                <w:szCs w:val="24"/>
              </w:rPr>
              <w:t xml:space="preserve"> 1 F5)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31D260E"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71.06</w:t>
            </w:r>
          </w:p>
        </w:tc>
      </w:tr>
      <w:tr w:rsidR="00017B4A" w:rsidRPr="00793FC8" w14:paraId="54C793DD"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5113D16" w14:textId="77777777" w:rsidR="00017B4A" w:rsidRPr="00793FC8" w:rsidRDefault="00000000">
            <w:pPr>
              <w:rPr>
                <w:rFonts w:ascii="Times New Roman" w:hAnsi="Times New Roman" w:cs="Times New Roman"/>
                <w:sz w:val="24"/>
                <w:szCs w:val="24"/>
              </w:rPr>
            </w:pPr>
            <w:r w:rsidRPr="00793FC8">
              <w:rPr>
                <w:rFonts w:ascii="Times New Roman" w:hAnsi="Times New Roman" w:cs="Times New Roman"/>
                <w:sz w:val="24"/>
                <w:szCs w:val="24"/>
              </w:rPr>
              <w:t>Frequency Stability Index (FSI)</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1614133"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0.46 (</w:t>
            </w:r>
            <w:proofErr w:type="spellStart"/>
            <w:r w:rsidRPr="00793FC8">
              <w:rPr>
                <w:rFonts w:ascii="Times New Roman" w:hAnsi="Times New Roman" w:cs="Times New Roman"/>
                <w:sz w:val="24"/>
                <w:szCs w:val="24"/>
              </w:rPr>
              <w:t>Sreepur</w:t>
            </w:r>
            <w:proofErr w:type="spellEnd"/>
            <w:r w:rsidRPr="00793FC8">
              <w:rPr>
                <w:rFonts w:ascii="Times New Roman" w:hAnsi="Times New Roman" w:cs="Times New Roman"/>
                <w:sz w:val="24"/>
                <w:szCs w:val="24"/>
              </w:rPr>
              <w:t xml:space="preserve"> 7 F1)</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2B0EF8FA"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0.92 (</w:t>
            </w:r>
            <w:proofErr w:type="spellStart"/>
            <w:r w:rsidRPr="00793FC8">
              <w:rPr>
                <w:rFonts w:ascii="Times New Roman" w:hAnsi="Times New Roman" w:cs="Times New Roman"/>
                <w:sz w:val="24"/>
                <w:szCs w:val="24"/>
              </w:rPr>
              <w:t>Sreepur</w:t>
            </w:r>
            <w:proofErr w:type="spellEnd"/>
            <w:r w:rsidRPr="00793FC8">
              <w:rPr>
                <w:rFonts w:ascii="Times New Roman" w:hAnsi="Times New Roman" w:cs="Times New Roman"/>
                <w:sz w:val="24"/>
                <w:szCs w:val="24"/>
              </w:rPr>
              <w:t xml:space="preserve"> 1 F5)</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872522D"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0.74</w:t>
            </w:r>
          </w:p>
        </w:tc>
      </w:tr>
      <w:tr w:rsidR="00017B4A" w:rsidRPr="00793FC8" w14:paraId="40C61127"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7806785" w14:textId="77777777" w:rsidR="00017B4A" w:rsidRPr="00793FC8" w:rsidRDefault="00000000">
            <w:pPr>
              <w:rPr>
                <w:rFonts w:ascii="Times New Roman" w:hAnsi="Times New Roman" w:cs="Times New Roman"/>
                <w:sz w:val="24"/>
                <w:szCs w:val="24"/>
              </w:rPr>
            </w:pPr>
            <w:r w:rsidRPr="00793FC8">
              <w:rPr>
                <w:rFonts w:ascii="Times New Roman" w:hAnsi="Times New Roman" w:cs="Times New Roman"/>
                <w:sz w:val="24"/>
                <w:szCs w:val="24"/>
              </w:rPr>
              <w:t>Power Factor Violations Count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41011CF"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68 Over-Limit (</w:t>
            </w:r>
            <w:proofErr w:type="spellStart"/>
            <w:r w:rsidRPr="00793FC8">
              <w:rPr>
                <w:rFonts w:ascii="Times New Roman" w:hAnsi="Times New Roman" w:cs="Times New Roman"/>
                <w:sz w:val="24"/>
                <w:szCs w:val="24"/>
              </w:rPr>
              <w:t>Gacha</w:t>
            </w:r>
            <w:proofErr w:type="spellEnd"/>
            <w:r w:rsidRPr="00793FC8">
              <w:rPr>
                <w:rFonts w:ascii="Times New Roman" w:hAnsi="Times New Roman" w:cs="Times New Roman"/>
                <w:sz w:val="24"/>
                <w:szCs w:val="24"/>
              </w:rPr>
              <w:t xml:space="preserve"> 1 F4)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78830C1"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11 Over-Limit (</w:t>
            </w:r>
            <w:proofErr w:type="spellStart"/>
            <w:r w:rsidRPr="00793FC8">
              <w:rPr>
                <w:rFonts w:ascii="Times New Roman" w:hAnsi="Times New Roman" w:cs="Times New Roman"/>
                <w:sz w:val="24"/>
                <w:szCs w:val="24"/>
              </w:rPr>
              <w:t>Sreepur</w:t>
            </w:r>
            <w:proofErr w:type="spellEnd"/>
            <w:r w:rsidRPr="00793FC8">
              <w:rPr>
                <w:rFonts w:ascii="Times New Roman" w:hAnsi="Times New Roman" w:cs="Times New Roman"/>
                <w:sz w:val="24"/>
                <w:szCs w:val="24"/>
              </w:rPr>
              <w:t xml:space="preserve"> 1 F5)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EC32DF0"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34.5</w:t>
            </w:r>
          </w:p>
        </w:tc>
      </w:tr>
      <w:tr w:rsidR="00017B4A" w:rsidRPr="00793FC8" w14:paraId="4ED13C8C"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98CCB28" w14:textId="77777777" w:rsidR="00017B4A" w:rsidRPr="00793FC8" w:rsidRDefault="00000000">
            <w:pPr>
              <w:rPr>
                <w:rFonts w:ascii="Times New Roman" w:hAnsi="Times New Roman" w:cs="Times New Roman"/>
                <w:sz w:val="24"/>
                <w:szCs w:val="24"/>
              </w:rPr>
            </w:pPr>
            <w:r w:rsidRPr="00793FC8">
              <w:rPr>
                <w:rFonts w:ascii="Times New Roman" w:hAnsi="Times New Roman" w:cs="Times New Roman"/>
                <w:sz w:val="24"/>
                <w:szCs w:val="24"/>
              </w:rPr>
              <w:t>System Reliability (SAIDI - Min)</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95A63AB"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420 Min (</w:t>
            </w:r>
            <w:proofErr w:type="spellStart"/>
            <w:r w:rsidRPr="00793FC8">
              <w:rPr>
                <w:rFonts w:ascii="Times New Roman" w:hAnsi="Times New Roman" w:cs="Times New Roman"/>
                <w:sz w:val="24"/>
                <w:szCs w:val="24"/>
              </w:rPr>
              <w:t>Sreepur</w:t>
            </w:r>
            <w:proofErr w:type="spellEnd"/>
            <w:r w:rsidRPr="00793FC8">
              <w:rPr>
                <w:rFonts w:ascii="Times New Roman" w:hAnsi="Times New Roman" w:cs="Times New Roman"/>
                <w:sz w:val="24"/>
                <w:szCs w:val="24"/>
              </w:rPr>
              <w:t xml:space="preserve"> 7 F1)</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BAE826C"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75 Min (</w:t>
            </w:r>
            <w:proofErr w:type="spellStart"/>
            <w:r w:rsidRPr="00793FC8">
              <w:rPr>
                <w:rFonts w:ascii="Times New Roman" w:hAnsi="Times New Roman" w:cs="Times New Roman"/>
                <w:sz w:val="24"/>
                <w:szCs w:val="24"/>
              </w:rPr>
              <w:t>Sreepur</w:t>
            </w:r>
            <w:proofErr w:type="spellEnd"/>
            <w:r w:rsidRPr="00793FC8">
              <w:rPr>
                <w:rFonts w:ascii="Times New Roman" w:hAnsi="Times New Roman" w:cs="Times New Roman"/>
                <w:sz w:val="24"/>
                <w:szCs w:val="24"/>
              </w:rPr>
              <w:t xml:space="preserve"> 1 F5)</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0CE20E9"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209.1</w:t>
            </w:r>
          </w:p>
        </w:tc>
      </w:tr>
      <w:tr w:rsidR="00017B4A" w:rsidRPr="00793FC8" w14:paraId="265FBEAC"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C0C9FA6" w14:textId="77777777" w:rsidR="00017B4A" w:rsidRPr="00793FC8" w:rsidRDefault="00000000">
            <w:pPr>
              <w:rPr>
                <w:rFonts w:ascii="Times New Roman" w:hAnsi="Times New Roman" w:cs="Times New Roman"/>
                <w:sz w:val="24"/>
                <w:szCs w:val="24"/>
              </w:rPr>
            </w:pPr>
            <w:r w:rsidRPr="00793FC8">
              <w:rPr>
                <w:rFonts w:ascii="Times New Roman" w:hAnsi="Times New Roman" w:cs="Times New Roman"/>
                <w:sz w:val="24"/>
                <w:szCs w:val="24"/>
              </w:rPr>
              <w:t>Total Customer Grievances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B558683"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82 Dispatches (</w:t>
            </w:r>
            <w:proofErr w:type="spellStart"/>
            <w:r w:rsidRPr="00793FC8">
              <w:rPr>
                <w:rFonts w:ascii="Times New Roman" w:hAnsi="Times New Roman" w:cs="Times New Roman"/>
                <w:sz w:val="24"/>
                <w:szCs w:val="24"/>
              </w:rPr>
              <w:t>Sreepur</w:t>
            </w:r>
            <w:proofErr w:type="spellEnd"/>
            <w:r w:rsidRPr="00793FC8">
              <w:rPr>
                <w:rFonts w:ascii="Times New Roman" w:hAnsi="Times New Roman" w:cs="Times New Roman"/>
                <w:sz w:val="24"/>
                <w:szCs w:val="24"/>
              </w:rPr>
              <w:t xml:space="preserve"> 7 F1)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B1615F3"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14 Dispatches (</w:t>
            </w:r>
            <w:proofErr w:type="spellStart"/>
            <w:r w:rsidRPr="00793FC8">
              <w:rPr>
                <w:rFonts w:ascii="Times New Roman" w:hAnsi="Times New Roman" w:cs="Times New Roman"/>
                <w:sz w:val="24"/>
                <w:szCs w:val="24"/>
              </w:rPr>
              <w:t>Sreepur</w:t>
            </w:r>
            <w:proofErr w:type="spellEnd"/>
            <w:r w:rsidRPr="00793FC8">
              <w:rPr>
                <w:rFonts w:ascii="Times New Roman" w:hAnsi="Times New Roman" w:cs="Times New Roman"/>
                <w:sz w:val="24"/>
                <w:szCs w:val="24"/>
              </w:rPr>
              <w:t xml:space="preserve"> 1 F5)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954D442"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42.5</w:t>
            </w:r>
          </w:p>
        </w:tc>
      </w:tr>
    </w:tbl>
    <w:p w14:paraId="42228608" w14:textId="77777777" w:rsidR="00017B4A" w:rsidRPr="00793FC8" w:rsidRDefault="00017B4A">
      <w:pPr>
        <w:spacing w:after="200"/>
        <w:rPr>
          <w:rFonts w:ascii="Times New Roman" w:hAnsi="Times New Roman" w:cs="Times New Roman"/>
        </w:rPr>
      </w:pPr>
    </w:p>
    <w:p w14:paraId="417CA790" w14:textId="77777777" w:rsidR="00017B4A" w:rsidRPr="00793FC8" w:rsidRDefault="00000000">
      <w:pPr>
        <w:pStyle w:val="Heading2"/>
        <w:rPr>
          <w:rFonts w:ascii="Times New Roman" w:hAnsi="Times New Roman" w:cs="Times New Roman"/>
          <w:color w:val="auto"/>
        </w:rPr>
      </w:pPr>
      <w:bookmarkStart w:id="16" w:name="_Toc233458810"/>
      <w:proofErr w:type="gramStart"/>
      <w:r w:rsidRPr="00793FC8">
        <w:rPr>
          <w:rFonts w:ascii="Times New Roman" w:hAnsi="Times New Roman" w:cs="Times New Roman"/>
          <w:color w:val="auto"/>
        </w:rPr>
        <w:t>10.15  Overall</w:t>
      </w:r>
      <w:proofErr w:type="gramEnd"/>
      <w:r w:rsidRPr="00793FC8">
        <w:rPr>
          <w:rFonts w:ascii="Times New Roman" w:hAnsi="Times New Roman" w:cs="Times New Roman"/>
          <w:color w:val="auto"/>
        </w:rPr>
        <w:t xml:space="preserve"> Validation Summary</w:t>
      </w:r>
      <w:bookmarkEnd w:id="16"/>
    </w:p>
    <w:p w14:paraId="6635242A"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t>Table 10.28 consolidates the validation evidence across the four principal validation domains—technical performance, consumer feedback alignment, environmental resilience, and statistical-mathematical integrity. Each domain is marked as verified, reflecting that the indicator faithfully maps physical grid anomalies, tracks consumer complaints with a strong inverse correlation, aligns its deepest depressions with documented extreme events, and passes strict statistical confidence thresholds.</w:t>
      </w:r>
    </w:p>
    <w:p w14:paraId="1FB94BD5" w14:textId="77777777" w:rsidR="00017B4A" w:rsidRPr="00793FC8" w:rsidRDefault="00000000">
      <w:pPr>
        <w:spacing w:before="160" w:after="60"/>
        <w:rPr>
          <w:rFonts w:ascii="Times New Roman" w:hAnsi="Times New Roman" w:cs="Times New Roman"/>
          <w:sz w:val="24"/>
          <w:szCs w:val="24"/>
        </w:rPr>
      </w:pPr>
      <w:r w:rsidRPr="00793FC8">
        <w:rPr>
          <w:rFonts w:ascii="Times New Roman" w:hAnsi="Times New Roman" w:cs="Times New Roman"/>
          <w:b/>
          <w:bCs/>
          <w:sz w:val="24"/>
          <w:szCs w:val="24"/>
        </w:rPr>
        <w:t>Table 10.28: Overall Validation Summary Across Validation Domains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17B4A" w:rsidRPr="00793FC8" w14:paraId="1D9F83C3" w14:textId="77777777">
        <w:trPr>
          <w:tblHeader/>
        </w:trPr>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229EE56D"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b/>
                <w:bCs/>
                <w:color w:val="FFFFFF"/>
                <w:sz w:val="24"/>
                <w:szCs w:val="24"/>
              </w:rPr>
              <w:t>Validation Domain Pillar</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44D43F2B"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b/>
                <w:bCs/>
                <w:color w:val="FFFFFF"/>
                <w:sz w:val="24"/>
                <w:szCs w:val="24"/>
              </w:rPr>
              <w:t>Evaluated Parameters Base</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1D8833C8"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b/>
                <w:bCs/>
                <w:color w:val="FFFFFF"/>
                <w:sz w:val="24"/>
                <w:szCs w:val="24"/>
              </w:rPr>
              <w:t>Key Empirical Validation Finding</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90" w:type="dxa"/>
              <w:bottom w:w="60" w:type="dxa"/>
              <w:right w:w="90" w:type="dxa"/>
            </w:tcMar>
            <w:vAlign w:val="center"/>
          </w:tcPr>
          <w:p w14:paraId="0D374D5C"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b/>
                <w:bCs/>
                <w:color w:val="FFFFFF"/>
                <w:sz w:val="24"/>
                <w:szCs w:val="24"/>
              </w:rPr>
              <w:t>Framework Status Confirmation</w:t>
            </w:r>
          </w:p>
        </w:tc>
      </w:tr>
      <w:tr w:rsidR="00017B4A" w:rsidRPr="00793FC8" w14:paraId="3ECE3C7F"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B8E924E" w14:textId="77777777" w:rsidR="00017B4A" w:rsidRPr="00793FC8" w:rsidRDefault="00000000">
            <w:pPr>
              <w:rPr>
                <w:rFonts w:ascii="Times New Roman" w:hAnsi="Times New Roman" w:cs="Times New Roman"/>
                <w:sz w:val="24"/>
                <w:szCs w:val="24"/>
              </w:rPr>
            </w:pPr>
            <w:r w:rsidRPr="00793FC8">
              <w:rPr>
                <w:rFonts w:ascii="Times New Roman" w:hAnsi="Times New Roman" w:cs="Times New Roman"/>
                <w:sz w:val="24"/>
                <w:szCs w:val="24"/>
              </w:rPr>
              <w:t>1. Technical Performance Validation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78F723B"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Voltage Compliance, Frequency Stability, Power Factor Tracking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51E2E9A"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 xml:space="preserve">CPQI successfully maps true physical grid anomalies and </w:t>
            </w:r>
            <w:r w:rsidRPr="00793FC8">
              <w:rPr>
                <w:rFonts w:ascii="Times New Roman" w:hAnsi="Times New Roman" w:cs="Times New Roman"/>
                <w:sz w:val="24"/>
                <w:szCs w:val="24"/>
              </w:rPr>
              <w:lastRenderedPageBreak/>
              <w:t>line degradation states.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1EEBCD1"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lastRenderedPageBreak/>
              <w:t>VERIFIED</w:t>
            </w:r>
          </w:p>
        </w:tc>
      </w:tr>
      <w:tr w:rsidR="00017B4A" w:rsidRPr="00793FC8" w14:paraId="0E3838B7"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8F3B22E" w14:textId="77777777" w:rsidR="00017B4A" w:rsidRPr="00793FC8" w:rsidRDefault="00000000">
            <w:pPr>
              <w:rPr>
                <w:rFonts w:ascii="Times New Roman" w:hAnsi="Times New Roman" w:cs="Times New Roman"/>
                <w:sz w:val="24"/>
                <w:szCs w:val="24"/>
              </w:rPr>
            </w:pPr>
            <w:r w:rsidRPr="00793FC8">
              <w:rPr>
                <w:rFonts w:ascii="Times New Roman" w:hAnsi="Times New Roman" w:cs="Times New Roman"/>
                <w:sz w:val="24"/>
                <w:szCs w:val="24"/>
              </w:rPr>
              <w:t>2. Consumer Feedback Alignment</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8073142"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Total Dispatched Grievances, CX Response &amp; Resolution Rates</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16F95A57"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Inverse Pearson r (-0.82) confirms that public complaints track technical drops.</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70B7945"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VERIFIED</w:t>
            </w:r>
          </w:p>
        </w:tc>
      </w:tr>
      <w:tr w:rsidR="00017B4A" w:rsidRPr="00793FC8" w14:paraId="7862B50A"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DE486A5" w14:textId="77777777" w:rsidR="00017B4A" w:rsidRPr="00793FC8" w:rsidRDefault="00000000">
            <w:pPr>
              <w:rPr>
                <w:rFonts w:ascii="Times New Roman" w:hAnsi="Times New Roman" w:cs="Times New Roman"/>
                <w:sz w:val="24"/>
                <w:szCs w:val="24"/>
              </w:rPr>
            </w:pPr>
            <w:r w:rsidRPr="00793FC8">
              <w:rPr>
                <w:rFonts w:ascii="Times New Roman" w:hAnsi="Times New Roman" w:cs="Times New Roman"/>
                <w:sz w:val="24"/>
                <w:szCs w:val="24"/>
              </w:rPr>
              <w:t>3. Environmental Resilience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30E2A53" w14:textId="77777777" w:rsidR="00017B4A" w:rsidRPr="00793FC8" w:rsidRDefault="00000000">
            <w:pPr>
              <w:jc w:val="center"/>
              <w:rPr>
                <w:rFonts w:ascii="Times New Roman" w:hAnsi="Times New Roman" w:cs="Times New Roman"/>
                <w:sz w:val="24"/>
                <w:szCs w:val="24"/>
              </w:rPr>
            </w:pPr>
            <w:proofErr w:type="spellStart"/>
            <w:r w:rsidRPr="00793FC8">
              <w:rPr>
                <w:rFonts w:ascii="Times New Roman" w:hAnsi="Times New Roman" w:cs="Times New Roman"/>
                <w:sz w:val="24"/>
                <w:szCs w:val="24"/>
              </w:rPr>
              <w:t>Nor'wester</w:t>
            </w:r>
            <w:proofErr w:type="spellEnd"/>
            <w:r w:rsidRPr="00793FC8">
              <w:rPr>
                <w:rFonts w:ascii="Times New Roman" w:hAnsi="Times New Roman" w:cs="Times New Roman"/>
                <w:sz w:val="24"/>
                <w:szCs w:val="24"/>
              </w:rPr>
              <w:t xml:space="preserve"> Storm and Monsoon Extreme Loading Sags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17AAFCF"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Maximum structural index drops accurately align with raw outage timestamps.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AB76321"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VERIFIED</w:t>
            </w:r>
          </w:p>
        </w:tc>
      </w:tr>
      <w:tr w:rsidR="00017B4A" w:rsidRPr="00793FC8" w14:paraId="03550DDD"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DC8287B" w14:textId="77777777" w:rsidR="00017B4A" w:rsidRPr="00793FC8" w:rsidRDefault="00000000">
            <w:pPr>
              <w:rPr>
                <w:rFonts w:ascii="Times New Roman" w:hAnsi="Times New Roman" w:cs="Times New Roman"/>
                <w:sz w:val="24"/>
                <w:szCs w:val="24"/>
              </w:rPr>
            </w:pPr>
            <w:r w:rsidRPr="00793FC8">
              <w:rPr>
                <w:rFonts w:ascii="Times New Roman" w:hAnsi="Times New Roman" w:cs="Times New Roman"/>
                <w:sz w:val="24"/>
                <w:szCs w:val="24"/>
              </w:rPr>
              <w:t>4. Statistical Mathematical Integrity</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02C5ED99"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Kruskal-Wallis ANOVA, OLS Regression Weights, Sensitivity Engine</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7E38C43F"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All performance variations pass strict confidence bounds thresholding (p &lt; 0.001).</w:t>
            </w:r>
          </w:p>
        </w:tc>
        <w:tc>
          <w:tcPr>
            <w:tcW w:w="2340" w:type="dxa"/>
            <w:tcBorders>
              <w:top w:val="single" w:sz="1" w:space="0" w:color="BBBBBB"/>
              <w:left w:val="single" w:sz="1" w:space="0" w:color="BBBBBB"/>
              <w:bottom w:val="single" w:sz="1" w:space="0" w:color="BBBBBB"/>
              <w:right w:val="single" w:sz="1" w:space="0" w:color="BBBBBB"/>
            </w:tcBorders>
            <w:shd w:val="clear" w:color="auto" w:fill="EAF1F8"/>
            <w:tcMar>
              <w:top w:w="50" w:type="dxa"/>
              <w:left w:w="90" w:type="dxa"/>
              <w:bottom w:w="50" w:type="dxa"/>
              <w:right w:w="90" w:type="dxa"/>
            </w:tcMar>
            <w:vAlign w:val="center"/>
          </w:tcPr>
          <w:p w14:paraId="62CD9189" w14:textId="77777777" w:rsidR="00017B4A" w:rsidRPr="00793FC8" w:rsidRDefault="00000000">
            <w:pPr>
              <w:jc w:val="center"/>
              <w:rPr>
                <w:rFonts w:ascii="Times New Roman" w:hAnsi="Times New Roman" w:cs="Times New Roman"/>
                <w:sz w:val="24"/>
                <w:szCs w:val="24"/>
              </w:rPr>
            </w:pPr>
            <w:r w:rsidRPr="00793FC8">
              <w:rPr>
                <w:rFonts w:ascii="Times New Roman" w:hAnsi="Times New Roman" w:cs="Times New Roman"/>
                <w:sz w:val="24"/>
                <w:szCs w:val="24"/>
              </w:rPr>
              <w:t>VERIFIED</w:t>
            </w:r>
          </w:p>
        </w:tc>
      </w:tr>
    </w:tbl>
    <w:p w14:paraId="710189A2" w14:textId="77777777" w:rsidR="00017B4A" w:rsidRPr="00793FC8" w:rsidRDefault="00017B4A">
      <w:pPr>
        <w:spacing w:after="200"/>
        <w:rPr>
          <w:rFonts w:ascii="Times New Roman" w:hAnsi="Times New Roman" w:cs="Times New Roman"/>
        </w:rPr>
      </w:pPr>
    </w:p>
    <w:p w14:paraId="630A0E74" w14:textId="77777777" w:rsidR="00017B4A" w:rsidRPr="00793FC8" w:rsidRDefault="00000000">
      <w:pPr>
        <w:pStyle w:val="Heading2"/>
        <w:rPr>
          <w:rFonts w:ascii="Times New Roman" w:hAnsi="Times New Roman" w:cs="Times New Roman"/>
          <w:color w:val="auto"/>
        </w:rPr>
      </w:pPr>
      <w:bookmarkStart w:id="17" w:name="_Toc233458811"/>
      <w:proofErr w:type="gramStart"/>
      <w:r w:rsidRPr="00793FC8">
        <w:rPr>
          <w:rFonts w:ascii="Times New Roman" w:hAnsi="Times New Roman" w:cs="Times New Roman"/>
          <w:color w:val="auto"/>
        </w:rPr>
        <w:t>10.16  Discussion</w:t>
      </w:r>
      <w:proofErr w:type="gramEnd"/>
      <w:r w:rsidRPr="00793FC8">
        <w:rPr>
          <w:rFonts w:ascii="Times New Roman" w:hAnsi="Times New Roman" w:cs="Times New Roman"/>
          <w:color w:val="auto"/>
        </w:rPr>
        <w:t xml:space="preserve"> and Implications</w:t>
      </w:r>
      <w:bookmarkEnd w:id="17"/>
    </w:p>
    <w:p w14:paraId="13D959A0"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t>The time-series analysis answers the guiding research question affirmatively: the Composite Power Quality Indicator responds, in the correct direction and by an operationally meaningful magnitude, to real operational events. The indicator remains stable under normal operation, deflects sharply during outages, sags, swells, faults, high loading, low power factor, and harmonic distortion, and recovers after corrective maintenance. The depth of each depression tracks the physical severity of the underlying disturbance, and the timing of each depression aligns with documented event timestamps.</w:t>
      </w:r>
    </w:p>
    <w:p w14:paraId="14500EAB"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t>Across temporal scales, the indicator exposes interpretable structure—diurnal load cycling, weekday–weekend industrial activity, seasonal weather stress, and gradual year-on-year improvement consistent with network modernization. Across feeders, it produces a stable ranking that aligns with consumer-type profiles, reliability indices, availability, and customer-experience evidence. The strong inverse correlation with complaints and reliability indices, the positive correlation with voltage compliance, the insensitivity of rankings to weight perturbation, and the rejection of all null hypotheses at p &lt; 0.001 jointly establish the statistical credibility of the framework.</w:t>
      </w:r>
    </w:p>
    <w:p w14:paraId="5E4F6ACB" w14:textId="77777777" w:rsidR="00017B4A" w:rsidRPr="00793FC8" w:rsidRDefault="00000000">
      <w:pPr>
        <w:spacing w:after="160" w:line="276" w:lineRule="auto"/>
        <w:jc w:val="both"/>
        <w:rPr>
          <w:rFonts w:ascii="Times New Roman" w:hAnsi="Times New Roman" w:cs="Times New Roman"/>
          <w:sz w:val="24"/>
          <w:szCs w:val="24"/>
        </w:rPr>
      </w:pPr>
      <w:r w:rsidRPr="00793FC8">
        <w:rPr>
          <w:rFonts w:ascii="Times New Roman" w:hAnsi="Times New Roman" w:cs="Times New Roman"/>
          <w:sz w:val="24"/>
          <w:szCs w:val="24"/>
        </w:rPr>
        <w:t xml:space="preserve">For Bangladesh’s distribution utilities, these results carry direct operational value. The indicator identifies complaint hotspots, localizes seasonal vulnerability to the monsoon period, quantifies the financial consequence of power-factor degradation, and prioritizes feeders for intervention. By integrating technical performance, reliability, availability, and customer experience into a single </w:t>
      </w:r>
      <w:r w:rsidRPr="00793FC8">
        <w:rPr>
          <w:rFonts w:ascii="Times New Roman" w:hAnsi="Times New Roman" w:cs="Times New Roman"/>
          <w:sz w:val="24"/>
          <w:szCs w:val="24"/>
        </w:rPr>
        <w:lastRenderedPageBreak/>
        <w:t>temporally responsive metric, the CPQI provides a scientifically credible and practically useful foundation for continuous monitoring, predictive maintenance, and data-driven decision-making within the evolving power distribution sector.</w:t>
      </w:r>
    </w:p>
    <w:p w14:paraId="2DB20941" w14:textId="05F841B2" w:rsidR="00017B4A" w:rsidRPr="00793FC8" w:rsidRDefault="00017B4A">
      <w:pPr>
        <w:spacing w:after="160" w:line="276" w:lineRule="auto"/>
        <w:jc w:val="both"/>
        <w:rPr>
          <w:rFonts w:ascii="Times New Roman" w:hAnsi="Times New Roman" w:cs="Times New Roman"/>
        </w:rPr>
      </w:pPr>
    </w:p>
    <w:sectPr w:rsidR="00017B4A" w:rsidRPr="00793FC8">
      <w:headerReference w:type="default" r:id="rId82"/>
      <w:footerReference w:type="default" r:id="rId8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B9EB2" w14:textId="77777777" w:rsidR="00C411FB" w:rsidRDefault="00C411FB">
      <w:r>
        <w:separator/>
      </w:r>
    </w:p>
  </w:endnote>
  <w:endnote w:type="continuationSeparator" w:id="0">
    <w:p w14:paraId="31938C9C" w14:textId="77777777" w:rsidR="00C411FB" w:rsidRDefault="00C41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7B8FB" w14:textId="77777777" w:rsidR="00017B4A"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077D8B">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3E545" w14:textId="77777777" w:rsidR="00C411FB" w:rsidRDefault="00C411FB">
      <w:r>
        <w:separator/>
      </w:r>
    </w:p>
  </w:footnote>
  <w:footnote w:type="continuationSeparator" w:id="0">
    <w:p w14:paraId="4FF91871" w14:textId="77777777" w:rsidR="00C411FB" w:rsidRDefault="00C411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48BF6" w14:textId="77777777" w:rsidR="00017B4A" w:rsidRDefault="00000000">
    <w:pPr>
      <w:pBdr>
        <w:bottom w:val="single" w:sz="4" w:space="4" w:color="CCCCCC"/>
      </w:pBdr>
      <w:jc w:val="right"/>
    </w:pPr>
    <w:r>
      <w:rPr>
        <w:i/>
        <w:iCs/>
        <w:color w:val="888888"/>
        <w:sz w:val="16"/>
        <w:szCs w:val="16"/>
      </w:rPr>
      <w:t>Time-Series Analysis of the CPQI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0EF9"/>
    <w:multiLevelType w:val="hybridMultilevel"/>
    <w:tmpl w:val="15AE06C6"/>
    <w:lvl w:ilvl="0" w:tplc="1EFAA43C">
      <w:start w:val="1"/>
      <w:numFmt w:val="bullet"/>
      <w:lvlText w:val="●"/>
      <w:lvlJc w:val="left"/>
      <w:pPr>
        <w:ind w:left="720" w:hanging="360"/>
      </w:pPr>
    </w:lvl>
    <w:lvl w:ilvl="1" w:tplc="02EA4C42">
      <w:start w:val="1"/>
      <w:numFmt w:val="bullet"/>
      <w:lvlText w:val="○"/>
      <w:lvlJc w:val="left"/>
      <w:pPr>
        <w:ind w:left="1440" w:hanging="360"/>
      </w:pPr>
    </w:lvl>
    <w:lvl w:ilvl="2" w:tplc="F97C8CAC">
      <w:start w:val="1"/>
      <w:numFmt w:val="bullet"/>
      <w:lvlText w:val="■"/>
      <w:lvlJc w:val="left"/>
      <w:pPr>
        <w:ind w:left="2160" w:hanging="360"/>
      </w:pPr>
    </w:lvl>
    <w:lvl w:ilvl="3" w:tplc="1F74EB26">
      <w:start w:val="1"/>
      <w:numFmt w:val="bullet"/>
      <w:lvlText w:val="●"/>
      <w:lvlJc w:val="left"/>
      <w:pPr>
        <w:ind w:left="2880" w:hanging="360"/>
      </w:pPr>
    </w:lvl>
    <w:lvl w:ilvl="4" w:tplc="CD443356">
      <w:start w:val="1"/>
      <w:numFmt w:val="bullet"/>
      <w:lvlText w:val="○"/>
      <w:lvlJc w:val="left"/>
      <w:pPr>
        <w:ind w:left="3600" w:hanging="360"/>
      </w:pPr>
    </w:lvl>
    <w:lvl w:ilvl="5" w:tplc="DEFCF4EE">
      <w:start w:val="1"/>
      <w:numFmt w:val="bullet"/>
      <w:lvlText w:val="■"/>
      <w:lvlJc w:val="left"/>
      <w:pPr>
        <w:ind w:left="4320" w:hanging="360"/>
      </w:pPr>
    </w:lvl>
    <w:lvl w:ilvl="6" w:tplc="FA9E01A4">
      <w:start w:val="1"/>
      <w:numFmt w:val="bullet"/>
      <w:lvlText w:val="●"/>
      <w:lvlJc w:val="left"/>
      <w:pPr>
        <w:ind w:left="5040" w:hanging="360"/>
      </w:pPr>
    </w:lvl>
    <w:lvl w:ilvl="7" w:tplc="6A940EF0">
      <w:start w:val="1"/>
      <w:numFmt w:val="bullet"/>
      <w:lvlText w:val="●"/>
      <w:lvlJc w:val="left"/>
      <w:pPr>
        <w:ind w:left="5760" w:hanging="360"/>
      </w:pPr>
    </w:lvl>
    <w:lvl w:ilvl="8" w:tplc="6E86A0E2">
      <w:start w:val="1"/>
      <w:numFmt w:val="bullet"/>
      <w:lvlText w:val="●"/>
      <w:lvlJc w:val="left"/>
      <w:pPr>
        <w:ind w:left="6480" w:hanging="360"/>
      </w:pPr>
    </w:lvl>
  </w:abstractNum>
  <w:abstractNum w:abstractNumId="1" w15:restartNumberingAfterBreak="0">
    <w:nsid w:val="464337F8"/>
    <w:multiLevelType w:val="hybridMultilevel"/>
    <w:tmpl w:val="A2B485A6"/>
    <w:lvl w:ilvl="0" w:tplc="D58614BC">
      <w:start w:val="1"/>
      <w:numFmt w:val="bullet"/>
      <w:lvlText w:val="•"/>
      <w:lvlJc w:val="left"/>
      <w:pPr>
        <w:ind w:left="600" w:hanging="280"/>
      </w:pPr>
    </w:lvl>
    <w:lvl w:ilvl="1" w:tplc="DDD86B16">
      <w:numFmt w:val="decimal"/>
      <w:lvlText w:val=""/>
      <w:lvlJc w:val="left"/>
    </w:lvl>
    <w:lvl w:ilvl="2" w:tplc="B0ECBE66">
      <w:numFmt w:val="decimal"/>
      <w:lvlText w:val=""/>
      <w:lvlJc w:val="left"/>
    </w:lvl>
    <w:lvl w:ilvl="3" w:tplc="FDFEC5A0">
      <w:numFmt w:val="decimal"/>
      <w:lvlText w:val=""/>
      <w:lvlJc w:val="left"/>
    </w:lvl>
    <w:lvl w:ilvl="4" w:tplc="3552E9E0">
      <w:numFmt w:val="decimal"/>
      <w:lvlText w:val=""/>
      <w:lvlJc w:val="left"/>
    </w:lvl>
    <w:lvl w:ilvl="5" w:tplc="D7E87540">
      <w:numFmt w:val="decimal"/>
      <w:lvlText w:val=""/>
      <w:lvlJc w:val="left"/>
    </w:lvl>
    <w:lvl w:ilvl="6" w:tplc="9E828088">
      <w:numFmt w:val="decimal"/>
      <w:lvlText w:val=""/>
      <w:lvlJc w:val="left"/>
    </w:lvl>
    <w:lvl w:ilvl="7" w:tplc="7A08E2C8">
      <w:numFmt w:val="decimal"/>
      <w:lvlText w:val=""/>
      <w:lvlJc w:val="left"/>
    </w:lvl>
    <w:lvl w:ilvl="8" w:tplc="CA7CB57E">
      <w:numFmt w:val="decimal"/>
      <w:lvlText w:val=""/>
      <w:lvlJc w:val="left"/>
    </w:lvl>
  </w:abstractNum>
  <w:num w:numId="1" w16cid:durableId="803621741">
    <w:abstractNumId w:val="0"/>
    <w:lvlOverride w:ilvl="0">
      <w:startOverride w:val="1"/>
    </w:lvlOverride>
  </w:num>
  <w:num w:numId="2" w16cid:durableId="3330756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B4A"/>
    <w:rsid w:val="00017B4A"/>
    <w:rsid w:val="00077D8B"/>
    <w:rsid w:val="00123B8C"/>
    <w:rsid w:val="002B362A"/>
    <w:rsid w:val="003A0098"/>
    <w:rsid w:val="003B75FA"/>
    <w:rsid w:val="00542548"/>
    <w:rsid w:val="005957DD"/>
    <w:rsid w:val="00793FC8"/>
    <w:rsid w:val="007A1D6C"/>
    <w:rsid w:val="007E0AA7"/>
    <w:rsid w:val="00815B83"/>
    <w:rsid w:val="00A24935"/>
    <w:rsid w:val="00B56913"/>
    <w:rsid w:val="00C27C9D"/>
    <w:rsid w:val="00C411FB"/>
    <w:rsid w:val="00FF4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8738D"/>
  <w15:docId w15:val="{D267E5CF-1843-4175-90E3-9DE9338B1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00" w:after="160"/>
      <w:outlineLvl w:val="0"/>
    </w:pPr>
    <w:rPr>
      <w:b/>
      <w:bCs/>
      <w:color w:val="1F4E79"/>
      <w:sz w:val="30"/>
      <w:szCs w:val="30"/>
    </w:rPr>
  </w:style>
  <w:style w:type="paragraph" w:styleId="Heading2">
    <w:name w:val="heading 2"/>
    <w:uiPriority w:val="9"/>
    <w:unhideWhenUsed/>
    <w:qFormat/>
    <w:pPr>
      <w:spacing w:before="260" w:after="120"/>
      <w:outlineLvl w:val="1"/>
    </w:pPr>
    <w:rPr>
      <w:b/>
      <w:bCs/>
      <w:color w:val="1F4E79"/>
      <w:sz w:val="25"/>
      <w:szCs w:val="25"/>
    </w:rPr>
  </w:style>
  <w:style w:type="paragraph" w:styleId="Heading3">
    <w:name w:val="heading 3"/>
    <w:uiPriority w:val="9"/>
    <w:unhideWhenUsed/>
    <w:qFormat/>
    <w:pPr>
      <w:spacing w:before="18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77D8B"/>
    <w:pPr>
      <w:spacing w:after="100"/>
    </w:pPr>
  </w:style>
  <w:style w:type="paragraph" w:styleId="TOC2">
    <w:name w:val="toc 2"/>
    <w:basedOn w:val="Normal"/>
    <w:next w:val="Normal"/>
    <w:autoRedefine/>
    <w:uiPriority w:val="39"/>
    <w:unhideWhenUsed/>
    <w:rsid w:val="00077D8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6" Type="http://schemas.openxmlformats.org/officeDocument/2006/relationships/image" Target="media/image70.png"/><Relationship Id="rId84"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header" Target="header1.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61</Pages>
  <Words>6539</Words>
  <Characters>37275</Characters>
  <Application>Microsoft Office Word</Application>
  <DocSecurity>0</DocSecurity>
  <Lines>310</Lines>
  <Paragraphs>87</Paragraphs>
  <ScaleCrop>false</ScaleCrop>
  <Company/>
  <LinksUpToDate>false</LinksUpToDate>
  <CharactersWithSpaces>43727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Time-Series Analysis of the CPQI</dc:title>
  <dc:creator>Data and Design Lab, University of Dhaka</dc:creator>
  <cp:lastModifiedBy>Madhure Rani Mondol</cp:lastModifiedBy>
  <cp:revision>7</cp:revision>
  <dcterms:created xsi:type="dcterms:W3CDTF">2026-06-27T07:12:00Z</dcterms:created>
  <dcterms:modified xsi:type="dcterms:W3CDTF">2026-06-28T07:38:00Z</dcterms:modified>
</cp:coreProperties>
</file>