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40"/>
        <w:jc w:val="center"/>
      </w:pPr>
      <w:r>
        <w:rPr>
          <w:rFonts w:ascii="Calibri" w:hAnsi="Calibri"/>
          <w:b/>
          <w:color w:val="184C78"/>
          <w:sz w:val="48"/>
        </w:rPr>
        <w:t>Deep Autoencoder Claim Fraud Detection</w:t>
      </w:r>
    </w:p>
    <w:p>
      <w:pPr>
        <w:spacing w:after="240"/>
        <w:jc w:val="center"/>
      </w:pPr>
      <w:r>
        <w:rPr>
          <w:rFonts w:ascii="Calibri" w:hAnsi="Calibri"/>
          <w:color w:val="2980B9"/>
          <w:sz w:val="24"/>
        </w:rPr>
        <w:t>Unsupervised Neural Anomaly Detection using Bottleneck Reconstruction Error</w:t>
      </w:r>
    </w:p>
    <w:p>
      <w:pPr>
        <w:spacing w:after="320"/>
        <w:jc w:val="center"/>
      </w:pPr>
      <w:r>
        <w:rPr>
          <w:rFonts w:ascii="Calibri" w:hAnsi="Calibri"/>
          <w:i/>
          <w:color w:val="646464"/>
          <w:sz w:val="19"/>
        </w:rPr>
        <w:t>Cameroon openIMIS National Insurance Platform  |  Data and Design Lab  |  2026</w:t>
      </w:r>
    </w:p>
    <w:p>
      <w:pPr>
        <w:keepNext/>
        <w:spacing w:before="320" w:after="80"/>
      </w:pPr>
      <w:r>
        <w:rPr>
          <w:rFonts w:ascii="Calibri" w:hAnsi="Calibri"/>
          <w:b/>
          <w:color w:val="184C78"/>
          <w:sz w:val="30"/>
        </w:rPr>
        <w:t>1. Executive Summary</w:t>
      </w:r>
    </w:p>
    <w:p>
      <w:pPr>
        <w:spacing w:before="0" w:after="100" w:line="276" w:lineRule="auto"/>
      </w:pPr>
      <w:r>
        <w:rPr>
          <w:rFonts w:ascii="Calibri" w:hAnsi="Calibri"/>
          <w:color w:val="282828"/>
          <w:sz w:val="20"/>
        </w:rPr>
        <w:t>This report details the implementation, validation, and operationalization of a Deep Autoencoder trained on the Cameroon openIMIS health insurance dataset. The model evaluates claims purely unsupervised, compressing 42 engineered input features into a compact 8-dimensional bottleneck latent representation. Because it is trained exclusively on normal, accepted healthcare claims, the network learns to accurately reconstruct standard clinical and financial patterns while failing to reconstruct fraudulent, overbilled, or abnormal claims. The resulting Mean Squared Error (MSE) reconstruction loss serves directly as an objective Anomaly Score.</w:t>
      </w:r>
    </w:p>
    <w:tbl>
      <w:tblPr>
        <w:tblW w:type="auto" w:w="0"/>
        <w:jc w:val="center"/>
        <w:tblLook w:firstColumn="1" w:firstRow="1" w:lastColumn="0" w:lastRow="0" w:noHBand="0" w:noVBand="1" w:val="04A0"/>
      </w:tblPr>
      <w:tblGrid>
        <w:gridCol w:w="10080"/>
      </w:tblGrid>
      <w:tr>
        <w:tc>
          <w:tcPr>
            <w:tcW w:type="dxa" w:w="10080"/>
            <w:shd w:fill="F4F7FA"/>
            <w:tcMar>
              <w:top w:w="80" w:type="dxa"/>
              <w:bottom w:w="80" w:type="dxa"/>
              <w:left w:w="120" w:type="dxa"/>
              <w:right w:w="120" w:type="dxa"/>
            </w:tcMar>
            <w:tcBorders>
              <w:left w:val="single" w:sz="24" w:space="0" w:color="184C78"/>
              <w:top w:val="none"/>
              <w:right w:val="none"/>
              <w:bottom w:val="none"/>
            </w:tcBorders>
          </w:tcPr>
          <w:p>
            <w:pPr>
              <w:spacing w:after="0"/>
            </w:pPr>
            <w:r>
              <w:rPr>
                <w:rFonts w:ascii="Calibri" w:hAnsi="Calibri"/>
                <w:b/>
                <w:color w:val="184C78"/>
                <w:sz w:val="19"/>
              </w:rPr>
              <w:t xml:space="preserve">Key Finding: </w:t>
            </w:r>
            <w:r>
              <w:rPr>
                <w:rFonts w:ascii="Calibri" w:hAnsi="Calibri"/>
                <w:color w:val="282828"/>
                <w:sz w:val="19"/>
              </w:rPr>
              <w:t>The Autoencoder achieves a test ROC-AUC of 0.7408 and a PR-AUC of 0.5074—representing a 2.90x lift over the baseline rejection rate (17.50%). At the target operational threshold, it isolates fraudulent claims with 94.38% precision, beating linear PCA by +28.7% and recovering 103M XAF in net audit value.</w:t>
            </w:r>
          </w:p>
        </w:tc>
      </w:tr>
    </w:tbl>
    <w:p>
      <w:pPr>
        <w:spacing w:after="80"/>
      </w:pPr>
    </w:p>
    <w:p>
      <w:pPr>
        <w:keepNext/>
        <w:spacing w:before="320" w:after="80"/>
      </w:pPr>
      <w:r>
        <w:rPr>
          <w:rFonts w:ascii="Calibri" w:hAnsi="Calibri"/>
          <w:b/>
          <w:color w:val="184C78"/>
          <w:sz w:val="30"/>
        </w:rPr>
        <w:t>2. What We Did, How, and Why</w:t>
      </w:r>
    </w:p>
    <w:p>
      <w:pPr>
        <w:keepNext/>
        <w:spacing w:before="200" w:after="60"/>
      </w:pPr>
      <w:r>
        <w:rPr>
          <w:rFonts w:ascii="Calibri" w:hAnsi="Calibri"/>
          <w:b/>
          <w:color w:val="2980B9"/>
          <w:sz w:val="24"/>
        </w:rPr>
        <w:t>What We Did</w:t>
      </w:r>
    </w:p>
    <w:p>
      <w:pPr>
        <w:spacing w:before="0" w:after="100" w:line="276" w:lineRule="auto"/>
      </w:pPr>
      <w:r>
        <w:rPr>
          <w:rFonts w:ascii="Calibri" w:hAnsi="Calibri"/>
          <w:color w:val="282828"/>
          <w:sz w:val="20"/>
        </w:rPr>
        <w:t>We designed and trained a self-supervised PyTorch neural network that detects abnormal claims without requiring fraud labels. The architecture takes 42 claim features (financial ratios, procedure counts, diagnostic codes, length of stay, and facility historical risk) and compresses them through an encoder into an 8-dimensional latent space, then reconstructs the original vector through a symmetrical decoder.</w:t>
      </w:r>
    </w:p>
    <w:p>
      <w:pPr>
        <w:keepNext/>
        <w:spacing w:before="200" w:after="60"/>
      </w:pPr>
      <w:r>
        <w:rPr>
          <w:rFonts w:ascii="Calibri" w:hAnsi="Calibri"/>
          <w:b/>
          <w:color w:val="2980B9"/>
          <w:sz w:val="24"/>
        </w:rPr>
        <w:t>Why We Did It</w:t>
      </w:r>
    </w:p>
    <w:p>
      <w:pPr>
        <w:spacing w:before="0" w:after="100" w:line="276" w:lineRule="auto"/>
      </w:pPr>
      <w:r>
        <w:rPr>
          <w:rFonts w:ascii="Calibri" w:hAnsi="Calibri"/>
          <w:color w:val="282828"/>
          <w:sz w:val="20"/>
        </w:rPr>
        <w:t>In developing healthcare markets, confirmed fraud labels are rare, delayed, and biased toward known billing infractions. Supervised classifiers fail when clinics invent new schemes. An Autoencoder solves this problem because it does not search for known fraud patterns; instead, it models standard legitimate healthcare delivery. Any claim that diverges from standard clinical norms produces high reconstruction error.</w:t>
      </w:r>
    </w:p>
    <w:p>
      <w:pPr>
        <w:keepNext/>
        <w:spacing w:before="200" w:after="60"/>
      </w:pPr>
      <w:r>
        <w:rPr>
          <w:rFonts w:ascii="Calibri" w:hAnsi="Calibri"/>
          <w:b/>
          <w:color w:val="2980B9"/>
          <w:sz w:val="24"/>
        </w:rPr>
        <w:t>How We Did It</w:t>
      </w:r>
    </w:p>
    <w:p>
      <w:pPr>
        <w:spacing w:before="0" w:after="100" w:line="276" w:lineRule="auto"/>
      </w:pPr>
      <w:r>
        <w:rPr>
          <w:rFonts w:ascii="Calibri" w:hAnsi="Calibri"/>
          <w:color w:val="282828"/>
          <w:sz w:val="20"/>
        </w:rPr>
        <w:t>• Network Architecture: 42 inputs -&gt; Linear(32) -&gt; LeakyReLU(0.2) -&gt; Linear(16) -&gt; LeakyReLU(0.2) -&gt; Bottleneck(8) -&gt; Linear(16) -&gt; Linear(32) -&gt; Output(42).</w:t>
        <w:br/>
        <w:t>• Clean Training: Trained strictly on Accepted Claims (70% split) with Adam optimizer and ReduceLROnPlateau.</w:t>
        <w:br/>
        <w:t>• Checkpoint Selection: Checkpoints were selected by maximizing validation PR-AUC (Precision-Recall Area), not training loss, preventing overfitting to common claim noise.</w:t>
        <w:br/>
        <w:t>• Latent Sweep: Swept dimensions 2, 4, 8, 16; dimension 8 delivered the optimal trade-off between compression and anomaly discrimination.</w:t>
      </w:r>
    </w:p>
    <w:p>
      <w:pPr>
        <w:keepNext/>
        <w:spacing w:before="320" w:after="80"/>
      </w:pPr>
      <w:r>
        <w:rPr>
          <w:rFonts w:ascii="Calibri" w:hAnsi="Calibri"/>
          <w:b/>
          <w:color w:val="184C78"/>
          <w:sz w:val="30"/>
        </w:rPr>
        <w:t>3. What We Got (Empirical Results &amp; Evaluation)</w:t>
      </w:r>
    </w:p>
    <w:p>
      <w:pPr>
        <w:spacing w:before="0" w:after="100" w:line="276" w:lineRule="auto"/>
      </w:pPr>
      <w:r>
        <w:rPr>
          <w:rFonts w:ascii="Calibri" w:hAnsi="Calibri"/>
          <w:color w:val="282828"/>
          <w:sz w:val="20"/>
        </w:rPr>
        <w:t>Evaluating on the temporal holdout test set (417,814 claims across 878 healthcare facilities) yielded the following metrics:</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520"/>
        <w:gridCol w:w="2520"/>
        <w:gridCol w:w="2520"/>
        <w:gridCol w:w="2520"/>
      </w:tblGrid>
      <w:tr>
        <w:tc>
          <w:tcPr>
            <w:tcW w:type="dxa" w:w="2304"/>
            <w:shd w:fill="184C78"/>
            <w:tcMar>
              <w:top w:w="90" w:type="dxa"/>
              <w:bottom w:w="90" w:type="dxa"/>
              <w:left w:w="90" w:type="dxa"/>
              <w:right w:w="90" w:type="dxa"/>
            </w:tcMar>
          </w:tcPr>
          <w:p>
            <w:pPr>
              <w:jc w:val="left"/>
            </w:pPr>
            <w:r>
              <w:rPr>
                <w:rFonts w:ascii="Calibri" w:hAnsi="Calibri"/>
                <w:b/>
                <w:color w:val="FFFFFF"/>
                <w:sz w:val="19"/>
              </w:rPr>
              <w:t>Metric / Parameter</w:t>
            </w:r>
          </w:p>
        </w:tc>
        <w:tc>
          <w:tcPr>
            <w:tcW w:type="dxa" w:w="2592"/>
            <w:shd w:fill="184C78"/>
            <w:tcMar>
              <w:top w:w="90" w:type="dxa"/>
              <w:bottom w:w="90" w:type="dxa"/>
              <w:left w:w="90" w:type="dxa"/>
              <w:right w:w="90" w:type="dxa"/>
            </w:tcMar>
          </w:tcPr>
          <w:p>
            <w:pPr>
              <w:jc w:val="left"/>
            </w:pPr>
            <w:r>
              <w:rPr>
                <w:rFonts w:ascii="Calibri" w:hAnsi="Calibri"/>
                <w:b/>
                <w:color w:val="FFFFFF"/>
                <w:sz w:val="19"/>
              </w:rPr>
              <w:t>Autoencoder Result</w:t>
            </w:r>
          </w:p>
        </w:tc>
        <w:tc>
          <w:tcPr>
            <w:tcW w:type="dxa" w:w="2592"/>
            <w:shd w:fill="184C78"/>
            <w:tcMar>
              <w:top w:w="90" w:type="dxa"/>
              <w:bottom w:w="90" w:type="dxa"/>
              <w:left w:w="90" w:type="dxa"/>
              <w:right w:w="90" w:type="dxa"/>
            </w:tcMar>
          </w:tcPr>
          <w:p>
            <w:pPr>
              <w:jc w:val="left"/>
            </w:pPr>
            <w:r>
              <w:rPr>
                <w:rFonts w:ascii="Calibri" w:hAnsi="Calibri"/>
                <w:b/>
                <w:color w:val="FFFFFF"/>
                <w:sz w:val="19"/>
              </w:rPr>
              <w:t>Baseline / Comparison</w:t>
            </w:r>
          </w:p>
        </w:tc>
        <w:tc>
          <w:tcPr>
            <w:tcW w:type="dxa" w:w="2592"/>
            <w:shd w:fill="184C78"/>
            <w:tcMar>
              <w:top w:w="90" w:type="dxa"/>
              <w:bottom w:w="90" w:type="dxa"/>
              <w:left w:w="90" w:type="dxa"/>
              <w:right w:w="90" w:type="dxa"/>
            </w:tcMar>
          </w:tcPr>
          <w:p>
            <w:pPr>
              <w:jc w:val="left"/>
            </w:pPr>
            <w:r>
              <w:rPr>
                <w:rFonts w:ascii="Calibri" w:hAnsi="Calibri"/>
                <w:b/>
                <w:color w:val="FFFFFF"/>
                <w:sz w:val="19"/>
              </w:rPr>
              <w:t>Operational Meaning</w:t>
            </w:r>
          </w:p>
        </w:tc>
      </w:tr>
      <w:tr>
        <w:tc>
          <w:tcPr>
            <w:tcW w:type="dxa" w:w="2304"/>
            <w:shd w:fill="FFFFFF"/>
            <w:tcMar>
              <w:top w:w="65" w:type="dxa"/>
              <w:bottom w:w="65" w:type="dxa"/>
              <w:left w:w="90" w:type="dxa"/>
              <w:right w:w="90" w:type="dxa"/>
            </w:tcMar>
          </w:tcPr>
          <w:p>
            <w:r>
              <w:rPr>
                <w:rFonts w:ascii="Calibri" w:hAnsi="Calibri"/>
                <w:color w:val="282828"/>
                <w:sz w:val="18"/>
              </w:rPr>
              <w:t>ROC-AUC</w:t>
            </w:r>
          </w:p>
        </w:tc>
        <w:tc>
          <w:tcPr>
            <w:tcW w:type="dxa" w:w="2592"/>
            <w:shd w:fill="FFFFFF"/>
            <w:tcMar>
              <w:top w:w="65" w:type="dxa"/>
              <w:bottom w:w="65" w:type="dxa"/>
              <w:left w:w="90" w:type="dxa"/>
              <w:right w:w="90" w:type="dxa"/>
            </w:tcMar>
          </w:tcPr>
          <w:p>
            <w:r>
              <w:rPr>
                <w:rFonts w:ascii="Calibri" w:hAnsi="Calibri"/>
                <w:color w:val="282828"/>
                <w:sz w:val="18"/>
              </w:rPr>
              <w:t>0.7408 (95% CI: 0.671 - 0.801)</w:t>
            </w:r>
          </w:p>
        </w:tc>
        <w:tc>
          <w:tcPr>
            <w:tcW w:type="dxa" w:w="2592"/>
            <w:shd w:fill="FFFFFF"/>
            <w:tcMar>
              <w:top w:w="65" w:type="dxa"/>
              <w:bottom w:w="65" w:type="dxa"/>
              <w:left w:w="90" w:type="dxa"/>
              <w:right w:w="90" w:type="dxa"/>
            </w:tcMar>
          </w:tcPr>
          <w:p>
            <w:r>
              <w:rPr>
                <w:rFonts w:ascii="Calibri" w:hAnsi="Calibri"/>
                <w:color w:val="282828"/>
                <w:sz w:val="18"/>
              </w:rPr>
              <w:t>Random: 0.5000 | PCA: 0.6832</w:t>
            </w:r>
          </w:p>
        </w:tc>
        <w:tc>
          <w:tcPr>
            <w:tcW w:type="dxa" w:w="2592"/>
            <w:shd w:fill="FFFFFF"/>
            <w:tcMar>
              <w:top w:w="65" w:type="dxa"/>
              <w:bottom w:w="65" w:type="dxa"/>
              <w:left w:w="90" w:type="dxa"/>
              <w:right w:w="90" w:type="dxa"/>
            </w:tcMar>
          </w:tcPr>
          <w:p>
            <w:r>
              <w:rPr>
                <w:rFonts w:ascii="Calibri" w:hAnsi="Calibri"/>
                <w:color w:val="282828"/>
                <w:sz w:val="18"/>
              </w:rPr>
              <w:t>Solid non-linear ranking across facilities</w:t>
            </w:r>
          </w:p>
        </w:tc>
      </w:tr>
      <w:tr>
        <w:tc>
          <w:tcPr>
            <w:tcW w:type="dxa" w:w="2304"/>
            <w:shd w:fill="F4F7FA"/>
            <w:tcMar>
              <w:top w:w="65" w:type="dxa"/>
              <w:bottom w:w="65" w:type="dxa"/>
              <w:left w:w="90" w:type="dxa"/>
              <w:right w:w="90" w:type="dxa"/>
            </w:tcMar>
          </w:tcPr>
          <w:p>
            <w:r>
              <w:rPr>
                <w:rFonts w:ascii="Calibri" w:hAnsi="Calibri"/>
                <w:color w:val="282828"/>
                <w:sz w:val="18"/>
              </w:rPr>
              <w:t>PR-AUC (Average Precision)</w:t>
            </w:r>
          </w:p>
        </w:tc>
        <w:tc>
          <w:tcPr>
            <w:tcW w:type="dxa" w:w="2592"/>
            <w:shd w:fill="F4F7FA"/>
            <w:tcMar>
              <w:top w:w="65" w:type="dxa"/>
              <w:bottom w:w="65" w:type="dxa"/>
              <w:left w:w="90" w:type="dxa"/>
              <w:right w:w="90" w:type="dxa"/>
            </w:tcMar>
          </w:tcPr>
          <w:p>
            <w:r>
              <w:rPr>
                <w:rFonts w:ascii="Calibri" w:hAnsi="Calibri"/>
                <w:color w:val="282828"/>
                <w:sz w:val="18"/>
              </w:rPr>
              <w:t>0.5074 (95% CI: 0.326 - 0.660)</w:t>
            </w:r>
          </w:p>
        </w:tc>
        <w:tc>
          <w:tcPr>
            <w:tcW w:type="dxa" w:w="2592"/>
            <w:shd w:fill="F4F7FA"/>
            <w:tcMar>
              <w:top w:w="65" w:type="dxa"/>
              <w:bottom w:w="65" w:type="dxa"/>
              <w:left w:w="90" w:type="dxa"/>
              <w:right w:w="90" w:type="dxa"/>
            </w:tcMar>
          </w:tcPr>
          <w:p>
            <w:r>
              <w:rPr>
                <w:rFonts w:ascii="Calibri" w:hAnsi="Calibri"/>
                <w:color w:val="282828"/>
                <w:sz w:val="18"/>
              </w:rPr>
              <w:t>No-skill baseline: 0.1750</w:t>
            </w:r>
          </w:p>
        </w:tc>
        <w:tc>
          <w:tcPr>
            <w:tcW w:type="dxa" w:w="2592"/>
            <w:shd w:fill="F4F7FA"/>
            <w:tcMar>
              <w:top w:w="65" w:type="dxa"/>
              <w:bottom w:w="65" w:type="dxa"/>
              <w:left w:w="90" w:type="dxa"/>
              <w:right w:w="90" w:type="dxa"/>
            </w:tcMar>
          </w:tcPr>
          <w:p>
            <w:r>
              <w:rPr>
                <w:rFonts w:ascii="Calibri" w:hAnsi="Calibri"/>
                <w:color w:val="282828"/>
                <w:sz w:val="18"/>
              </w:rPr>
              <w:t>2.90x enrichment over random audit</w:t>
            </w:r>
          </w:p>
        </w:tc>
      </w:tr>
      <w:tr>
        <w:tc>
          <w:tcPr>
            <w:tcW w:type="dxa" w:w="2304"/>
            <w:shd w:fill="FFFFFF"/>
            <w:tcMar>
              <w:top w:w="65" w:type="dxa"/>
              <w:bottom w:w="65" w:type="dxa"/>
              <w:left w:w="90" w:type="dxa"/>
              <w:right w:w="90" w:type="dxa"/>
            </w:tcMar>
          </w:tcPr>
          <w:p>
            <w:r>
              <w:rPr>
                <w:rFonts w:ascii="Calibri" w:hAnsi="Calibri"/>
                <w:color w:val="282828"/>
                <w:sz w:val="18"/>
              </w:rPr>
              <w:t>Operating Threshold</w:t>
            </w:r>
          </w:p>
        </w:tc>
        <w:tc>
          <w:tcPr>
            <w:tcW w:type="dxa" w:w="2592"/>
            <w:shd w:fill="FFFFFF"/>
            <w:tcMar>
              <w:top w:w="65" w:type="dxa"/>
              <w:bottom w:w="65" w:type="dxa"/>
              <w:left w:w="90" w:type="dxa"/>
              <w:right w:w="90" w:type="dxa"/>
            </w:tcMar>
          </w:tcPr>
          <w:p>
            <w:r>
              <w:rPr>
                <w:rFonts w:ascii="Calibri" w:hAnsi="Calibri"/>
                <w:color w:val="282828"/>
                <w:sz w:val="18"/>
              </w:rPr>
              <w:t>0.348160</w:t>
            </w:r>
          </w:p>
        </w:tc>
        <w:tc>
          <w:tcPr>
            <w:tcW w:type="dxa" w:w="2592"/>
            <w:shd w:fill="FFFFFF"/>
            <w:tcMar>
              <w:top w:w="65" w:type="dxa"/>
              <w:bottom w:w="65" w:type="dxa"/>
              <w:left w:w="90" w:type="dxa"/>
              <w:right w:w="90" w:type="dxa"/>
            </w:tcMar>
          </w:tcPr>
          <w:p>
            <w:r>
              <w:rPr>
                <w:rFonts w:ascii="Calibri" w:hAnsi="Calibri"/>
                <w:color w:val="282828"/>
                <w:sz w:val="18"/>
              </w:rPr>
              <w:t>Chosen to match 500 audits/day</w:t>
            </w:r>
          </w:p>
        </w:tc>
        <w:tc>
          <w:tcPr>
            <w:tcW w:type="dxa" w:w="2592"/>
            <w:shd w:fill="FFFFFF"/>
            <w:tcMar>
              <w:top w:w="65" w:type="dxa"/>
              <w:bottom w:w="65" w:type="dxa"/>
              <w:left w:w="90" w:type="dxa"/>
              <w:right w:w="90" w:type="dxa"/>
            </w:tcMar>
          </w:tcPr>
          <w:p>
            <w:r>
              <w:rPr>
                <w:rFonts w:ascii="Calibri" w:hAnsi="Calibri"/>
                <w:color w:val="282828"/>
                <w:sz w:val="18"/>
              </w:rPr>
              <w:t>Daily auditor capacity constraint</w:t>
            </w:r>
          </w:p>
        </w:tc>
      </w:tr>
      <w:tr>
        <w:tc>
          <w:tcPr>
            <w:tcW w:type="dxa" w:w="2304"/>
            <w:shd w:fill="F4F7FA"/>
            <w:tcMar>
              <w:top w:w="65" w:type="dxa"/>
              <w:bottom w:w="65" w:type="dxa"/>
              <w:left w:w="90" w:type="dxa"/>
              <w:right w:w="90" w:type="dxa"/>
            </w:tcMar>
          </w:tcPr>
          <w:p>
            <w:r>
              <w:rPr>
                <w:rFonts w:ascii="Calibri" w:hAnsi="Calibri"/>
                <w:color w:val="282828"/>
                <w:sz w:val="18"/>
              </w:rPr>
              <w:t>Audit Alert Rate</w:t>
            </w:r>
          </w:p>
        </w:tc>
        <w:tc>
          <w:tcPr>
            <w:tcW w:type="dxa" w:w="2592"/>
            <w:shd w:fill="F4F7FA"/>
            <w:tcMar>
              <w:top w:w="65" w:type="dxa"/>
              <w:bottom w:w="65" w:type="dxa"/>
              <w:left w:w="90" w:type="dxa"/>
              <w:right w:w="90" w:type="dxa"/>
            </w:tcMar>
          </w:tcPr>
          <w:p>
            <w:r>
              <w:rPr>
                <w:rFonts w:ascii="Calibri" w:hAnsi="Calibri"/>
                <w:color w:val="282828"/>
                <w:sz w:val="18"/>
              </w:rPr>
              <w:t>1.7625% (7,364 claims)</w:t>
            </w:r>
          </w:p>
        </w:tc>
        <w:tc>
          <w:tcPr>
            <w:tcW w:type="dxa" w:w="2592"/>
            <w:shd w:fill="F4F7FA"/>
            <w:tcMar>
              <w:top w:w="65" w:type="dxa"/>
              <w:bottom w:w="65" w:type="dxa"/>
              <w:left w:w="90" w:type="dxa"/>
              <w:right w:w="90" w:type="dxa"/>
            </w:tcMar>
          </w:tcPr>
          <w:p>
            <w:r>
              <w:rPr>
                <w:rFonts w:ascii="Calibri" w:hAnsi="Calibri"/>
                <w:color w:val="282828"/>
                <w:sz w:val="18"/>
              </w:rPr>
              <w:t>Historical audit: ~5.0%</w:t>
            </w:r>
          </w:p>
        </w:tc>
        <w:tc>
          <w:tcPr>
            <w:tcW w:type="dxa" w:w="2592"/>
            <w:shd w:fill="F4F7FA"/>
            <w:tcMar>
              <w:top w:w="65" w:type="dxa"/>
              <w:bottom w:w="65" w:type="dxa"/>
              <w:left w:w="90" w:type="dxa"/>
              <w:right w:w="90" w:type="dxa"/>
            </w:tcMar>
          </w:tcPr>
          <w:p>
            <w:r>
              <w:rPr>
                <w:rFonts w:ascii="Calibri" w:hAnsi="Calibri"/>
                <w:color w:val="282828"/>
                <w:sz w:val="18"/>
              </w:rPr>
              <w:t>Targets high-yield suspicious claims</w:t>
            </w:r>
          </w:p>
        </w:tc>
      </w:tr>
      <w:tr>
        <w:tc>
          <w:tcPr>
            <w:tcW w:type="dxa" w:w="2304"/>
            <w:shd w:fill="FFFFFF"/>
            <w:tcMar>
              <w:top w:w="65" w:type="dxa"/>
              <w:bottom w:w="65" w:type="dxa"/>
              <w:left w:w="90" w:type="dxa"/>
              <w:right w:w="90" w:type="dxa"/>
            </w:tcMar>
          </w:tcPr>
          <w:p>
            <w:r>
              <w:rPr>
                <w:rFonts w:ascii="Calibri" w:hAnsi="Calibri"/>
                <w:color w:val="282828"/>
                <w:sz w:val="18"/>
              </w:rPr>
              <w:t>Precision at Threshold</w:t>
            </w:r>
          </w:p>
        </w:tc>
        <w:tc>
          <w:tcPr>
            <w:tcW w:type="dxa" w:w="2592"/>
            <w:shd w:fill="FFFFFF"/>
            <w:tcMar>
              <w:top w:w="65" w:type="dxa"/>
              <w:bottom w:w="65" w:type="dxa"/>
              <w:left w:w="90" w:type="dxa"/>
              <w:right w:w="90" w:type="dxa"/>
            </w:tcMar>
          </w:tcPr>
          <w:p>
            <w:r>
              <w:rPr>
                <w:rFonts w:ascii="Calibri" w:hAnsi="Calibri"/>
                <w:color w:val="282828"/>
                <w:sz w:val="18"/>
              </w:rPr>
              <w:t>94.38%</w:t>
            </w:r>
          </w:p>
        </w:tc>
        <w:tc>
          <w:tcPr>
            <w:tcW w:type="dxa" w:w="2592"/>
            <w:shd w:fill="FFFFFF"/>
            <w:tcMar>
              <w:top w:w="65" w:type="dxa"/>
              <w:bottom w:w="65" w:type="dxa"/>
              <w:left w:w="90" w:type="dxa"/>
              <w:right w:w="90" w:type="dxa"/>
            </w:tcMar>
          </w:tcPr>
          <w:p>
            <w:r>
              <w:rPr>
                <w:rFonts w:ascii="Calibri" w:hAnsi="Calibri"/>
                <w:color w:val="282828"/>
                <w:sz w:val="18"/>
              </w:rPr>
              <w:t>Raw test precision: 17.5%</w:t>
            </w:r>
          </w:p>
        </w:tc>
        <w:tc>
          <w:tcPr>
            <w:tcW w:type="dxa" w:w="2592"/>
            <w:shd w:fill="FFFFFF"/>
            <w:tcMar>
              <w:top w:w="65" w:type="dxa"/>
              <w:bottom w:w="65" w:type="dxa"/>
              <w:left w:w="90" w:type="dxa"/>
              <w:right w:w="90" w:type="dxa"/>
            </w:tcMar>
          </w:tcPr>
          <w:p>
            <w:r>
              <w:rPr>
                <w:rFonts w:ascii="Calibri" w:hAnsi="Calibri"/>
                <w:color w:val="282828"/>
                <w:sz w:val="18"/>
              </w:rPr>
              <w:t>94 out of 100 flagged claims are confirmed invalid</w:t>
            </w:r>
          </w:p>
        </w:tc>
      </w:tr>
      <w:tr>
        <w:tc>
          <w:tcPr>
            <w:tcW w:type="dxa" w:w="2304"/>
            <w:shd w:fill="F4F7FA"/>
            <w:tcMar>
              <w:top w:w="65" w:type="dxa"/>
              <w:bottom w:w="65" w:type="dxa"/>
              <w:left w:w="90" w:type="dxa"/>
              <w:right w:w="90" w:type="dxa"/>
            </w:tcMar>
          </w:tcPr>
          <w:p>
            <w:r>
              <w:rPr>
                <w:rFonts w:ascii="Calibri" w:hAnsi="Calibri"/>
                <w:color w:val="282828"/>
                <w:sz w:val="18"/>
              </w:rPr>
              <w:t>Recall at Threshold</w:t>
            </w:r>
          </w:p>
        </w:tc>
        <w:tc>
          <w:tcPr>
            <w:tcW w:type="dxa" w:w="2592"/>
            <w:shd w:fill="F4F7FA"/>
            <w:tcMar>
              <w:top w:w="65" w:type="dxa"/>
              <w:bottom w:w="65" w:type="dxa"/>
              <w:left w:w="90" w:type="dxa"/>
              <w:right w:w="90" w:type="dxa"/>
            </w:tcMar>
          </w:tcPr>
          <w:p>
            <w:r>
              <w:rPr>
                <w:rFonts w:ascii="Calibri" w:hAnsi="Calibri"/>
                <w:color w:val="282828"/>
                <w:sz w:val="18"/>
              </w:rPr>
              <w:t>9.51%</w:t>
            </w:r>
          </w:p>
        </w:tc>
        <w:tc>
          <w:tcPr>
            <w:tcW w:type="dxa" w:w="2592"/>
            <w:shd w:fill="F4F7FA"/>
            <w:tcMar>
              <w:top w:w="65" w:type="dxa"/>
              <w:bottom w:w="65" w:type="dxa"/>
              <w:left w:w="90" w:type="dxa"/>
              <w:right w:w="90" w:type="dxa"/>
            </w:tcMar>
          </w:tcPr>
          <w:p>
            <w:r>
              <w:rPr>
                <w:rFonts w:ascii="Calibri" w:hAnsi="Calibri"/>
                <w:color w:val="282828"/>
                <w:sz w:val="18"/>
              </w:rPr>
              <w:t>N/A</w:t>
            </w:r>
          </w:p>
        </w:tc>
        <w:tc>
          <w:tcPr>
            <w:tcW w:type="dxa" w:w="2592"/>
            <w:shd w:fill="F4F7FA"/>
            <w:tcMar>
              <w:top w:w="65" w:type="dxa"/>
              <w:bottom w:w="65" w:type="dxa"/>
              <w:left w:w="90" w:type="dxa"/>
              <w:right w:w="90" w:type="dxa"/>
            </w:tcMar>
          </w:tcPr>
          <w:p>
            <w:r>
              <w:rPr>
                <w:rFonts w:ascii="Calibri" w:hAnsi="Calibri"/>
                <w:color w:val="282828"/>
                <w:sz w:val="18"/>
              </w:rPr>
              <w:t>Isolates the most blatant anomalies without human fatigue</w:t>
            </w:r>
          </w:p>
        </w:tc>
      </w:tr>
      <w:tr>
        <w:tc>
          <w:tcPr>
            <w:tcW w:type="dxa" w:w="2304"/>
            <w:shd w:fill="FFFFFF"/>
            <w:tcMar>
              <w:top w:w="65" w:type="dxa"/>
              <w:bottom w:w="65" w:type="dxa"/>
              <w:left w:w="90" w:type="dxa"/>
              <w:right w:w="90" w:type="dxa"/>
            </w:tcMar>
          </w:tcPr>
          <w:p>
            <w:r>
              <w:rPr>
                <w:rFonts w:ascii="Calibri" w:hAnsi="Calibri"/>
                <w:color w:val="282828"/>
                <w:sz w:val="18"/>
              </w:rPr>
              <w:t>Net Financial Recovery</w:t>
            </w:r>
          </w:p>
        </w:tc>
        <w:tc>
          <w:tcPr>
            <w:tcW w:type="dxa" w:w="2592"/>
            <w:shd w:fill="FFFFFF"/>
            <w:tcMar>
              <w:top w:w="65" w:type="dxa"/>
              <w:bottom w:w="65" w:type="dxa"/>
              <w:left w:w="90" w:type="dxa"/>
              <w:right w:w="90" w:type="dxa"/>
            </w:tcMar>
          </w:tcPr>
          <w:p>
            <w:r>
              <w:rPr>
                <w:rFonts w:ascii="Calibri" w:hAnsi="Calibri"/>
                <w:color w:val="282828"/>
                <w:sz w:val="18"/>
              </w:rPr>
              <w:t>103,422,000 XAF</w:t>
            </w:r>
          </w:p>
        </w:tc>
        <w:tc>
          <w:tcPr>
            <w:tcW w:type="dxa" w:w="2592"/>
            <w:shd w:fill="FFFFFF"/>
            <w:tcMar>
              <w:top w:w="65" w:type="dxa"/>
              <w:bottom w:w="65" w:type="dxa"/>
              <w:left w:w="90" w:type="dxa"/>
              <w:right w:w="90" w:type="dxa"/>
            </w:tcMar>
          </w:tcPr>
          <w:p>
            <w:r>
              <w:rPr>
                <w:rFonts w:ascii="Calibri" w:hAnsi="Calibri"/>
                <w:color w:val="282828"/>
                <w:sz w:val="18"/>
              </w:rPr>
              <w:t>Baseline: 0 XAF</w:t>
            </w:r>
          </w:p>
        </w:tc>
        <w:tc>
          <w:tcPr>
            <w:tcW w:type="dxa" w:w="2592"/>
            <w:shd w:fill="FFFFFF"/>
            <w:tcMar>
              <w:top w:w="65" w:type="dxa"/>
              <w:bottom w:w="65" w:type="dxa"/>
              <w:left w:w="90" w:type="dxa"/>
              <w:right w:w="90" w:type="dxa"/>
            </w:tcMar>
          </w:tcPr>
          <w:p>
            <w:r>
              <w:rPr>
                <w:rFonts w:ascii="Calibri" w:hAnsi="Calibri"/>
                <w:color w:val="282828"/>
                <w:sz w:val="18"/>
              </w:rPr>
              <w:t>Direct overbilling recovered in audit window</w:t>
            </w:r>
          </w:p>
        </w:tc>
      </w:tr>
    </w:tbl>
    <w:p>
      <w:pPr>
        <w:spacing w:after="120"/>
      </w:pPr>
    </w:p>
    <w:p>
      <w:pPr>
        <w:keepNext/>
        <w:spacing w:before="200" w:after="60"/>
      </w:pPr>
      <w:r>
        <w:rPr>
          <w:rFonts w:ascii="Calibri" w:hAnsi="Calibri"/>
          <w:b/>
          <w:color w:val="2980B9"/>
          <w:sz w:val="24"/>
        </w:rPr>
        <w:t>Precision@K Audit Queue Analysis</w:t>
      </w:r>
    </w:p>
    <w:p>
      <w:pPr>
        <w:spacing w:before="0" w:after="100" w:line="276" w:lineRule="auto"/>
      </w:pPr>
      <w:r>
        <w:rPr>
          <w:rFonts w:ascii="Calibri" w:hAnsi="Calibri"/>
          <w:color w:val="282828"/>
          <w:sz w:val="20"/>
        </w:rPr>
        <w:t>When sorting claims from highest to lowest reconstruction error, the audit yield is exceptionally concentrated at the top:</w:t>
      </w:r>
    </w:p>
    <w:tbl>
      <w:tblPr>
        <w:tblW w:type="auto" w:w="0"/>
        <w:jc w:val="center"/>
        <w:tblLook w:firstColumn="1" w:firstRow="1" w:lastColumn="0" w:lastRow="0" w:noHBand="0" w:noVBand="1" w:val="04A0"/>
        <w:tblBorders>
          <w:top w:val="single" w:sz="4" w:space="0" w:color="CCCCCC"/>
          <w:bottom w:val="single" w:sz="4" w:space="0" w:color="CCCCCC"/>
          <w:insideH w:val="single" w:sz="4" w:space="0" w:color="CCCCCC"/>
          <w:insideV w:val="none"/>
          <w:left w:val="none"/>
          <w:right w:val="none"/>
        </w:tblBorders>
      </w:tblPr>
      <w:tblGrid>
        <w:gridCol w:w="2016"/>
        <w:gridCol w:w="2016"/>
        <w:gridCol w:w="2016"/>
        <w:gridCol w:w="2016"/>
        <w:gridCol w:w="2016"/>
      </w:tblGrid>
      <w:tr>
        <w:tc>
          <w:tcPr>
            <w:tcW w:type="dxa" w:w="2016"/>
            <w:shd w:fill="184C78"/>
            <w:tcMar>
              <w:top w:w="90" w:type="dxa"/>
              <w:bottom w:w="90" w:type="dxa"/>
              <w:left w:w="90" w:type="dxa"/>
              <w:right w:w="90" w:type="dxa"/>
            </w:tcMar>
          </w:tcPr>
          <w:p>
            <w:pPr>
              <w:jc w:val="left"/>
            </w:pPr>
            <w:r>
              <w:rPr>
                <w:rFonts w:ascii="Calibri" w:hAnsi="Calibri"/>
                <w:b/>
                <w:color w:val="FFFFFF"/>
                <w:sz w:val="19"/>
              </w:rPr>
              <w:t>Audit Slice (Top K)</w:t>
            </w:r>
          </w:p>
        </w:tc>
        <w:tc>
          <w:tcPr>
            <w:tcW w:type="dxa" w:w="1728"/>
            <w:shd w:fill="184C78"/>
            <w:tcMar>
              <w:top w:w="90" w:type="dxa"/>
              <w:bottom w:w="90" w:type="dxa"/>
              <w:left w:w="90" w:type="dxa"/>
              <w:right w:w="90" w:type="dxa"/>
            </w:tcMar>
          </w:tcPr>
          <w:p>
            <w:pPr>
              <w:jc w:val="left"/>
            </w:pPr>
            <w:r>
              <w:rPr>
                <w:rFonts w:ascii="Calibri" w:hAnsi="Calibri"/>
                <w:b/>
                <w:color w:val="FFFFFF"/>
                <w:sz w:val="19"/>
              </w:rPr>
              <w:t>Claims Audited</w:t>
            </w:r>
          </w:p>
        </w:tc>
        <w:tc>
          <w:tcPr>
            <w:tcW w:type="dxa" w:w="2016"/>
            <w:shd w:fill="184C78"/>
            <w:tcMar>
              <w:top w:w="90" w:type="dxa"/>
              <w:bottom w:w="90" w:type="dxa"/>
              <w:left w:w="90" w:type="dxa"/>
              <w:right w:w="90" w:type="dxa"/>
            </w:tcMar>
          </w:tcPr>
          <w:p>
            <w:pPr>
              <w:jc w:val="left"/>
            </w:pPr>
            <w:r>
              <w:rPr>
                <w:rFonts w:ascii="Calibri" w:hAnsi="Calibri"/>
                <w:b/>
                <w:color w:val="FFFFFF"/>
                <w:sz w:val="19"/>
              </w:rPr>
              <w:t>Confirmed Rejections</w:t>
            </w:r>
          </w:p>
        </w:tc>
        <w:tc>
          <w:tcPr>
            <w:tcW w:type="dxa" w:w="2016"/>
            <w:shd w:fill="184C78"/>
            <w:tcMar>
              <w:top w:w="90" w:type="dxa"/>
              <w:bottom w:w="90" w:type="dxa"/>
              <w:left w:w="90" w:type="dxa"/>
              <w:right w:w="90" w:type="dxa"/>
            </w:tcMar>
          </w:tcPr>
          <w:p>
            <w:pPr>
              <w:jc w:val="left"/>
            </w:pPr>
            <w:r>
              <w:rPr>
                <w:rFonts w:ascii="Calibri" w:hAnsi="Calibri"/>
                <w:b/>
                <w:color w:val="FFFFFF"/>
                <w:sz w:val="19"/>
              </w:rPr>
              <w:t>Precision</w:t>
            </w:r>
          </w:p>
        </w:tc>
        <w:tc>
          <w:tcPr>
            <w:tcW w:type="dxa" w:w="2304"/>
            <w:shd w:fill="184C78"/>
            <w:tcMar>
              <w:top w:w="90" w:type="dxa"/>
              <w:bottom w:w="90" w:type="dxa"/>
              <w:left w:w="90" w:type="dxa"/>
              <w:right w:w="90" w:type="dxa"/>
            </w:tcMar>
          </w:tcPr>
          <w:p>
            <w:pPr>
              <w:jc w:val="left"/>
            </w:pPr>
            <w:r>
              <w:rPr>
                <w:rFonts w:ascii="Calibri" w:hAnsi="Calibri"/>
                <w:b/>
                <w:color w:val="FFFFFF"/>
                <w:sz w:val="19"/>
              </w:rPr>
              <w:t>Enrichment vs Population</w:t>
            </w:r>
          </w:p>
        </w:tc>
      </w:tr>
      <w:tr>
        <w:tc>
          <w:tcPr>
            <w:tcW w:type="dxa" w:w="2016"/>
            <w:shd w:fill="FFFFFF"/>
            <w:tcMar>
              <w:top w:w="65" w:type="dxa"/>
              <w:bottom w:w="65" w:type="dxa"/>
              <w:left w:w="90" w:type="dxa"/>
              <w:right w:w="90" w:type="dxa"/>
            </w:tcMar>
          </w:tcPr>
          <w:p>
            <w:r>
              <w:rPr>
                <w:rFonts w:ascii="Calibri" w:hAnsi="Calibri"/>
                <w:color w:val="282828"/>
                <w:sz w:val="18"/>
              </w:rPr>
              <w:t>Top 0.1% (Top 417)</w:t>
            </w:r>
          </w:p>
        </w:tc>
        <w:tc>
          <w:tcPr>
            <w:tcW w:type="dxa" w:w="1728"/>
            <w:shd w:fill="FFFFFF"/>
            <w:tcMar>
              <w:top w:w="65" w:type="dxa"/>
              <w:bottom w:w="65" w:type="dxa"/>
              <w:left w:w="90" w:type="dxa"/>
              <w:right w:w="90" w:type="dxa"/>
            </w:tcMar>
          </w:tcPr>
          <w:p>
            <w:r>
              <w:rPr>
                <w:rFonts w:ascii="Calibri" w:hAnsi="Calibri"/>
                <w:color w:val="282828"/>
                <w:sz w:val="18"/>
              </w:rPr>
              <w:t>417</w:t>
            </w:r>
          </w:p>
        </w:tc>
        <w:tc>
          <w:tcPr>
            <w:tcW w:type="dxa" w:w="2016"/>
            <w:shd w:fill="FFFFFF"/>
            <w:tcMar>
              <w:top w:w="65" w:type="dxa"/>
              <w:bottom w:w="65" w:type="dxa"/>
              <w:left w:w="90" w:type="dxa"/>
              <w:right w:w="90" w:type="dxa"/>
            </w:tcMar>
          </w:tcPr>
          <w:p>
            <w:r>
              <w:rPr>
                <w:rFonts w:ascii="Calibri" w:hAnsi="Calibri"/>
                <w:color w:val="282828"/>
                <w:sz w:val="18"/>
              </w:rPr>
              <w:t>409</w:t>
            </w:r>
          </w:p>
        </w:tc>
        <w:tc>
          <w:tcPr>
            <w:tcW w:type="dxa" w:w="2016"/>
            <w:shd w:fill="FFFFFF"/>
            <w:tcMar>
              <w:top w:w="65" w:type="dxa"/>
              <w:bottom w:w="65" w:type="dxa"/>
              <w:left w:w="90" w:type="dxa"/>
              <w:right w:w="90" w:type="dxa"/>
            </w:tcMar>
          </w:tcPr>
          <w:p>
            <w:r>
              <w:rPr>
                <w:rFonts w:ascii="Calibri" w:hAnsi="Calibri"/>
                <w:color w:val="282828"/>
                <w:sz w:val="18"/>
              </w:rPr>
              <w:t>98.08%</w:t>
            </w:r>
          </w:p>
        </w:tc>
        <w:tc>
          <w:tcPr>
            <w:tcW w:type="dxa" w:w="2304"/>
            <w:shd w:fill="FFFFFF"/>
            <w:tcMar>
              <w:top w:w="65" w:type="dxa"/>
              <w:bottom w:w="65" w:type="dxa"/>
              <w:left w:w="90" w:type="dxa"/>
              <w:right w:w="90" w:type="dxa"/>
            </w:tcMar>
          </w:tcPr>
          <w:p>
            <w:r>
              <w:rPr>
                <w:rFonts w:ascii="Calibri" w:hAnsi="Calibri"/>
                <w:color w:val="282828"/>
                <w:sz w:val="18"/>
              </w:rPr>
              <w:t>6.20x</w:t>
            </w:r>
          </w:p>
        </w:tc>
      </w:tr>
      <w:tr>
        <w:tc>
          <w:tcPr>
            <w:tcW w:type="dxa" w:w="2016"/>
            <w:shd w:fill="F4F7FA"/>
            <w:tcMar>
              <w:top w:w="65" w:type="dxa"/>
              <w:bottom w:w="65" w:type="dxa"/>
              <w:left w:w="90" w:type="dxa"/>
              <w:right w:w="90" w:type="dxa"/>
            </w:tcMar>
          </w:tcPr>
          <w:p>
            <w:r>
              <w:rPr>
                <w:rFonts w:ascii="Calibri" w:hAnsi="Calibri"/>
                <w:color w:val="282828"/>
                <w:sz w:val="18"/>
              </w:rPr>
              <w:t>Top 0.5% (Top 2,089)</w:t>
            </w:r>
          </w:p>
        </w:tc>
        <w:tc>
          <w:tcPr>
            <w:tcW w:type="dxa" w:w="1728"/>
            <w:shd w:fill="F4F7FA"/>
            <w:tcMar>
              <w:top w:w="65" w:type="dxa"/>
              <w:bottom w:w="65" w:type="dxa"/>
              <w:left w:w="90" w:type="dxa"/>
              <w:right w:w="90" w:type="dxa"/>
            </w:tcMar>
          </w:tcPr>
          <w:p>
            <w:r>
              <w:rPr>
                <w:rFonts w:ascii="Calibri" w:hAnsi="Calibri"/>
                <w:color w:val="282828"/>
                <w:sz w:val="18"/>
              </w:rPr>
              <w:t>2,089</w:t>
            </w:r>
          </w:p>
        </w:tc>
        <w:tc>
          <w:tcPr>
            <w:tcW w:type="dxa" w:w="2016"/>
            <w:shd w:fill="F4F7FA"/>
            <w:tcMar>
              <w:top w:w="65" w:type="dxa"/>
              <w:bottom w:w="65" w:type="dxa"/>
              <w:left w:w="90" w:type="dxa"/>
              <w:right w:w="90" w:type="dxa"/>
            </w:tcMar>
          </w:tcPr>
          <w:p>
            <w:r>
              <w:rPr>
                <w:rFonts w:ascii="Calibri" w:hAnsi="Calibri"/>
                <w:color w:val="282828"/>
                <w:sz w:val="18"/>
              </w:rPr>
              <w:t>2,081</w:t>
            </w:r>
          </w:p>
        </w:tc>
        <w:tc>
          <w:tcPr>
            <w:tcW w:type="dxa" w:w="2016"/>
            <w:shd w:fill="F4F7FA"/>
            <w:tcMar>
              <w:top w:w="65" w:type="dxa"/>
              <w:bottom w:w="65" w:type="dxa"/>
              <w:left w:w="90" w:type="dxa"/>
              <w:right w:w="90" w:type="dxa"/>
            </w:tcMar>
          </w:tcPr>
          <w:p>
            <w:r>
              <w:rPr>
                <w:rFonts w:ascii="Calibri" w:hAnsi="Calibri"/>
                <w:color w:val="282828"/>
                <w:sz w:val="18"/>
              </w:rPr>
              <w:t>99.62%</w:t>
            </w:r>
          </w:p>
        </w:tc>
        <w:tc>
          <w:tcPr>
            <w:tcW w:type="dxa" w:w="2304"/>
            <w:shd w:fill="F4F7FA"/>
            <w:tcMar>
              <w:top w:w="65" w:type="dxa"/>
              <w:bottom w:w="65" w:type="dxa"/>
              <w:left w:w="90" w:type="dxa"/>
              <w:right w:w="90" w:type="dxa"/>
            </w:tcMar>
          </w:tcPr>
          <w:p>
            <w:r>
              <w:rPr>
                <w:rFonts w:ascii="Calibri" w:hAnsi="Calibri"/>
                <w:color w:val="282828"/>
                <w:sz w:val="18"/>
              </w:rPr>
              <w:t>6.30x</w:t>
            </w:r>
          </w:p>
        </w:tc>
      </w:tr>
      <w:tr>
        <w:tc>
          <w:tcPr>
            <w:tcW w:type="dxa" w:w="2016"/>
            <w:shd w:fill="FFFFFF"/>
            <w:tcMar>
              <w:top w:w="65" w:type="dxa"/>
              <w:bottom w:w="65" w:type="dxa"/>
              <w:left w:w="90" w:type="dxa"/>
              <w:right w:w="90" w:type="dxa"/>
            </w:tcMar>
          </w:tcPr>
          <w:p>
            <w:r>
              <w:rPr>
                <w:rFonts w:ascii="Calibri" w:hAnsi="Calibri"/>
                <w:color w:val="282828"/>
                <w:sz w:val="18"/>
              </w:rPr>
              <w:t>Top 1.0% (Top 4,178)</w:t>
            </w:r>
          </w:p>
        </w:tc>
        <w:tc>
          <w:tcPr>
            <w:tcW w:type="dxa" w:w="1728"/>
            <w:shd w:fill="FFFFFF"/>
            <w:tcMar>
              <w:top w:w="65" w:type="dxa"/>
              <w:bottom w:w="65" w:type="dxa"/>
              <w:left w:w="90" w:type="dxa"/>
              <w:right w:w="90" w:type="dxa"/>
            </w:tcMar>
          </w:tcPr>
          <w:p>
            <w:r>
              <w:rPr>
                <w:rFonts w:ascii="Calibri" w:hAnsi="Calibri"/>
                <w:color w:val="282828"/>
                <w:sz w:val="18"/>
              </w:rPr>
              <w:t>4,178</w:t>
            </w:r>
          </w:p>
        </w:tc>
        <w:tc>
          <w:tcPr>
            <w:tcW w:type="dxa" w:w="2016"/>
            <w:shd w:fill="FFFFFF"/>
            <w:tcMar>
              <w:top w:w="65" w:type="dxa"/>
              <w:bottom w:w="65" w:type="dxa"/>
              <w:left w:w="90" w:type="dxa"/>
              <w:right w:w="90" w:type="dxa"/>
            </w:tcMar>
          </w:tcPr>
          <w:p>
            <w:r>
              <w:rPr>
                <w:rFonts w:ascii="Calibri" w:hAnsi="Calibri"/>
                <w:color w:val="282828"/>
                <w:sz w:val="18"/>
              </w:rPr>
              <w:t>4,162</w:t>
            </w:r>
          </w:p>
        </w:tc>
        <w:tc>
          <w:tcPr>
            <w:tcW w:type="dxa" w:w="2016"/>
            <w:shd w:fill="FFFFFF"/>
            <w:tcMar>
              <w:top w:w="65" w:type="dxa"/>
              <w:bottom w:w="65" w:type="dxa"/>
              <w:left w:w="90" w:type="dxa"/>
              <w:right w:w="90" w:type="dxa"/>
            </w:tcMar>
          </w:tcPr>
          <w:p>
            <w:r>
              <w:rPr>
                <w:rFonts w:ascii="Calibri" w:hAnsi="Calibri"/>
                <w:color w:val="282828"/>
                <w:sz w:val="18"/>
              </w:rPr>
              <w:t>99.62%</w:t>
            </w:r>
          </w:p>
        </w:tc>
        <w:tc>
          <w:tcPr>
            <w:tcW w:type="dxa" w:w="2304"/>
            <w:shd w:fill="FFFFFF"/>
            <w:tcMar>
              <w:top w:w="65" w:type="dxa"/>
              <w:bottom w:w="65" w:type="dxa"/>
              <w:left w:w="90" w:type="dxa"/>
              <w:right w:w="90" w:type="dxa"/>
            </w:tcMar>
          </w:tcPr>
          <w:p>
            <w:r>
              <w:rPr>
                <w:rFonts w:ascii="Calibri" w:hAnsi="Calibri"/>
                <w:color w:val="282828"/>
                <w:sz w:val="18"/>
              </w:rPr>
              <w:t>6.30x</w:t>
            </w:r>
          </w:p>
        </w:tc>
      </w:tr>
      <w:tr>
        <w:tc>
          <w:tcPr>
            <w:tcW w:type="dxa" w:w="2016"/>
            <w:shd w:fill="F4F7FA"/>
            <w:tcMar>
              <w:top w:w="65" w:type="dxa"/>
              <w:bottom w:w="65" w:type="dxa"/>
              <w:left w:w="90" w:type="dxa"/>
              <w:right w:w="90" w:type="dxa"/>
            </w:tcMar>
          </w:tcPr>
          <w:p>
            <w:r>
              <w:rPr>
                <w:rFonts w:ascii="Calibri" w:hAnsi="Calibri"/>
                <w:color w:val="282828"/>
                <w:sz w:val="18"/>
              </w:rPr>
              <w:t>Top 2.0% (Top 8,356)</w:t>
            </w:r>
          </w:p>
        </w:tc>
        <w:tc>
          <w:tcPr>
            <w:tcW w:type="dxa" w:w="1728"/>
            <w:shd w:fill="F4F7FA"/>
            <w:tcMar>
              <w:top w:w="65" w:type="dxa"/>
              <w:bottom w:w="65" w:type="dxa"/>
              <w:left w:w="90" w:type="dxa"/>
              <w:right w:w="90" w:type="dxa"/>
            </w:tcMar>
          </w:tcPr>
          <w:p>
            <w:r>
              <w:rPr>
                <w:rFonts w:ascii="Calibri" w:hAnsi="Calibri"/>
                <w:color w:val="282828"/>
                <w:sz w:val="18"/>
              </w:rPr>
              <w:t>8,356</w:t>
            </w:r>
          </w:p>
        </w:tc>
        <w:tc>
          <w:tcPr>
            <w:tcW w:type="dxa" w:w="2016"/>
            <w:shd w:fill="F4F7FA"/>
            <w:tcMar>
              <w:top w:w="65" w:type="dxa"/>
              <w:bottom w:w="65" w:type="dxa"/>
              <w:left w:w="90" w:type="dxa"/>
              <w:right w:w="90" w:type="dxa"/>
            </w:tcMar>
          </w:tcPr>
          <w:p>
            <w:r>
              <w:rPr>
                <w:rFonts w:ascii="Calibri" w:hAnsi="Calibri"/>
                <w:color w:val="282828"/>
                <w:sz w:val="18"/>
              </w:rPr>
              <w:t>7,351</w:t>
            </w:r>
          </w:p>
        </w:tc>
        <w:tc>
          <w:tcPr>
            <w:tcW w:type="dxa" w:w="2016"/>
            <w:shd w:fill="F4F7FA"/>
            <w:tcMar>
              <w:top w:w="65" w:type="dxa"/>
              <w:bottom w:w="65" w:type="dxa"/>
              <w:left w:w="90" w:type="dxa"/>
              <w:right w:w="90" w:type="dxa"/>
            </w:tcMar>
          </w:tcPr>
          <w:p>
            <w:r>
              <w:rPr>
                <w:rFonts w:ascii="Calibri" w:hAnsi="Calibri"/>
                <w:color w:val="282828"/>
                <w:sz w:val="18"/>
              </w:rPr>
              <w:t>87.97%</w:t>
            </w:r>
          </w:p>
        </w:tc>
        <w:tc>
          <w:tcPr>
            <w:tcW w:type="dxa" w:w="2304"/>
            <w:shd w:fill="F4F7FA"/>
            <w:tcMar>
              <w:top w:w="65" w:type="dxa"/>
              <w:bottom w:w="65" w:type="dxa"/>
              <w:left w:w="90" w:type="dxa"/>
              <w:right w:w="90" w:type="dxa"/>
            </w:tcMar>
          </w:tcPr>
          <w:p>
            <w:r>
              <w:rPr>
                <w:rFonts w:ascii="Calibri" w:hAnsi="Calibri"/>
                <w:color w:val="282828"/>
                <w:sz w:val="18"/>
              </w:rPr>
              <w:t>5.56x</w:t>
            </w:r>
          </w:p>
        </w:tc>
      </w:tr>
    </w:tbl>
    <w:p>
      <w:pPr>
        <w:spacing w:after="120"/>
      </w:pPr>
    </w:p>
    <w:p>
      <w:pPr>
        <w:spacing w:before="120" w:after="60"/>
        <w:jc w:val="center"/>
      </w:pPr>
      <w:r>
        <w:drawing>
          <wp:inline xmlns:a="http://schemas.openxmlformats.org/drawingml/2006/main" xmlns:pic="http://schemas.openxmlformats.org/drawingml/2006/picture">
            <wp:extent cx="5669280" cy="2969623"/>
            <wp:docPr id="1" name="Picture 1"/>
            <wp:cNvGraphicFramePr>
              <a:graphicFrameLocks noChangeAspect="1"/>
            </wp:cNvGraphicFramePr>
            <a:graphic>
              <a:graphicData uri="http://schemas.openxmlformats.org/drawingml/2006/picture">
                <pic:pic>
                  <pic:nvPicPr>
                    <pic:cNvPr id="0" name="autoencoder_evaluation_curves.png"/>
                    <pic:cNvPicPr/>
                  </pic:nvPicPr>
                  <pic:blipFill>
                    <a:blip r:embed="rId9"/>
                    <a:stretch>
                      <a:fillRect/>
                    </a:stretch>
                  </pic:blipFill>
                  <pic:spPr>
                    <a:xfrm>
                      <a:off x="0" y="0"/>
                      <a:ext cx="5669280" cy="2969623"/>
                    </a:xfrm>
                    <a:prstGeom prst="rect"/>
                  </pic:spPr>
                </pic:pic>
              </a:graphicData>
            </a:graphic>
          </wp:inline>
        </w:drawing>
      </w:r>
    </w:p>
    <w:p>
      <w:pPr>
        <w:spacing w:after="200"/>
        <w:jc w:val="center"/>
      </w:pPr>
      <w:r>
        <w:rPr>
          <w:rFonts w:ascii="Calibri" w:hAnsi="Calibri"/>
          <w:i/>
          <w:color w:val="646464"/>
          <w:sz w:val="17"/>
        </w:rPr>
        <w:t>Figure 1: Deep Autoencoder (A) Error Distribution KDE, (B) Precision@K Curve, (C) ROC Curve, and (D) PR Curve.</w:t>
      </w:r>
    </w:p>
    <w:p>
      <w:pPr>
        <w:keepNext/>
        <w:spacing w:before="320" w:after="80"/>
      </w:pPr>
      <w:r>
        <w:rPr>
          <w:rFonts w:ascii="Calibri" w:hAnsi="Calibri"/>
          <w:b/>
          <w:color w:val="184C78"/>
          <w:sz w:val="30"/>
        </w:rPr>
        <w:t>4. How to Use That (Operational Deployment)</w:t>
      </w:r>
    </w:p>
    <w:p>
      <w:pPr>
        <w:spacing w:before="0" w:after="100" w:line="276" w:lineRule="auto"/>
      </w:pPr>
      <w:r>
        <w:rPr>
          <w:rFonts w:ascii="Calibri" w:hAnsi="Calibri"/>
          <w:color w:val="282828"/>
          <w:sz w:val="20"/>
        </w:rPr>
        <w:t>1. Daily Auditor Triage Queue:</w:t>
        <w:br/>
        <w:t xml:space="preserve">   Deploy the model as a pre-payment batch scoring service. Every evening, score incoming claims and push any claim with    Reconstruction MSE &gt; 0.348160 into the High-Priority Auditor Queue. Medical auditors review the top 500 claims/day with 94.4% hit rates.</w:t>
        <w:br/>
        <w:br/>
        <w:t>2. Exact Error Decomposition for Auditors:</w:t>
        <w:br/>
        <w:t xml:space="preserve">   Unlike black-box models, the Autoencoder allows exact mathematical attribution. For any flagged claim, the UI displays which specific    features caused the reconstruction failure (e.g. 'NUM_ServiceCount contributed 88% of anomaly score; billed 22 services vs normal median of 1').</w:t>
        <w:br/>
        <w:br/>
        <w:t>3. Facility Drift Monitoring:</w:t>
        <w:br/>
        <w:t xml:space="preserve">   Compute the monthly average reconstruction error per Health Facility ID (Hfid). A sudden upward spike in facility-level MSE signals    clinic-level unbundling campaigns or corrupt billing personnel.</w:t>
      </w:r>
    </w:p>
    <w:sectPr w:rsidR="00FC693F" w:rsidRPr="0006063C" w:rsidSect="00034616">
      <w:pgSz w:w="12240" w:h="15840"/>
      <w:pgMar w:top="1080" w:right="1080" w:bottom="1080"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