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184C78"/>
          <w:sz w:val="48"/>
        </w:rPr>
        <w:t>Isolation Forest Claim Anomaly Detection</w:t>
      </w:r>
    </w:p>
    <w:p>
      <w:pPr>
        <w:spacing w:after="240"/>
        <w:jc w:val="center"/>
      </w:pPr>
      <w:r>
        <w:rPr>
          <w:rFonts w:ascii="Calibri" w:hAnsi="Calibri"/>
          <w:color w:val="2980B9"/>
          <w:sz w:val="24"/>
        </w:rPr>
        <w:t>Unsupervised Ensemble Tree-Based Partitioning for Healthcare Outlier Isolation</w:t>
      </w:r>
    </w:p>
    <w:p>
      <w:pPr>
        <w:spacing w:after="320"/>
        <w:jc w:val="center"/>
      </w:pPr>
      <w:r>
        <w:rPr>
          <w:rFonts w:ascii="Calibri" w:hAnsi="Calibri"/>
          <w:i/>
          <w:color w:val="646464"/>
          <w:sz w:val="19"/>
        </w:rPr>
        <w:t>Cameroon openIMIS National Insurance Platform  |  Data and Design Lab  |  2026</w:t>
      </w:r>
    </w:p>
    <w:p>
      <w:pPr>
        <w:keepNext/>
        <w:spacing w:before="320" w:after="80"/>
      </w:pPr>
      <w:r>
        <w:rPr>
          <w:rFonts w:ascii="Calibri" w:hAnsi="Calibri"/>
          <w:b/>
          <w:color w:val="184C78"/>
          <w:sz w:val="30"/>
        </w:rPr>
        <w:t>1. Executive Summary</w:t>
      </w:r>
    </w:p>
    <w:p>
      <w:pPr>
        <w:spacing w:before="0" w:after="100" w:line="276" w:lineRule="auto"/>
      </w:pPr>
      <w:r>
        <w:rPr>
          <w:rFonts w:ascii="Calibri" w:hAnsi="Calibri"/>
          <w:color w:val="282828"/>
          <w:sz w:val="20"/>
        </w:rPr>
        <w:t>This report presents the unsupervised Isolation Forest model evaluated on the Cameroon openIMIS claims ledger. Isolation Forest isolates anomalies by randomly partitioning feature dimensions using decision trees. Because fraudulent and non-compliant claims require fewer random splits to isolate from the bulk of normal claims, their average path length through the ensemble is significantly shorter. Tuned specifically on validation PR-AUC, this model offers a fast, CPU-friendly alternative to deep neural networks.</w:t>
      </w:r>
    </w:p>
    <w:tbl>
      <w:tblPr>
        <w:tblW w:type="auto" w:w="0"/>
        <w:jc w:val="center"/>
        <w:tblLook w:firstColumn="1" w:firstRow="1" w:lastColumn="0" w:lastRow="0" w:noHBand="0" w:noVBand="1" w:val="04A0"/>
      </w:tblPr>
      <w:tblGrid>
        <w:gridCol w:w="10080"/>
      </w:tblGrid>
      <w:tr>
        <w:tc>
          <w:tcPr>
            <w:tcW w:type="dxa" w:w="10080"/>
            <w:shd w:fill="F4F7FA"/>
            <w:tcMar>
              <w:top w:w="80" w:type="dxa"/>
              <w:bottom w:w="80" w:type="dxa"/>
              <w:left w:w="120" w:type="dxa"/>
              <w:right w:w="120" w:type="dxa"/>
            </w:tcMar>
            <w:tcBorders>
              <w:left w:val="single" w:sz="24" w:space="0" w:color="184C78"/>
              <w:top w:val="none"/>
              <w:right w:val="none"/>
              <w:bottom w:val="none"/>
            </w:tcBorders>
          </w:tcPr>
          <w:p>
            <w:pPr>
              <w:spacing w:after="0"/>
            </w:pPr>
            <w:r>
              <w:rPr>
                <w:rFonts w:ascii="Calibri" w:hAnsi="Calibri"/>
                <w:b/>
                <w:color w:val="184C78"/>
                <w:sz w:val="19"/>
              </w:rPr>
              <w:t xml:space="preserve">Key Finding: </w:t>
            </w:r>
            <w:r>
              <w:rPr>
                <w:rFonts w:ascii="Calibri" w:hAnsi="Calibri"/>
                <w:color w:val="282828"/>
                <w:sz w:val="19"/>
              </w:rPr>
              <w:t>The model achieves a test ROC-AUC of 0.7235 and a PR-AUC of 0.4417 (a 2.52x lift over baseline). At the capacity threshold, it flags 18,824 suspicious claims with 57.44% precision, generating 146.1 Million XAF in net value. Its top 0.1% queue delivers 98.32% precision.</w:t>
            </w:r>
          </w:p>
        </w:tc>
      </w:tr>
    </w:tbl>
    <w:p>
      <w:pPr>
        <w:spacing w:after="80"/>
      </w:pPr>
    </w:p>
    <w:p>
      <w:pPr>
        <w:keepNext/>
        <w:spacing w:before="320" w:after="80"/>
      </w:pPr>
      <w:r>
        <w:rPr>
          <w:rFonts w:ascii="Calibri" w:hAnsi="Calibri"/>
          <w:b/>
          <w:color w:val="184C78"/>
          <w:sz w:val="30"/>
        </w:rPr>
        <w:t>2. What We Did, How, and Why</w:t>
      </w:r>
    </w:p>
    <w:p>
      <w:pPr>
        <w:keepNext/>
        <w:spacing w:before="200" w:after="60"/>
      </w:pPr>
      <w:r>
        <w:rPr>
          <w:rFonts w:ascii="Calibri" w:hAnsi="Calibri"/>
          <w:b/>
          <w:color w:val="2980B9"/>
          <w:sz w:val="24"/>
        </w:rPr>
        <w:t>What We Did</w:t>
      </w:r>
    </w:p>
    <w:p>
      <w:pPr>
        <w:spacing w:before="0" w:after="100" w:line="276" w:lineRule="auto"/>
      </w:pPr>
      <w:r>
        <w:rPr>
          <w:rFonts w:ascii="Calibri" w:hAnsi="Calibri"/>
          <w:color w:val="282828"/>
          <w:sz w:val="20"/>
        </w:rPr>
        <w:t>We built an ensemble of isolation trees trained exclusively on normal, accepted claims. The model scores test claims by measuring how quickly they are isolated in tree leaf nodes across the forest.</w:t>
      </w:r>
    </w:p>
    <w:p>
      <w:pPr>
        <w:keepNext/>
        <w:spacing w:before="200" w:after="60"/>
      </w:pPr>
      <w:r>
        <w:rPr>
          <w:rFonts w:ascii="Calibri" w:hAnsi="Calibri"/>
          <w:b/>
          <w:color w:val="2980B9"/>
          <w:sz w:val="24"/>
        </w:rPr>
        <w:t>Why We Did It</w:t>
      </w:r>
    </w:p>
    <w:p>
      <w:pPr>
        <w:spacing w:before="0" w:after="100" w:line="276" w:lineRule="auto"/>
      </w:pPr>
      <w:r>
        <w:rPr>
          <w:rFonts w:ascii="Calibri" w:hAnsi="Calibri"/>
          <w:color w:val="282828"/>
          <w:sz w:val="20"/>
        </w:rPr>
        <w:t>Deep learning models require GPUs, extensive hyperparameter tuning, and significant memory overhead. Isolation Forest provides a robust, highly parallelizable baseline that can execute on standard CPU servers in district hospitals, providing instant outlier detection without tensor compilation.</w:t>
      </w:r>
    </w:p>
    <w:p>
      <w:pPr>
        <w:keepNext/>
        <w:spacing w:before="200" w:after="60"/>
      </w:pPr>
      <w:r>
        <w:rPr>
          <w:rFonts w:ascii="Calibri" w:hAnsi="Calibri"/>
          <w:b/>
          <w:color w:val="2980B9"/>
          <w:sz w:val="24"/>
        </w:rPr>
        <w:t>How We Did It</w:t>
      </w:r>
    </w:p>
    <w:p>
      <w:pPr>
        <w:spacing w:before="0" w:after="100" w:line="276" w:lineRule="auto"/>
      </w:pPr>
      <w:r>
        <w:rPr>
          <w:rFonts w:ascii="Calibri" w:hAnsi="Calibri"/>
          <w:color w:val="282828"/>
          <w:sz w:val="20"/>
        </w:rPr>
        <w:t>• Subsampling Optimization: Discovered that smaller subsample sizes (max_samples=256 to 512) outperform massive subsamples by preventing swamping and masking.</w:t>
        <w:br/>
        <w:t>• Accepted-Only Training: Training on 100% accepted claims improved test PR-AUC by +0.0558 over training on mixed data.</w:t>
        <w:br/>
        <w:t>• Hyperparameter Sweep: Tuned n_estimators and contamination rates against validation PR-AUC, gaining +0.0232 AP over default scikit-learn parameters.</w:t>
      </w:r>
    </w:p>
    <w:p>
      <w:pPr>
        <w:keepNext/>
        <w:spacing w:before="320" w:after="80"/>
      </w:pPr>
      <w:r>
        <w:rPr>
          <w:rFonts w:ascii="Calibri" w:hAnsi="Calibri"/>
          <w:b/>
          <w:color w:val="184C78"/>
          <w:sz w:val="30"/>
        </w:rPr>
        <w:t>3. What We Got (Empirical Results &amp; Evaluation)</w:t>
      </w:r>
    </w:p>
    <w:p>
      <w:pPr>
        <w:spacing w:before="0" w:after="100" w:line="276" w:lineRule="auto"/>
      </w:pPr>
      <w:r>
        <w:rPr>
          <w:rFonts w:ascii="Calibri" w:hAnsi="Calibri"/>
          <w:color w:val="282828"/>
          <w:sz w:val="20"/>
        </w:rPr>
        <w:t>Test set evaluation across 417,814 claims produced the following results: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520"/>
        <w:gridCol w:w="2520"/>
        <w:gridCol w:w="2520"/>
        <w:gridCol w:w="2520"/>
      </w:tblGrid>
      <w:tr>
        <w:tc>
          <w:tcPr>
            <w:tcW w:type="dxa" w:w="2304"/>
            <w:shd w:fill="184C78"/>
            <w:tcMar>
              <w:top w:w="90" w:type="dxa"/>
              <w:bottom w:w="90" w:type="dxa"/>
              <w:left w:w="90" w:type="dxa"/>
              <w:right w:w="90" w:type="dxa"/>
            </w:tcMar>
          </w:tcPr>
          <w:p>
            <w:pPr>
              <w:jc w:val="left"/>
            </w:pPr>
            <w:r>
              <w:rPr>
                <w:rFonts w:ascii="Calibri" w:hAnsi="Calibri"/>
                <w:b/>
                <w:color w:val="FFFFFF"/>
                <w:sz w:val="19"/>
              </w:rPr>
              <w:t>Metric / Parameter</w:t>
            </w:r>
          </w:p>
        </w:tc>
        <w:tc>
          <w:tcPr>
            <w:tcW w:type="dxa" w:w="2592"/>
            <w:shd w:fill="184C78"/>
            <w:tcMar>
              <w:top w:w="90" w:type="dxa"/>
              <w:bottom w:w="90" w:type="dxa"/>
              <w:left w:w="90" w:type="dxa"/>
              <w:right w:w="90" w:type="dxa"/>
            </w:tcMar>
          </w:tcPr>
          <w:p>
            <w:pPr>
              <w:jc w:val="left"/>
            </w:pPr>
            <w:r>
              <w:rPr>
                <w:rFonts w:ascii="Calibri" w:hAnsi="Calibri"/>
                <w:b/>
                <w:color w:val="FFFFFF"/>
                <w:sz w:val="19"/>
              </w:rPr>
              <w:t>Isolation Forest Result</w:t>
            </w:r>
          </w:p>
        </w:tc>
        <w:tc>
          <w:tcPr>
            <w:tcW w:type="dxa" w:w="2304"/>
            <w:shd w:fill="184C78"/>
            <w:tcMar>
              <w:top w:w="90" w:type="dxa"/>
              <w:bottom w:w="90" w:type="dxa"/>
              <w:left w:w="90" w:type="dxa"/>
              <w:right w:w="90" w:type="dxa"/>
            </w:tcMar>
          </w:tcPr>
          <w:p>
            <w:pPr>
              <w:jc w:val="left"/>
            </w:pPr>
            <w:r>
              <w:rPr>
                <w:rFonts w:ascii="Calibri" w:hAnsi="Calibri"/>
                <w:b/>
                <w:color w:val="FFFFFF"/>
                <w:sz w:val="19"/>
              </w:rPr>
              <w:t>Baseline / Comparison</w:t>
            </w:r>
          </w:p>
        </w:tc>
        <w:tc>
          <w:tcPr>
            <w:tcW w:type="dxa" w:w="2880"/>
            <w:shd w:fill="184C78"/>
            <w:tcMar>
              <w:top w:w="90" w:type="dxa"/>
              <w:bottom w:w="90" w:type="dxa"/>
              <w:left w:w="90" w:type="dxa"/>
              <w:right w:w="90" w:type="dxa"/>
            </w:tcMar>
          </w:tcPr>
          <w:p>
            <w:pPr>
              <w:jc w:val="left"/>
            </w:pPr>
            <w:r>
              <w:rPr>
                <w:rFonts w:ascii="Calibri" w:hAnsi="Calibri"/>
                <w:b/>
                <w:color w:val="FFFFFF"/>
                <w:sz w:val="19"/>
              </w:rPr>
              <w:t>Operational Significance</w:t>
            </w:r>
          </w:p>
        </w:tc>
      </w:tr>
      <w:tr>
        <w:tc>
          <w:tcPr>
            <w:tcW w:type="dxa" w:w="2304"/>
            <w:shd w:fill="FFFFFF"/>
            <w:tcMar>
              <w:top w:w="65" w:type="dxa"/>
              <w:bottom w:w="65" w:type="dxa"/>
              <w:left w:w="90" w:type="dxa"/>
              <w:right w:w="90" w:type="dxa"/>
            </w:tcMar>
          </w:tcPr>
          <w:p>
            <w:r>
              <w:rPr>
                <w:rFonts w:ascii="Calibri" w:hAnsi="Calibri"/>
                <w:color w:val="282828"/>
                <w:sz w:val="18"/>
              </w:rPr>
              <w:t>ROC-AUC</w:t>
            </w:r>
          </w:p>
        </w:tc>
        <w:tc>
          <w:tcPr>
            <w:tcW w:type="dxa" w:w="2592"/>
            <w:shd w:fill="FFFFFF"/>
            <w:tcMar>
              <w:top w:w="65" w:type="dxa"/>
              <w:bottom w:w="65" w:type="dxa"/>
              <w:left w:w="90" w:type="dxa"/>
              <w:right w:w="90" w:type="dxa"/>
            </w:tcMar>
          </w:tcPr>
          <w:p>
            <w:r>
              <w:rPr>
                <w:rFonts w:ascii="Calibri" w:hAnsi="Calibri"/>
                <w:color w:val="282828"/>
                <w:sz w:val="18"/>
              </w:rPr>
              <w:t>0.7235 (95% CI: 0.653 - 0.781)</w:t>
            </w:r>
          </w:p>
        </w:tc>
        <w:tc>
          <w:tcPr>
            <w:tcW w:type="dxa" w:w="2304"/>
            <w:shd w:fill="FFFFFF"/>
            <w:tcMar>
              <w:top w:w="65" w:type="dxa"/>
              <w:bottom w:w="65" w:type="dxa"/>
              <w:left w:w="90" w:type="dxa"/>
              <w:right w:w="90" w:type="dxa"/>
            </w:tcMar>
          </w:tcPr>
          <w:p>
            <w:r>
              <w:rPr>
                <w:rFonts w:ascii="Calibri" w:hAnsi="Calibri"/>
                <w:color w:val="282828"/>
                <w:sz w:val="18"/>
              </w:rPr>
              <w:t>0.5000 (Random)</w:t>
            </w:r>
          </w:p>
        </w:tc>
        <w:tc>
          <w:tcPr>
            <w:tcW w:type="dxa" w:w="2880"/>
            <w:shd w:fill="FFFFFF"/>
            <w:tcMar>
              <w:top w:w="65" w:type="dxa"/>
              <w:bottom w:w="65" w:type="dxa"/>
              <w:left w:w="90" w:type="dxa"/>
              <w:right w:w="90" w:type="dxa"/>
            </w:tcMar>
          </w:tcPr>
          <w:p>
            <w:r>
              <w:rPr>
                <w:rFonts w:ascii="Calibri" w:hAnsi="Calibri"/>
                <w:color w:val="282828"/>
                <w:sz w:val="18"/>
              </w:rPr>
              <w:t>Effective multi-attribute ranking</w:t>
            </w:r>
          </w:p>
        </w:tc>
      </w:tr>
      <w:tr>
        <w:tc>
          <w:tcPr>
            <w:tcW w:type="dxa" w:w="2304"/>
            <w:shd w:fill="F4F7FA"/>
            <w:tcMar>
              <w:top w:w="65" w:type="dxa"/>
              <w:bottom w:w="65" w:type="dxa"/>
              <w:left w:w="90" w:type="dxa"/>
              <w:right w:w="90" w:type="dxa"/>
            </w:tcMar>
          </w:tcPr>
          <w:p>
            <w:r>
              <w:rPr>
                <w:rFonts w:ascii="Calibri" w:hAnsi="Calibri"/>
                <w:color w:val="282828"/>
                <w:sz w:val="18"/>
              </w:rPr>
              <w:t>PR-AUC (Average Precision)</w:t>
            </w:r>
          </w:p>
        </w:tc>
        <w:tc>
          <w:tcPr>
            <w:tcW w:type="dxa" w:w="2592"/>
            <w:shd w:fill="F4F7FA"/>
            <w:tcMar>
              <w:top w:w="65" w:type="dxa"/>
              <w:bottom w:w="65" w:type="dxa"/>
              <w:left w:w="90" w:type="dxa"/>
              <w:right w:w="90" w:type="dxa"/>
            </w:tcMar>
          </w:tcPr>
          <w:p>
            <w:r>
              <w:rPr>
                <w:rFonts w:ascii="Calibri" w:hAnsi="Calibri"/>
                <w:color w:val="282828"/>
                <w:sz w:val="18"/>
              </w:rPr>
              <w:t>0.4417 (95% CI: 0.271 - 0.586)</w:t>
            </w:r>
          </w:p>
        </w:tc>
        <w:tc>
          <w:tcPr>
            <w:tcW w:type="dxa" w:w="2304"/>
            <w:shd w:fill="F4F7FA"/>
            <w:tcMar>
              <w:top w:w="65" w:type="dxa"/>
              <w:bottom w:w="65" w:type="dxa"/>
              <w:left w:w="90" w:type="dxa"/>
              <w:right w:w="90" w:type="dxa"/>
            </w:tcMar>
          </w:tcPr>
          <w:p>
            <w:r>
              <w:rPr>
                <w:rFonts w:ascii="Calibri" w:hAnsi="Calibri"/>
                <w:color w:val="282828"/>
                <w:sz w:val="18"/>
              </w:rPr>
              <w:t>0.1750 (Base rate)</w:t>
            </w:r>
          </w:p>
        </w:tc>
        <w:tc>
          <w:tcPr>
            <w:tcW w:type="dxa" w:w="2880"/>
            <w:shd w:fill="F4F7FA"/>
            <w:tcMar>
              <w:top w:w="65" w:type="dxa"/>
              <w:bottom w:w="65" w:type="dxa"/>
              <w:left w:w="90" w:type="dxa"/>
              <w:right w:w="90" w:type="dxa"/>
            </w:tcMar>
          </w:tcPr>
          <w:p>
            <w:r>
              <w:rPr>
                <w:rFonts w:ascii="Calibri" w:hAnsi="Calibri"/>
                <w:color w:val="282828"/>
                <w:sz w:val="18"/>
              </w:rPr>
              <w:t>2.52x lift over unguided audit</w:t>
            </w:r>
          </w:p>
        </w:tc>
      </w:tr>
      <w:tr>
        <w:tc>
          <w:tcPr>
            <w:tcW w:type="dxa" w:w="2304"/>
            <w:shd w:fill="FFFFFF"/>
            <w:tcMar>
              <w:top w:w="65" w:type="dxa"/>
              <w:bottom w:w="65" w:type="dxa"/>
              <w:left w:w="90" w:type="dxa"/>
              <w:right w:w="90" w:type="dxa"/>
            </w:tcMar>
          </w:tcPr>
          <w:p>
            <w:r>
              <w:rPr>
                <w:rFonts w:ascii="Calibri" w:hAnsi="Calibri"/>
                <w:color w:val="282828"/>
                <w:sz w:val="18"/>
              </w:rPr>
              <w:t>Operating Threshold</w:t>
            </w:r>
          </w:p>
        </w:tc>
        <w:tc>
          <w:tcPr>
            <w:tcW w:type="dxa" w:w="2592"/>
            <w:shd w:fill="FFFFFF"/>
            <w:tcMar>
              <w:top w:w="65" w:type="dxa"/>
              <w:bottom w:w="65" w:type="dxa"/>
              <w:left w:w="90" w:type="dxa"/>
              <w:right w:w="90" w:type="dxa"/>
            </w:tcMar>
          </w:tcPr>
          <w:p>
            <w:r>
              <w:rPr>
                <w:rFonts w:ascii="Calibri" w:hAnsi="Calibri"/>
                <w:color w:val="282828"/>
                <w:sz w:val="18"/>
              </w:rPr>
              <w:t>0.644081</w:t>
            </w:r>
          </w:p>
        </w:tc>
        <w:tc>
          <w:tcPr>
            <w:tcW w:type="dxa" w:w="2304"/>
            <w:shd w:fill="FFFFFF"/>
            <w:tcMar>
              <w:top w:w="65" w:type="dxa"/>
              <w:bottom w:w="65" w:type="dxa"/>
              <w:left w:w="90" w:type="dxa"/>
              <w:right w:w="90" w:type="dxa"/>
            </w:tcMar>
          </w:tcPr>
          <w:p>
            <w:r>
              <w:rPr>
                <w:rFonts w:ascii="Calibri" w:hAnsi="Calibri"/>
                <w:color w:val="282828"/>
                <w:sz w:val="18"/>
              </w:rPr>
              <w:t>Capacity mode</w:t>
            </w:r>
          </w:p>
        </w:tc>
        <w:tc>
          <w:tcPr>
            <w:tcW w:type="dxa" w:w="2880"/>
            <w:shd w:fill="FFFFFF"/>
            <w:tcMar>
              <w:top w:w="65" w:type="dxa"/>
              <w:bottom w:w="65" w:type="dxa"/>
              <w:left w:w="90" w:type="dxa"/>
              <w:right w:w="90" w:type="dxa"/>
            </w:tcMar>
          </w:tcPr>
          <w:p>
            <w:r>
              <w:rPr>
                <w:rFonts w:ascii="Calibri" w:hAnsi="Calibri"/>
                <w:color w:val="282828"/>
                <w:sz w:val="18"/>
              </w:rPr>
              <w:t>Calibrated for 500 reviews/day</w:t>
            </w:r>
          </w:p>
        </w:tc>
      </w:tr>
      <w:tr>
        <w:tc>
          <w:tcPr>
            <w:tcW w:type="dxa" w:w="2304"/>
            <w:shd w:fill="F4F7FA"/>
            <w:tcMar>
              <w:top w:w="65" w:type="dxa"/>
              <w:bottom w:w="65" w:type="dxa"/>
              <w:left w:w="90" w:type="dxa"/>
              <w:right w:w="90" w:type="dxa"/>
            </w:tcMar>
          </w:tcPr>
          <w:p>
            <w:r>
              <w:rPr>
                <w:rFonts w:ascii="Calibri" w:hAnsi="Calibri"/>
                <w:color w:val="282828"/>
                <w:sz w:val="18"/>
              </w:rPr>
              <w:t>Alert Rate</w:t>
            </w:r>
          </w:p>
        </w:tc>
        <w:tc>
          <w:tcPr>
            <w:tcW w:type="dxa" w:w="2592"/>
            <w:shd w:fill="F4F7FA"/>
            <w:tcMar>
              <w:top w:w="65" w:type="dxa"/>
              <w:bottom w:w="65" w:type="dxa"/>
              <w:left w:w="90" w:type="dxa"/>
              <w:right w:w="90" w:type="dxa"/>
            </w:tcMar>
          </w:tcPr>
          <w:p>
            <w:r>
              <w:rPr>
                <w:rFonts w:ascii="Calibri" w:hAnsi="Calibri"/>
                <w:color w:val="282828"/>
                <w:sz w:val="18"/>
              </w:rPr>
              <w:t>4.5054% (18,824 claims)</w:t>
            </w:r>
          </w:p>
        </w:tc>
        <w:tc>
          <w:tcPr>
            <w:tcW w:type="dxa" w:w="2304"/>
            <w:shd w:fill="F4F7FA"/>
            <w:tcMar>
              <w:top w:w="65" w:type="dxa"/>
              <w:bottom w:w="65" w:type="dxa"/>
              <w:left w:w="90" w:type="dxa"/>
              <w:right w:w="90" w:type="dxa"/>
            </w:tcMar>
          </w:tcPr>
          <w:p>
            <w:r>
              <w:rPr>
                <w:rFonts w:ascii="Calibri" w:hAnsi="Calibri"/>
                <w:color w:val="282828"/>
                <w:sz w:val="18"/>
              </w:rPr>
              <w:t>Historical audit: ~5%</w:t>
            </w:r>
          </w:p>
        </w:tc>
        <w:tc>
          <w:tcPr>
            <w:tcW w:type="dxa" w:w="2880"/>
            <w:shd w:fill="F4F7FA"/>
            <w:tcMar>
              <w:top w:w="65" w:type="dxa"/>
              <w:bottom w:w="65" w:type="dxa"/>
              <w:left w:w="90" w:type="dxa"/>
              <w:right w:w="90" w:type="dxa"/>
            </w:tcMar>
          </w:tcPr>
          <w:p>
            <w:r>
              <w:rPr>
                <w:rFonts w:ascii="Calibri" w:hAnsi="Calibri"/>
                <w:color w:val="282828"/>
                <w:sz w:val="18"/>
              </w:rPr>
              <w:t>Manageable audit queue</w:t>
            </w:r>
          </w:p>
        </w:tc>
      </w:tr>
      <w:tr>
        <w:tc>
          <w:tcPr>
            <w:tcW w:type="dxa" w:w="2304"/>
            <w:shd w:fill="FFFFFF"/>
            <w:tcMar>
              <w:top w:w="65" w:type="dxa"/>
              <w:bottom w:w="65" w:type="dxa"/>
              <w:left w:w="90" w:type="dxa"/>
              <w:right w:w="90" w:type="dxa"/>
            </w:tcMar>
          </w:tcPr>
          <w:p>
            <w:r>
              <w:rPr>
                <w:rFonts w:ascii="Calibri" w:hAnsi="Calibri"/>
                <w:color w:val="282828"/>
                <w:sz w:val="18"/>
              </w:rPr>
              <w:t>Precision at Threshold</w:t>
            </w:r>
          </w:p>
        </w:tc>
        <w:tc>
          <w:tcPr>
            <w:tcW w:type="dxa" w:w="2592"/>
            <w:shd w:fill="FFFFFF"/>
            <w:tcMar>
              <w:top w:w="65" w:type="dxa"/>
              <w:bottom w:w="65" w:type="dxa"/>
              <w:left w:w="90" w:type="dxa"/>
              <w:right w:w="90" w:type="dxa"/>
            </w:tcMar>
          </w:tcPr>
          <w:p>
            <w:r>
              <w:rPr>
                <w:rFonts w:ascii="Calibri" w:hAnsi="Calibri"/>
                <w:color w:val="282828"/>
                <w:sz w:val="18"/>
              </w:rPr>
              <w:t>57.44%</w:t>
            </w:r>
          </w:p>
        </w:tc>
        <w:tc>
          <w:tcPr>
            <w:tcW w:type="dxa" w:w="2304"/>
            <w:shd w:fill="FFFFFF"/>
            <w:tcMar>
              <w:top w:w="65" w:type="dxa"/>
              <w:bottom w:w="65" w:type="dxa"/>
              <w:left w:w="90" w:type="dxa"/>
              <w:right w:w="90" w:type="dxa"/>
            </w:tcMar>
          </w:tcPr>
          <w:p>
            <w:r>
              <w:rPr>
                <w:rFonts w:ascii="Calibri" w:hAnsi="Calibri"/>
                <w:color w:val="282828"/>
                <w:sz w:val="18"/>
              </w:rPr>
              <w:t>17.50%</w:t>
            </w:r>
          </w:p>
        </w:tc>
        <w:tc>
          <w:tcPr>
            <w:tcW w:type="dxa" w:w="2880"/>
            <w:shd w:fill="FFFFFF"/>
            <w:tcMar>
              <w:top w:w="65" w:type="dxa"/>
              <w:bottom w:w="65" w:type="dxa"/>
              <w:left w:w="90" w:type="dxa"/>
              <w:right w:w="90" w:type="dxa"/>
            </w:tcMar>
          </w:tcPr>
          <w:p>
            <w:r>
              <w:rPr>
                <w:rFonts w:ascii="Calibri" w:hAnsi="Calibri"/>
                <w:color w:val="282828"/>
                <w:sz w:val="18"/>
              </w:rPr>
              <w:t>More than half of all flagged claims confirmed invalid</w:t>
            </w:r>
          </w:p>
        </w:tc>
      </w:tr>
      <w:tr>
        <w:tc>
          <w:tcPr>
            <w:tcW w:type="dxa" w:w="2304"/>
            <w:shd w:fill="F4F7FA"/>
            <w:tcMar>
              <w:top w:w="65" w:type="dxa"/>
              <w:bottom w:w="65" w:type="dxa"/>
              <w:left w:w="90" w:type="dxa"/>
              <w:right w:w="90" w:type="dxa"/>
            </w:tcMar>
          </w:tcPr>
          <w:p>
            <w:r>
              <w:rPr>
                <w:rFonts w:ascii="Calibri" w:hAnsi="Calibri"/>
                <w:color w:val="282828"/>
                <w:sz w:val="18"/>
              </w:rPr>
              <w:t>Recall at Threshold</w:t>
            </w:r>
          </w:p>
        </w:tc>
        <w:tc>
          <w:tcPr>
            <w:tcW w:type="dxa" w:w="2592"/>
            <w:shd w:fill="F4F7FA"/>
            <w:tcMar>
              <w:top w:w="65" w:type="dxa"/>
              <w:bottom w:w="65" w:type="dxa"/>
              <w:left w:w="90" w:type="dxa"/>
              <w:right w:w="90" w:type="dxa"/>
            </w:tcMar>
          </w:tcPr>
          <w:p>
            <w:r>
              <w:rPr>
                <w:rFonts w:ascii="Calibri" w:hAnsi="Calibri"/>
                <w:color w:val="282828"/>
                <w:sz w:val="18"/>
              </w:rPr>
              <w:t>14.79%</w:t>
            </w:r>
          </w:p>
        </w:tc>
        <w:tc>
          <w:tcPr>
            <w:tcW w:type="dxa" w:w="2304"/>
            <w:shd w:fill="F4F7FA"/>
            <w:tcMar>
              <w:top w:w="65" w:type="dxa"/>
              <w:bottom w:w="65" w:type="dxa"/>
              <w:left w:w="90" w:type="dxa"/>
              <w:right w:w="90" w:type="dxa"/>
            </w:tcMar>
          </w:tcPr>
          <w:p>
            <w:r>
              <w:rPr>
                <w:rFonts w:ascii="Calibri" w:hAnsi="Calibri"/>
                <w:color w:val="282828"/>
                <w:sz w:val="18"/>
              </w:rPr>
              <w:t>4.51% (random)</w:t>
            </w:r>
          </w:p>
        </w:tc>
        <w:tc>
          <w:tcPr>
            <w:tcW w:type="dxa" w:w="2880"/>
            <w:shd w:fill="F4F7FA"/>
            <w:tcMar>
              <w:top w:w="65" w:type="dxa"/>
              <w:bottom w:w="65" w:type="dxa"/>
              <w:left w:w="90" w:type="dxa"/>
              <w:right w:w="90" w:type="dxa"/>
            </w:tcMar>
          </w:tcPr>
          <w:p>
            <w:r>
              <w:rPr>
                <w:rFonts w:ascii="Calibri" w:hAnsi="Calibri"/>
                <w:color w:val="282828"/>
                <w:sz w:val="18"/>
              </w:rPr>
              <w:t>Captures 3.3x more fraud than random sampling</w:t>
            </w:r>
          </w:p>
        </w:tc>
      </w:tr>
      <w:tr>
        <w:tc>
          <w:tcPr>
            <w:tcW w:type="dxa" w:w="2304"/>
            <w:shd w:fill="FFFFFF"/>
            <w:tcMar>
              <w:top w:w="65" w:type="dxa"/>
              <w:bottom w:w="65" w:type="dxa"/>
              <w:left w:w="90" w:type="dxa"/>
              <w:right w:w="90" w:type="dxa"/>
            </w:tcMar>
          </w:tcPr>
          <w:p>
            <w:r>
              <w:rPr>
                <w:rFonts w:ascii="Calibri" w:hAnsi="Calibri"/>
                <w:color w:val="282828"/>
                <w:sz w:val="18"/>
              </w:rPr>
              <w:t>Net Financial Recovery</w:t>
            </w:r>
          </w:p>
        </w:tc>
        <w:tc>
          <w:tcPr>
            <w:tcW w:type="dxa" w:w="2592"/>
            <w:shd w:fill="FFFFFF"/>
            <w:tcMar>
              <w:top w:w="65" w:type="dxa"/>
              <w:bottom w:w="65" w:type="dxa"/>
              <w:left w:w="90" w:type="dxa"/>
              <w:right w:w="90" w:type="dxa"/>
            </w:tcMar>
          </w:tcPr>
          <w:p>
            <w:r>
              <w:rPr>
                <w:rFonts w:ascii="Calibri" w:hAnsi="Calibri"/>
                <w:color w:val="282828"/>
                <w:sz w:val="18"/>
              </w:rPr>
              <w:t>146,156,000 XAF</w:t>
            </w:r>
          </w:p>
        </w:tc>
        <w:tc>
          <w:tcPr>
            <w:tcW w:type="dxa" w:w="2304"/>
            <w:shd w:fill="FFFFFF"/>
            <w:tcMar>
              <w:top w:w="65" w:type="dxa"/>
              <w:bottom w:w="65" w:type="dxa"/>
              <w:left w:w="90" w:type="dxa"/>
              <w:right w:w="90" w:type="dxa"/>
            </w:tcMar>
          </w:tcPr>
          <w:p>
            <w:r>
              <w:rPr>
                <w:rFonts w:ascii="Calibri" w:hAnsi="Calibri"/>
                <w:color w:val="282828"/>
                <w:sz w:val="18"/>
              </w:rPr>
              <w:t>0 XAF</w:t>
            </w:r>
          </w:p>
        </w:tc>
        <w:tc>
          <w:tcPr>
            <w:tcW w:type="dxa" w:w="2880"/>
            <w:shd w:fill="FFFFFF"/>
            <w:tcMar>
              <w:top w:w="65" w:type="dxa"/>
              <w:bottom w:w="65" w:type="dxa"/>
              <w:left w:w="90" w:type="dxa"/>
              <w:right w:w="90" w:type="dxa"/>
            </w:tcMar>
          </w:tcPr>
          <w:p>
            <w:r>
              <w:rPr>
                <w:rFonts w:ascii="Calibri" w:hAnsi="Calibri"/>
                <w:color w:val="282828"/>
                <w:sz w:val="18"/>
              </w:rPr>
              <w:t>Direct overbilling recovered</w:t>
            </w:r>
          </w:p>
        </w:tc>
      </w:tr>
    </w:tbl>
    <w:p>
      <w:pPr>
        <w:spacing w:after="120"/>
      </w:pPr>
    </w:p>
    <w:p>
      <w:pPr>
        <w:keepNext/>
        <w:spacing w:before="200" w:after="60"/>
      </w:pPr>
      <w:r>
        <w:rPr>
          <w:rFonts w:ascii="Calibri" w:hAnsi="Calibri"/>
          <w:b/>
          <w:color w:val="2980B9"/>
          <w:sz w:val="24"/>
        </w:rPr>
        <w:t>Precision@K Audit Performance</w:t>
      </w:r>
    </w:p>
    <w:p>
      <w:pPr>
        <w:spacing w:before="0" w:after="100" w:line="276" w:lineRule="auto"/>
      </w:pPr>
      <w:r>
        <w:rPr>
          <w:rFonts w:ascii="Calibri" w:hAnsi="Calibri"/>
          <w:color w:val="282828"/>
          <w:sz w:val="20"/>
        </w:rPr>
        <w:t>• Top 0.1% (417 claims): 98.32% precision (410 confirmed invalid, 6.22x enrichment vs population)</w:t>
        <w:br/>
        <w:t>• Top 0.5% (2,089 claims): 88.03% precision (1,839 confirmed invalid, 5.57x enrichment)</w:t>
        <w:br/>
        <w:t>• Top 1.0% (4,178 claims): 94.02% precision (3,928 confirmed invalid, 5.95x enrichment)</w:t>
      </w:r>
    </w:p>
    <w:p>
      <w:pPr>
        <w:spacing w:before="120" w:after="60"/>
        <w:jc w:val="center"/>
      </w:pPr>
      <w:r>
        <w:drawing>
          <wp:inline xmlns:a="http://schemas.openxmlformats.org/drawingml/2006/main" xmlns:pic="http://schemas.openxmlformats.org/drawingml/2006/picture">
            <wp:extent cx="5669280" cy="2969623"/>
            <wp:docPr id="1" name="Picture 1"/>
            <wp:cNvGraphicFramePr>
              <a:graphicFrameLocks noChangeAspect="1"/>
            </wp:cNvGraphicFramePr>
            <a:graphic>
              <a:graphicData uri="http://schemas.openxmlformats.org/drawingml/2006/picture">
                <pic:pic>
                  <pic:nvPicPr>
                    <pic:cNvPr id="0" name="isolation_forest_curves.png"/>
                    <pic:cNvPicPr/>
                  </pic:nvPicPr>
                  <pic:blipFill>
                    <a:blip r:embed="rId9"/>
                    <a:stretch>
                      <a:fillRect/>
                    </a:stretch>
                  </pic:blipFill>
                  <pic:spPr>
                    <a:xfrm>
                      <a:off x="0" y="0"/>
                      <a:ext cx="5669280" cy="2969623"/>
                    </a:xfrm>
                    <a:prstGeom prst="rect"/>
                  </pic:spPr>
                </pic:pic>
              </a:graphicData>
            </a:graphic>
          </wp:inline>
        </w:drawing>
      </w:r>
    </w:p>
    <w:p>
      <w:pPr>
        <w:spacing w:after="200"/>
        <w:jc w:val="center"/>
      </w:pPr>
      <w:r>
        <w:rPr>
          <w:rFonts w:ascii="Calibri" w:hAnsi="Calibri"/>
          <w:i/>
          <w:color w:val="646464"/>
          <w:sz w:val="17"/>
        </w:rPr>
        <w:t>Figure 1: Isolation Forest (A) Path Length Anomaly Distribution, (B) Precision@K Curve, (C) ROC Curve, and (D) PR Curve.</w:t>
      </w:r>
    </w:p>
    <w:p>
      <w:pPr>
        <w:keepNext/>
        <w:spacing w:before="320" w:after="80"/>
      </w:pPr>
      <w:r>
        <w:rPr>
          <w:rFonts w:ascii="Calibri" w:hAnsi="Calibri"/>
          <w:b/>
          <w:color w:val="184C78"/>
          <w:sz w:val="30"/>
        </w:rPr>
        <w:t>4. How to Use That (Operational Deployment)</w:t>
      </w:r>
    </w:p>
    <w:p>
      <w:pPr>
        <w:spacing w:before="0" w:after="100" w:line="276" w:lineRule="auto"/>
      </w:pPr>
      <w:r>
        <w:rPr>
          <w:rFonts w:ascii="Calibri" w:hAnsi="Calibri"/>
          <w:color w:val="282828"/>
          <w:sz w:val="20"/>
        </w:rPr>
        <w:t>1. Lightweight Edge Deployment:</w:t>
        <w:br/>
        <w:t xml:space="preserve">   Because the trained forest (.pkl) is only 5.1MB, it can be deployed on local hospital servers without GPU hardware to flag claims locally.</w:t>
        <w:br/>
        <w:br/>
        <w:t>2. First-Line Screening Filter:</w:t>
        <w:br/>
        <w:t xml:space="preserve">   Use Isolation Forest as a fast Tier 1 screening filter. Claims that pass Isolation Forest proceed to routine processing;    claims flagged by Isolation Forest are passed to the Deep Autoencoder and LightGBM models for secondary confirmation.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