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4C78"/>
          <w:sz w:val="48"/>
        </w:rPr>
        <w:t>LightGBM Claim Rejection Prediction</w:t>
      </w:r>
    </w:p>
    <w:p>
      <w:pPr>
        <w:spacing w:after="240"/>
        <w:jc w:val="center"/>
      </w:pPr>
      <w:r>
        <w:rPr>
          <w:rFonts w:ascii="Calibri" w:hAnsi="Calibri"/>
          <w:color w:val="2980B9"/>
          <w:sz w:val="24"/>
        </w:rPr>
        <w:t>Supervised Gradient Boosted Decision Trees Across All 13 openIMIS Relational Tables</w:t>
      </w:r>
    </w:p>
    <w:p>
      <w:pPr>
        <w:spacing w:after="320"/>
        <w:jc w:val="center"/>
      </w:pPr>
      <w:r>
        <w:rPr>
          <w:rFonts w:ascii="Calibri" w:hAnsi="Calibri"/>
          <w:i/>
          <w:color w:val="646464"/>
          <w:sz w:val="19"/>
        </w:rPr>
        <w:t>Cameroon openIMIS National Insurance Platform  |  Data and Design Lab  |  2026</w:t>
      </w:r>
    </w:p>
    <w:p>
      <w:pPr>
        <w:keepNext/>
        <w:spacing w:before="320" w:after="80"/>
      </w:pPr>
      <w:r>
        <w:rPr>
          <w:rFonts w:ascii="Calibri" w:hAnsi="Calibri"/>
          <w:b/>
          <w:color w:val="184C78"/>
          <w:sz w:val="30"/>
        </w:rPr>
        <w:t>1. Executive Summary</w:t>
      </w:r>
    </w:p>
    <w:p>
      <w:pPr>
        <w:spacing w:before="0" w:after="100" w:line="276" w:lineRule="auto"/>
      </w:pPr>
      <w:r>
        <w:rPr>
          <w:rFonts w:ascii="Calibri" w:hAnsi="Calibri"/>
          <w:color w:val="282828"/>
          <w:sz w:val="20"/>
        </w:rPr>
        <w:t>This report details the supervised LightGBM model developed to predict whether a submitted healthcare claim will be rejected. Trained across 63 curated features drawn from all 13 openIMIS relational database tables, this model serves as the empirical performance ceiling for all machine learning pipelines in the Cameroon 2.0 framework. Using temporal splitting and focal loss optimization to handle 5.5:1 class imbalance, the model achieves near-perfect calibration and extraordinary discrimination.</w:t>
      </w:r>
    </w:p>
    <w:tbl>
      <w:tblPr>
        <w:tblW w:type="auto" w:w="0"/>
        <w:jc w:val="center"/>
        <w:tblLook w:firstColumn="1" w:firstRow="1" w:lastColumn="0" w:lastRow="0" w:noHBand="0" w:noVBand="1" w:val="04A0"/>
      </w:tblPr>
      <w:tblGrid>
        <w:gridCol w:w="10080"/>
      </w:tblGrid>
      <w:tr>
        <w:tc>
          <w:tcPr>
            <w:tcW w:type="dxa" w:w="10080"/>
            <w:shd w:fill="F4F7FA"/>
            <w:tcMar>
              <w:top w:w="80" w:type="dxa"/>
              <w:bottom w:w="80" w:type="dxa"/>
              <w:left w:w="120" w:type="dxa"/>
              <w:right w:w="120" w:type="dxa"/>
            </w:tcMar>
            <w:tcBorders>
              <w:left w:val="single" w:sz="24" w:space="0" w:color="184C78"/>
              <w:top w:val="none"/>
              <w:right w:val="none"/>
              <w:bottom w:val="none"/>
            </w:tcBorders>
          </w:tcPr>
          <w:p>
            <w:pPr>
              <w:spacing w:after="0"/>
            </w:pPr>
            <w:r>
              <w:rPr>
                <w:rFonts w:ascii="Calibri" w:hAnsi="Calibri"/>
                <w:b/>
                <w:color w:val="184C78"/>
                <w:sz w:val="19"/>
              </w:rPr>
              <w:t xml:space="preserve">Key Finding: </w:t>
            </w:r>
            <w:r>
              <w:rPr>
                <w:rFonts w:ascii="Calibri" w:hAnsi="Calibri"/>
                <w:color w:val="282828"/>
                <w:sz w:val="19"/>
              </w:rPr>
              <w:t>The model achieves an outstanding ROC-AUC of 0.9841 and PR-AUC of 0.9635 (a 5.94x lift over the 16.2% test base rate). At the capacity operating threshold, it correctly identifies 65.02% of all rejections with a 99.91% precision (only 41 false positives out of 44,142 alerts), delivering 661.4 Million XAF in net audit value.</w:t>
            </w:r>
          </w:p>
        </w:tc>
      </w:tr>
    </w:tbl>
    <w:p>
      <w:pPr>
        <w:spacing w:after="80"/>
      </w:pPr>
    </w:p>
    <w:p>
      <w:pPr>
        <w:keepNext/>
        <w:spacing w:before="320" w:after="80"/>
      </w:pPr>
      <w:r>
        <w:rPr>
          <w:rFonts w:ascii="Calibri" w:hAnsi="Calibri"/>
          <w:b/>
          <w:color w:val="184C78"/>
          <w:sz w:val="30"/>
        </w:rPr>
        <w:t>2. What We Did, How, and Why</w:t>
      </w:r>
    </w:p>
    <w:p>
      <w:pPr>
        <w:keepNext/>
        <w:spacing w:before="200" w:after="60"/>
      </w:pPr>
      <w:r>
        <w:rPr>
          <w:rFonts w:ascii="Calibri" w:hAnsi="Calibri"/>
          <w:b/>
          <w:color w:val="2980B9"/>
          <w:sz w:val="24"/>
        </w:rPr>
        <w:t>What We Did</w:t>
      </w:r>
    </w:p>
    <w:p>
      <w:pPr>
        <w:spacing w:before="0" w:after="100" w:line="276" w:lineRule="auto"/>
      </w:pPr>
      <w:r>
        <w:rPr>
          <w:rFonts w:ascii="Calibri" w:hAnsi="Calibri"/>
          <w:color w:val="282828"/>
          <w:sz w:val="20"/>
        </w:rPr>
        <w:t>We built an enterprise-grade supervised claim rejection predictor. Unlike naive single-table models, this pipeline integrates data across all 13 openIMIS tables—including patient demographics, household poverty status, point-in-time policy status as of the service date, and itemized service line baskets.</w:t>
      </w:r>
    </w:p>
    <w:p>
      <w:pPr>
        <w:keepNext/>
        <w:spacing w:before="200" w:after="60"/>
      </w:pPr>
      <w:r>
        <w:rPr>
          <w:rFonts w:ascii="Calibri" w:hAnsi="Calibri"/>
          <w:b/>
          <w:color w:val="2980B9"/>
          <w:sz w:val="24"/>
        </w:rPr>
        <w:t>Why We Did It</w:t>
      </w:r>
    </w:p>
    <w:p>
      <w:pPr>
        <w:spacing w:before="0" w:after="100" w:line="276" w:lineRule="auto"/>
      </w:pPr>
      <w:r>
        <w:rPr>
          <w:rFonts w:ascii="Calibri" w:hAnsi="Calibri"/>
          <w:color w:val="282828"/>
          <w:sz w:val="20"/>
        </w:rPr>
        <w:t>Manual claim adjudication creates massive reimbursement delays (often exceeding 60-90 days), placing severe liquidity strain on hospitals. Predicting rejection before or during intake allows automated 'straight-through' approval for clean claims, while routing high-probability rejections back to clinics for correction before formal submission.</w:t>
      </w:r>
    </w:p>
    <w:p>
      <w:pPr>
        <w:keepNext/>
        <w:spacing w:before="200" w:after="60"/>
      </w:pPr>
      <w:r>
        <w:rPr>
          <w:rFonts w:ascii="Calibri" w:hAnsi="Calibri"/>
          <w:b/>
          <w:color w:val="2980B9"/>
          <w:sz w:val="24"/>
        </w:rPr>
        <w:t>How We Did It</w:t>
      </w:r>
    </w:p>
    <w:p>
      <w:pPr>
        <w:spacing w:before="0" w:after="100" w:line="276" w:lineRule="auto"/>
      </w:pPr>
      <w:r>
        <w:rPr>
          <w:rFonts w:ascii="Calibri" w:hAnsi="Calibri"/>
          <w:color w:val="282828"/>
          <w:sz w:val="20"/>
        </w:rPr>
        <w:t>• Strict Leakage Deny-List: Denied 35 adjudication-time variables (Feedback, ApprovalStatus, DateProcessed) to prevent target leakage.</w:t>
        <w:br/>
        <w:t>• Point-in-Time Policy Joins: Joined policy and insuree records active on the exact service date, not the latest database snapshot.</w:t>
        <w:br/>
        <w:t>• Focal Loss Handling: Handled 5.5:1 class imbalance using Focal Loss (gamma=2), outperforming SMOTE, undersampling, and scale_pos_weight.</w:t>
        <w:br/>
        <w:t>• Isotonic Probability Calibration: Calibrated raw decision scores into true posterior probabilities, achieving a Brier score of 0.0209.</w:t>
      </w:r>
    </w:p>
    <w:p>
      <w:pPr>
        <w:keepNext/>
        <w:spacing w:before="320" w:after="80"/>
      </w:pPr>
      <w:r>
        <w:rPr>
          <w:rFonts w:ascii="Calibri" w:hAnsi="Calibri"/>
          <w:b/>
          <w:color w:val="184C78"/>
          <w:sz w:val="30"/>
        </w:rPr>
        <w:t>3. What We Got (Empirical Results &amp; Evaluation)</w:t>
      </w:r>
    </w:p>
    <w:p>
      <w:pPr>
        <w:spacing w:before="0" w:after="100" w:line="276" w:lineRule="auto"/>
      </w:pPr>
      <w:r>
        <w:rPr>
          <w:rFonts w:ascii="Calibri" w:hAnsi="Calibri"/>
          <w:color w:val="282828"/>
          <w:sz w:val="20"/>
        </w:rPr>
        <w:t>Evaluation on the 417,814 temporal test claims yielded the following benchmark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304"/>
            <w:shd w:fill="184C78"/>
            <w:tcMar>
              <w:top w:w="90" w:type="dxa"/>
              <w:bottom w:w="90" w:type="dxa"/>
              <w:left w:w="90" w:type="dxa"/>
              <w:right w:w="90" w:type="dxa"/>
            </w:tcMar>
          </w:tcPr>
          <w:p>
            <w:pPr>
              <w:jc w:val="left"/>
            </w:pPr>
            <w:r>
              <w:rPr>
                <w:rFonts w:ascii="Calibri" w:hAnsi="Calibri"/>
                <w:b/>
                <w:color w:val="FFFFFF"/>
                <w:sz w:val="19"/>
              </w:rPr>
              <w:t>Metric / Parameter</w:t>
            </w:r>
          </w:p>
        </w:tc>
        <w:tc>
          <w:tcPr>
            <w:tcW w:type="dxa" w:w="2592"/>
            <w:shd w:fill="184C78"/>
            <w:tcMar>
              <w:top w:w="90" w:type="dxa"/>
              <w:bottom w:w="90" w:type="dxa"/>
              <w:left w:w="90" w:type="dxa"/>
              <w:right w:w="90" w:type="dxa"/>
            </w:tcMar>
          </w:tcPr>
          <w:p>
            <w:pPr>
              <w:jc w:val="left"/>
            </w:pPr>
            <w:r>
              <w:rPr>
                <w:rFonts w:ascii="Calibri" w:hAnsi="Calibri"/>
                <w:b/>
                <w:color w:val="FFFFFF"/>
                <w:sz w:val="19"/>
              </w:rPr>
              <w:t>LightGBM Result</w:t>
            </w:r>
          </w:p>
        </w:tc>
        <w:tc>
          <w:tcPr>
            <w:tcW w:type="dxa" w:w="2304"/>
            <w:shd w:fill="184C78"/>
            <w:tcMar>
              <w:top w:w="90" w:type="dxa"/>
              <w:bottom w:w="90" w:type="dxa"/>
              <w:left w:w="90" w:type="dxa"/>
              <w:right w:w="90" w:type="dxa"/>
            </w:tcMar>
          </w:tcPr>
          <w:p>
            <w:pPr>
              <w:jc w:val="left"/>
            </w:pPr>
            <w:r>
              <w:rPr>
                <w:rFonts w:ascii="Calibri" w:hAnsi="Calibri"/>
                <w:b/>
                <w:color w:val="FFFFFF"/>
                <w:sz w:val="19"/>
              </w:rPr>
              <w:t>Baseline / No-Skill</w:t>
            </w:r>
          </w:p>
        </w:tc>
        <w:tc>
          <w:tcPr>
            <w:tcW w:type="dxa" w:w="2880"/>
            <w:shd w:fill="184C78"/>
            <w:tcMar>
              <w:top w:w="90" w:type="dxa"/>
              <w:bottom w:w="90" w:type="dxa"/>
              <w:left w:w="90" w:type="dxa"/>
              <w:right w:w="90" w:type="dxa"/>
            </w:tcMar>
          </w:tcPr>
          <w:p>
            <w:pPr>
              <w:jc w:val="left"/>
            </w:pPr>
            <w:r>
              <w:rPr>
                <w:rFonts w:ascii="Calibri" w:hAnsi="Calibri"/>
                <w:b/>
                <w:color w:val="FFFFFF"/>
                <w:sz w:val="19"/>
              </w:rPr>
              <w:t>Operational Significance</w:t>
            </w:r>
          </w:p>
        </w:tc>
      </w:tr>
      <w:tr>
        <w:tc>
          <w:tcPr>
            <w:tcW w:type="dxa" w:w="2304"/>
            <w:shd w:fill="FFFFFF"/>
            <w:tcMar>
              <w:top w:w="65" w:type="dxa"/>
              <w:bottom w:w="65" w:type="dxa"/>
              <w:left w:w="90" w:type="dxa"/>
              <w:right w:w="90" w:type="dxa"/>
            </w:tcMar>
          </w:tcPr>
          <w:p>
            <w:r>
              <w:rPr>
                <w:rFonts w:ascii="Calibri" w:hAnsi="Calibri"/>
                <w:color w:val="282828"/>
                <w:sz w:val="18"/>
              </w:rPr>
              <w:t>ROC-AUC</w:t>
            </w:r>
          </w:p>
        </w:tc>
        <w:tc>
          <w:tcPr>
            <w:tcW w:type="dxa" w:w="2592"/>
            <w:shd w:fill="FFFFFF"/>
            <w:tcMar>
              <w:top w:w="65" w:type="dxa"/>
              <w:bottom w:w="65" w:type="dxa"/>
              <w:left w:w="90" w:type="dxa"/>
              <w:right w:w="90" w:type="dxa"/>
            </w:tcMar>
          </w:tcPr>
          <w:p>
            <w:r>
              <w:rPr>
                <w:rFonts w:ascii="Calibri" w:hAnsi="Calibri"/>
                <w:color w:val="282828"/>
                <w:sz w:val="18"/>
              </w:rPr>
              <w:t>0.9841 (95% CI: 0.9767 - 0.9898)</w:t>
            </w:r>
          </w:p>
        </w:tc>
        <w:tc>
          <w:tcPr>
            <w:tcW w:type="dxa" w:w="2304"/>
            <w:shd w:fill="FFFFFF"/>
            <w:tcMar>
              <w:top w:w="65" w:type="dxa"/>
              <w:bottom w:w="65" w:type="dxa"/>
              <w:left w:w="90" w:type="dxa"/>
              <w:right w:w="90" w:type="dxa"/>
            </w:tcMar>
          </w:tcPr>
          <w:p>
            <w:r>
              <w:rPr>
                <w:rFonts w:ascii="Calibri" w:hAnsi="Calibri"/>
                <w:color w:val="282828"/>
                <w:sz w:val="18"/>
              </w:rPr>
              <w:t>0.5000</w:t>
            </w:r>
          </w:p>
        </w:tc>
        <w:tc>
          <w:tcPr>
            <w:tcW w:type="dxa" w:w="2880"/>
            <w:shd w:fill="FFFFFF"/>
            <w:tcMar>
              <w:top w:w="65" w:type="dxa"/>
              <w:bottom w:w="65" w:type="dxa"/>
              <w:left w:w="90" w:type="dxa"/>
              <w:right w:w="90" w:type="dxa"/>
            </w:tcMar>
          </w:tcPr>
          <w:p>
            <w:r>
              <w:rPr>
                <w:rFonts w:ascii="Calibri" w:hAnsi="Calibri"/>
                <w:color w:val="282828"/>
                <w:sz w:val="18"/>
              </w:rPr>
              <w:t>State-of-the-art claim discrimination</w:t>
            </w:r>
          </w:p>
        </w:tc>
      </w:tr>
      <w:tr>
        <w:tc>
          <w:tcPr>
            <w:tcW w:type="dxa" w:w="2304"/>
            <w:shd w:fill="F4F7FA"/>
            <w:tcMar>
              <w:top w:w="65" w:type="dxa"/>
              <w:bottom w:w="65" w:type="dxa"/>
              <w:left w:w="90" w:type="dxa"/>
              <w:right w:w="90" w:type="dxa"/>
            </w:tcMar>
          </w:tcPr>
          <w:p>
            <w:r>
              <w:rPr>
                <w:rFonts w:ascii="Calibri" w:hAnsi="Calibri"/>
                <w:color w:val="282828"/>
                <w:sz w:val="18"/>
              </w:rPr>
              <w:t>PR-AUC (Average Precision)</w:t>
            </w:r>
          </w:p>
        </w:tc>
        <w:tc>
          <w:tcPr>
            <w:tcW w:type="dxa" w:w="2592"/>
            <w:shd w:fill="F4F7FA"/>
            <w:tcMar>
              <w:top w:w="65" w:type="dxa"/>
              <w:bottom w:w="65" w:type="dxa"/>
              <w:left w:w="90" w:type="dxa"/>
              <w:right w:w="90" w:type="dxa"/>
            </w:tcMar>
          </w:tcPr>
          <w:p>
            <w:r>
              <w:rPr>
                <w:rFonts w:ascii="Calibri" w:hAnsi="Calibri"/>
                <w:color w:val="282828"/>
                <w:sz w:val="18"/>
              </w:rPr>
              <w:t>0.9635 (95% CI: 0.9372 - 0.9800)</w:t>
            </w:r>
          </w:p>
        </w:tc>
        <w:tc>
          <w:tcPr>
            <w:tcW w:type="dxa" w:w="2304"/>
            <w:shd w:fill="F4F7FA"/>
            <w:tcMar>
              <w:top w:w="65" w:type="dxa"/>
              <w:bottom w:w="65" w:type="dxa"/>
              <w:left w:w="90" w:type="dxa"/>
              <w:right w:w="90" w:type="dxa"/>
            </w:tcMar>
          </w:tcPr>
          <w:p>
            <w:r>
              <w:rPr>
                <w:rFonts w:ascii="Calibri" w:hAnsi="Calibri"/>
                <w:color w:val="282828"/>
                <w:sz w:val="18"/>
              </w:rPr>
              <w:t>0.1623</w:t>
            </w:r>
          </w:p>
        </w:tc>
        <w:tc>
          <w:tcPr>
            <w:tcW w:type="dxa" w:w="2880"/>
            <w:shd w:fill="F4F7FA"/>
            <w:tcMar>
              <w:top w:w="65" w:type="dxa"/>
              <w:bottom w:w="65" w:type="dxa"/>
              <w:left w:w="90" w:type="dxa"/>
              <w:right w:w="90" w:type="dxa"/>
            </w:tcMar>
          </w:tcPr>
          <w:p>
            <w:r>
              <w:rPr>
                <w:rFonts w:ascii="Calibri" w:hAnsi="Calibri"/>
                <w:color w:val="282828"/>
                <w:sz w:val="18"/>
              </w:rPr>
              <w:t>5.94x lift over baseline rejection rate</w:t>
            </w:r>
          </w:p>
        </w:tc>
      </w:tr>
      <w:tr>
        <w:tc>
          <w:tcPr>
            <w:tcW w:type="dxa" w:w="2304"/>
            <w:shd w:fill="FFFFFF"/>
            <w:tcMar>
              <w:top w:w="65" w:type="dxa"/>
              <w:bottom w:w="65" w:type="dxa"/>
              <w:left w:w="90" w:type="dxa"/>
              <w:right w:w="90" w:type="dxa"/>
            </w:tcMar>
          </w:tcPr>
          <w:p>
            <w:r>
              <w:rPr>
                <w:rFonts w:ascii="Calibri" w:hAnsi="Calibri"/>
                <w:color w:val="282828"/>
                <w:sz w:val="18"/>
              </w:rPr>
              <w:t>Brier Score (Calibrated)</w:t>
            </w:r>
          </w:p>
        </w:tc>
        <w:tc>
          <w:tcPr>
            <w:tcW w:type="dxa" w:w="2592"/>
            <w:shd w:fill="FFFFFF"/>
            <w:tcMar>
              <w:top w:w="65" w:type="dxa"/>
              <w:bottom w:w="65" w:type="dxa"/>
              <w:left w:w="90" w:type="dxa"/>
              <w:right w:w="90" w:type="dxa"/>
            </w:tcMar>
          </w:tcPr>
          <w:p>
            <w:r>
              <w:rPr>
                <w:rFonts w:ascii="Calibri" w:hAnsi="Calibri"/>
                <w:color w:val="282828"/>
                <w:sz w:val="18"/>
              </w:rPr>
              <w:t>0.0209</w:t>
            </w:r>
          </w:p>
        </w:tc>
        <w:tc>
          <w:tcPr>
            <w:tcW w:type="dxa" w:w="2304"/>
            <w:shd w:fill="FFFFFF"/>
            <w:tcMar>
              <w:top w:w="65" w:type="dxa"/>
              <w:bottom w:w="65" w:type="dxa"/>
              <w:left w:w="90" w:type="dxa"/>
              <w:right w:w="90" w:type="dxa"/>
            </w:tcMar>
          </w:tcPr>
          <w:p>
            <w:r>
              <w:rPr>
                <w:rFonts w:ascii="Calibri" w:hAnsi="Calibri"/>
                <w:color w:val="282828"/>
                <w:sz w:val="18"/>
              </w:rPr>
              <w:t>0.1360 (uninformed)</w:t>
            </w:r>
          </w:p>
        </w:tc>
        <w:tc>
          <w:tcPr>
            <w:tcW w:type="dxa" w:w="2880"/>
            <w:shd w:fill="FFFFFF"/>
            <w:tcMar>
              <w:top w:w="65" w:type="dxa"/>
              <w:bottom w:w="65" w:type="dxa"/>
              <w:left w:w="90" w:type="dxa"/>
              <w:right w:w="90" w:type="dxa"/>
            </w:tcMar>
          </w:tcPr>
          <w:p>
            <w:r>
              <w:rPr>
                <w:rFonts w:ascii="Calibri" w:hAnsi="Calibri"/>
                <w:color w:val="282828"/>
                <w:sz w:val="18"/>
              </w:rPr>
              <w:t>Extremely accurate probability estimation</w:t>
            </w:r>
          </w:p>
        </w:tc>
      </w:tr>
      <w:tr>
        <w:tc>
          <w:tcPr>
            <w:tcW w:type="dxa" w:w="2304"/>
            <w:shd w:fill="F4F7FA"/>
            <w:tcMar>
              <w:top w:w="65" w:type="dxa"/>
              <w:bottom w:w="65" w:type="dxa"/>
              <w:left w:w="90" w:type="dxa"/>
              <w:right w:w="90" w:type="dxa"/>
            </w:tcMar>
          </w:tcPr>
          <w:p>
            <w:r>
              <w:rPr>
                <w:rFonts w:ascii="Calibri" w:hAnsi="Calibri"/>
                <w:color w:val="282828"/>
                <w:sz w:val="18"/>
              </w:rPr>
              <w:t>Operating Threshold</w:t>
            </w:r>
          </w:p>
        </w:tc>
        <w:tc>
          <w:tcPr>
            <w:tcW w:type="dxa" w:w="2592"/>
            <w:shd w:fill="F4F7FA"/>
            <w:tcMar>
              <w:top w:w="65" w:type="dxa"/>
              <w:bottom w:w="65" w:type="dxa"/>
              <w:left w:w="90" w:type="dxa"/>
              <w:right w:w="90" w:type="dxa"/>
            </w:tcMar>
          </w:tcPr>
          <w:p>
            <w:r>
              <w:rPr>
                <w:rFonts w:ascii="Calibri" w:hAnsi="Calibri"/>
                <w:color w:val="282828"/>
                <w:sz w:val="18"/>
              </w:rPr>
              <w:t>2.273039</w:t>
            </w:r>
          </w:p>
        </w:tc>
        <w:tc>
          <w:tcPr>
            <w:tcW w:type="dxa" w:w="2304"/>
            <w:shd w:fill="F4F7FA"/>
            <w:tcMar>
              <w:top w:w="65" w:type="dxa"/>
              <w:bottom w:w="65" w:type="dxa"/>
              <w:left w:w="90" w:type="dxa"/>
              <w:right w:w="90" w:type="dxa"/>
            </w:tcMar>
          </w:tcPr>
          <w:p>
            <w:r>
              <w:rPr>
                <w:rFonts w:ascii="Calibri" w:hAnsi="Calibri"/>
                <w:color w:val="282828"/>
                <w:sz w:val="18"/>
              </w:rPr>
              <w:t>N/A</w:t>
            </w:r>
          </w:p>
        </w:tc>
        <w:tc>
          <w:tcPr>
            <w:tcW w:type="dxa" w:w="2880"/>
            <w:shd w:fill="F4F7FA"/>
            <w:tcMar>
              <w:top w:w="65" w:type="dxa"/>
              <w:bottom w:w="65" w:type="dxa"/>
              <w:left w:w="90" w:type="dxa"/>
              <w:right w:w="90" w:type="dxa"/>
            </w:tcMar>
          </w:tcPr>
          <w:p>
            <w:r>
              <w:rPr>
                <w:rFonts w:ascii="Calibri" w:hAnsi="Calibri"/>
                <w:color w:val="282828"/>
                <w:sz w:val="18"/>
              </w:rPr>
              <w:t>Target capacity threshold (500 audits/day)</w:t>
            </w:r>
          </w:p>
        </w:tc>
      </w:tr>
      <w:tr>
        <w:tc>
          <w:tcPr>
            <w:tcW w:type="dxa" w:w="2304"/>
            <w:shd w:fill="FFFFFF"/>
            <w:tcMar>
              <w:top w:w="65" w:type="dxa"/>
              <w:bottom w:w="65" w:type="dxa"/>
              <w:left w:w="90" w:type="dxa"/>
              <w:right w:w="90" w:type="dxa"/>
            </w:tcMar>
          </w:tcPr>
          <w:p>
            <w:r>
              <w:rPr>
                <w:rFonts w:ascii="Calibri" w:hAnsi="Calibri"/>
                <w:color w:val="282828"/>
                <w:sz w:val="18"/>
              </w:rPr>
              <w:t>Precision at Operating Point</w:t>
            </w:r>
          </w:p>
        </w:tc>
        <w:tc>
          <w:tcPr>
            <w:tcW w:type="dxa" w:w="2592"/>
            <w:shd w:fill="FFFFFF"/>
            <w:tcMar>
              <w:top w:w="65" w:type="dxa"/>
              <w:bottom w:w="65" w:type="dxa"/>
              <w:left w:w="90" w:type="dxa"/>
              <w:right w:w="90" w:type="dxa"/>
            </w:tcMar>
          </w:tcPr>
          <w:p>
            <w:r>
              <w:rPr>
                <w:rFonts w:ascii="Calibri" w:hAnsi="Calibri"/>
                <w:color w:val="282828"/>
                <w:sz w:val="18"/>
              </w:rPr>
              <w:t>99.91%</w:t>
            </w:r>
          </w:p>
        </w:tc>
        <w:tc>
          <w:tcPr>
            <w:tcW w:type="dxa" w:w="2304"/>
            <w:shd w:fill="FFFFFF"/>
            <w:tcMar>
              <w:top w:w="65" w:type="dxa"/>
              <w:bottom w:w="65" w:type="dxa"/>
              <w:left w:w="90" w:type="dxa"/>
              <w:right w:w="90" w:type="dxa"/>
            </w:tcMar>
          </w:tcPr>
          <w:p>
            <w:r>
              <w:rPr>
                <w:rFonts w:ascii="Calibri" w:hAnsi="Calibri"/>
                <w:color w:val="282828"/>
                <w:sz w:val="18"/>
              </w:rPr>
              <w:t>16.23%</w:t>
            </w:r>
          </w:p>
        </w:tc>
        <w:tc>
          <w:tcPr>
            <w:tcW w:type="dxa" w:w="2880"/>
            <w:shd w:fill="FFFFFF"/>
            <w:tcMar>
              <w:top w:w="65" w:type="dxa"/>
              <w:bottom w:w="65" w:type="dxa"/>
              <w:left w:w="90" w:type="dxa"/>
              <w:right w:w="90" w:type="dxa"/>
            </w:tcMar>
          </w:tcPr>
          <w:p>
            <w:r>
              <w:rPr>
                <w:rFonts w:ascii="Calibri" w:hAnsi="Calibri"/>
                <w:color w:val="282828"/>
                <w:sz w:val="18"/>
              </w:rPr>
              <w:t>Only 41 false positives out of 44,142 alerts!</w:t>
            </w:r>
          </w:p>
        </w:tc>
      </w:tr>
      <w:tr>
        <w:tc>
          <w:tcPr>
            <w:tcW w:type="dxa" w:w="2304"/>
            <w:shd w:fill="F4F7FA"/>
            <w:tcMar>
              <w:top w:w="65" w:type="dxa"/>
              <w:bottom w:w="65" w:type="dxa"/>
              <w:left w:w="90" w:type="dxa"/>
              <w:right w:w="90" w:type="dxa"/>
            </w:tcMar>
          </w:tcPr>
          <w:p>
            <w:r>
              <w:rPr>
                <w:rFonts w:ascii="Calibri" w:hAnsi="Calibri"/>
                <w:color w:val="282828"/>
                <w:sz w:val="18"/>
              </w:rPr>
              <w:t>Recall at Operating Point</w:t>
            </w:r>
          </w:p>
        </w:tc>
        <w:tc>
          <w:tcPr>
            <w:tcW w:type="dxa" w:w="2592"/>
            <w:shd w:fill="F4F7FA"/>
            <w:tcMar>
              <w:top w:w="65" w:type="dxa"/>
              <w:bottom w:w="65" w:type="dxa"/>
              <w:left w:w="90" w:type="dxa"/>
              <w:right w:w="90" w:type="dxa"/>
            </w:tcMar>
          </w:tcPr>
          <w:p>
            <w:r>
              <w:rPr>
                <w:rFonts w:ascii="Calibri" w:hAnsi="Calibri"/>
                <w:color w:val="282828"/>
                <w:sz w:val="18"/>
              </w:rPr>
              <w:t>65.02%</w:t>
            </w:r>
          </w:p>
        </w:tc>
        <w:tc>
          <w:tcPr>
            <w:tcW w:type="dxa" w:w="2304"/>
            <w:shd w:fill="F4F7FA"/>
            <w:tcMar>
              <w:top w:w="65" w:type="dxa"/>
              <w:bottom w:w="65" w:type="dxa"/>
              <w:left w:w="90" w:type="dxa"/>
              <w:right w:w="90" w:type="dxa"/>
            </w:tcMar>
          </w:tcPr>
          <w:p>
            <w:r>
              <w:rPr>
                <w:rFonts w:ascii="Calibri" w:hAnsi="Calibri"/>
                <w:color w:val="282828"/>
                <w:sz w:val="18"/>
              </w:rPr>
              <w:t>10.56% (random)</w:t>
            </w:r>
          </w:p>
        </w:tc>
        <w:tc>
          <w:tcPr>
            <w:tcW w:type="dxa" w:w="2880"/>
            <w:shd w:fill="F4F7FA"/>
            <w:tcMar>
              <w:top w:w="65" w:type="dxa"/>
              <w:bottom w:w="65" w:type="dxa"/>
              <w:left w:w="90" w:type="dxa"/>
              <w:right w:w="90" w:type="dxa"/>
            </w:tcMar>
          </w:tcPr>
          <w:p>
            <w:r>
              <w:rPr>
                <w:rFonts w:ascii="Calibri" w:hAnsi="Calibri"/>
                <w:color w:val="282828"/>
                <w:sz w:val="18"/>
              </w:rPr>
              <w:t>Intercepts nearly two-thirds of all rejections</w:t>
            </w:r>
          </w:p>
        </w:tc>
      </w:tr>
      <w:tr>
        <w:tc>
          <w:tcPr>
            <w:tcW w:type="dxa" w:w="2304"/>
            <w:shd w:fill="FFFFFF"/>
            <w:tcMar>
              <w:top w:w="65" w:type="dxa"/>
              <w:bottom w:w="65" w:type="dxa"/>
              <w:left w:w="90" w:type="dxa"/>
              <w:right w:w="90" w:type="dxa"/>
            </w:tcMar>
          </w:tcPr>
          <w:p>
            <w:r>
              <w:rPr>
                <w:rFonts w:ascii="Calibri" w:hAnsi="Calibri"/>
                <w:color w:val="282828"/>
                <w:sz w:val="18"/>
              </w:rPr>
              <w:t>Net Financial Value</w:t>
            </w:r>
          </w:p>
        </w:tc>
        <w:tc>
          <w:tcPr>
            <w:tcW w:type="dxa" w:w="2592"/>
            <w:shd w:fill="FFFFFF"/>
            <w:tcMar>
              <w:top w:w="65" w:type="dxa"/>
              <w:bottom w:w="65" w:type="dxa"/>
              <w:left w:w="90" w:type="dxa"/>
              <w:right w:w="90" w:type="dxa"/>
            </w:tcMar>
          </w:tcPr>
          <w:p>
            <w:r>
              <w:rPr>
                <w:rFonts w:ascii="Calibri" w:hAnsi="Calibri"/>
                <w:color w:val="282828"/>
                <w:sz w:val="18"/>
              </w:rPr>
              <w:t>661,433,000 XAF</w:t>
            </w:r>
          </w:p>
        </w:tc>
        <w:tc>
          <w:tcPr>
            <w:tcW w:type="dxa" w:w="2304"/>
            <w:shd w:fill="FFFFFF"/>
            <w:tcMar>
              <w:top w:w="65" w:type="dxa"/>
              <w:bottom w:w="65" w:type="dxa"/>
              <w:left w:w="90" w:type="dxa"/>
              <w:right w:w="90" w:type="dxa"/>
            </w:tcMar>
          </w:tcPr>
          <w:p>
            <w:r>
              <w:rPr>
                <w:rFonts w:ascii="Calibri" w:hAnsi="Calibri"/>
                <w:color w:val="282828"/>
                <w:sz w:val="18"/>
              </w:rPr>
              <w:t>0 XAF</w:t>
            </w:r>
          </w:p>
        </w:tc>
        <w:tc>
          <w:tcPr>
            <w:tcW w:type="dxa" w:w="2880"/>
            <w:shd w:fill="FFFFFF"/>
            <w:tcMar>
              <w:top w:w="65" w:type="dxa"/>
              <w:bottom w:w="65" w:type="dxa"/>
              <w:left w:w="90" w:type="dxa"/>
              <w:right w:w="90" w:type="dxa"/>
            </w:tcMar>
          </w:tcPr>
          <w:p>
            <w:r>
              <w:rPr>
                <w:rFonts w:ascii="Calibri" w:hAnsi="Calibri"/>
                <w:color w:val="282828"/>
                <w:sz w:val="18"/>
              </w:rPr>
              <w:t>Massive financial leakage prevention</w:t>
            </w:r>
          </w:p>
        </w:tc>
      </w:tr>
    </w:tbl>
    <w:p>
      <w:pPr>
        <w:spacing w:after="120"/>
      </w:pPr>
    </w:p>
    <w:p>
      <w:pPr>
        <w:keepNext/>
        <w:spacing w:before="200" w:after="60"/>
      </w:pPr>
      <w:r>
        <w:rPr>
          <w:rFonts w:ascii="Calibri" w:hAnsi="Calibri"/>
          <w:b/>
          <w:color w:val="2980B9"/>
          <w:sz w:val="24"/>
        </w:rPr>
        <w:t>Confusion Matrix at Operating Point (Threshold = 2.273)</w:t>
      </w:r>
    </w:p>
    <w:p>
      <w:pPr>
        <w:spacing w:before="0" w:after="100" w:line="276" w:lineRule="auto"/>
      </w:pPr>
      <w:r>
        <w:rPr>
          <w:rFonts w:ascii="Calibri" w:hAnsi="Calibri"/>
          <w:color w:val="282828"/>
          <w:sz w:val="20"/>
        </w:rPr>
        <w:t>• Actual Accepted: 349,948 correctly passed | 41 false alarms (False Positive Rate: 0.01%)</w:t>
        <w:br/>
        <w:t>• Actual Rejected: 44,101 correctly intercepted | 23,724 missed (True Positive Rate: 65.02%)</w:t>
      </w:r>
    </w:p>
    <w:p>
      <w:pPr>
        <w:spacing w:before="120" w:after="60"/>
        <w:jc w:val="center"/>
      </w:pPr>
      <w:r>
        <w:drawing>
          <wp:inline xmlns:a="http://schemas.openxmlformats.org/drawingml/2006/main" xmlns:pic="http://schemas.openxmlformats.org/drawingml/2006/picture">
            <wp:extent cx="5669280" cy="1977656"/>
            <wp:docPr id="1" name="Picture 1"/>
            <wp:cNvGraphicFramePr>
              <a:graphicFrameLocks noChangeAspect="1"/>
            </wp:cNvGraphicFramePr>
            <a:graphic>
              <a:graphicData uri="http://schemas.openxmlformats.org/drawingml/2006/picture">
                <pic:pic>
                  <pic:nvPicPr>
                    <pic:cNvPr id="0" name="lightgbm_calibration_curves.png"/>
                    <pic:cNvPicPr/>
                  </pic:nvPicPr>
                  <pic:blipFill>
                    <a:blip r:embed="rId9"/>
                    <a:stretch>
                      <a:fillRect/>
                    </a:stretch>
                  </pic:blipFill>
                  <pic:spPr>
                    <a:xfrm>
                      <a:off x="0" y="0"/>
                      <a:ext cx="5669280" cy="1977656"/>
                    </a:xfrm>
                    <a:prstGeom prst="rect"/>
                  </pic:spPr>
                </pic:pic>
              </a:graphicData>
            </a:graphic>
          </wp:inline>
        </w:drawing>
      </w:r>
    </w:p>
    <w:p>
      <w:pPr>
        <w:spacing w:after="200"/>
        <w:jc w:val="center"/>
      </w:pPr>
      <w:r>
        <w:rPr>
          <w:rFonts w:ascii="Calibri" w:hAnsi="Calibri"/>
          <w:i/>
          <w:color w:val="646464"/>
          <w:sz w:val="17"/>
        </w:rPr>
        <w:t>Figure 1: LightGBM Reliability Curve and Post-Calibration Probability Alignment.</w:t>
      </w:r>
    </w:p>
    <w:p>
      <w:pPr>
        <w:spacing w:before="120" w:after="60"/>
        <w:jc w:val="center"/>
      </w:pPr>
      <w:r>
        <w:drawing>
          <wp:inline xmlns:a="http://schemas.openxmlformats.org/drawingml/2006/main" xmlns:pic="http://schemas.openxmlformats.org/drawingml/2006/picture">
            <wp:extent cx="5669280" cy="2969623"/>
            <wp:docPr id="2" name="Picture 2"/>
            <wp:cNvGraphicFramePr>
              <a:graphicFrameLocks noChangeAspect="1"/>
            </wp:cNvGraphicFramePr>
            <a:graphic>
              <a:graphicData uri="http://schemas.openxmlformats.org/drawingml/2006/picture">
                <pic:pic>
                  <pic:nvPicPr>
                    <pic:cNvPr id="0" name="lightgbm_shap_summary.png"/>
                    <pic:cNvPicPr/>
                  </pic:nvPicPr>
                  <pic:blipFill>
                    <a:blip r:embed="rId10"/>
                    <a:stretch>
                      <a:fillRect/>
                    </a:stretch>
                  </pic:blipFill>
                  <pic:spPr>
                    <a:xfrm>
                      <a:off x="0" y="0"/>
                      <a:ext cx="5669280" cy="2969623"/>
                    </a:xfrm>
                    <a:prstGeom prst="rect"/>
                  </pic:spPr>
                </pic:pic>
              </a:graphicData>
            </a:graphic>
          </wp:inline>
        </w:drawing>
      </w:r>
    </w:p>
    <w:p>
      <w:pPr>
        <w:spacing w:after="200"/>
        <w:jc w:val="center"/>
      </w:pPr>
      <w:r>
        <w:rPr>
          <w:rFonts w:ascii="Calibri" w:hAnsi="Calibri"/>
          <w:i/>
          <w:color w:val="646464"/>
          <w:sz w:val="17"/>
        </w:rPr>
        <w:t>Figure 2: TreeSHAP Global Feature Importance Ranking (Top 20 Drivers of Rejection).</w:t>
      </w:r>
    </w:p>
    <w:p>
      <w:pPr>
        <w:keepNext/>
        <w:spacing w:before="320" w:after="80"/>
      </w:pPr>
      <w:r>
        <w:rPr>
          <w:rFonts w:ascii="Calibri" w:hAnsi="Calibri"/>
          <w:b/>
          <w:color w:val="184C78"/>
          <w:sz w:val="30"/>
        </w:rPr>
        <w:t>4. How to Use That (Operational Deployment)</w:t>
      </w:r>
    </w:p>
    <w:p>
      <w:pPr>
        <w:spacing w:before="0" w:after="100" w:line="276" w:lineRule="auto"/>
      </w:pPr>
      <w:r>
        <w:rPr>
          <w:rFonts w:ascii="Calibri" w:hAnsi="Calibri"/>
          <w:color w:val="282828"/>
          <w:sz w:val="20"/>
        </w:rPr>
        <w:t>1. Automated Pre-Submission Clearinghouse (Real-Time API):</w:t>
        <w:br/>
        <w:t xml:space="preserve">   Deploy LightGBM as a REST endpoint inside the hospital billing portal. When a clerk enters a claim, the model scores it in &lt;10ms.    If predicted rejection probability is &gt;90%, the portal flags the exact missing eligibility criteria before submission.</w:t>
        <w:br/>
        <w:br/>
        <w:t>2. Auto-Approval Routing (Straight-Through Processing):</w:t>
        <w:br/>
        <w:t xml:space="preserve">   Claims with rejection probability &lt;0.5% (over 70% of volume) bypass manual review and are queued for immediate automated reimbursement.</w:t>
        <w:br/>
        <w:br/>
        <w:t>3. Targeted Human Audit:</w:t>
        <w:br/>
        <w:t xml:space="preserve">   Route claims scoring above threshold 2.273 to the senior adjudication desk, ensuring 99.9% of auditor time is spent on non-compliant claims.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