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84C78"/>
          <w:sz w:val="48"/>
        </w:rPr>
        <w:t>LightGBM Rejection Prediction (Honest Ablation)</w:t>
      </w:r>
    </w:p>
    <w:p>
      <w:pPr>
        <w:spacing w:after="240"/>
        <w:jc w:val="center"/>
      </w:pPr>
      <w:r>
        <w:rPr>
          <w:rFonts w:ascii="Calibri" w:hAnsi="Calibri"/>
          <w:color w:val="2980B9"/>
          <w:sz w:val="24"/>
        </w:rPr>
        <w:t>Retraining Without ClaimCategory Leakage &amp; Measuring What Data Actually Matters</w:t>
        <w:br/>
        <w:t>Cameroon openIMIS Multi-Table Claims System</w:t>
      </w:r>
    </w:p>
    <w:p>
      <w:pPr>
        <w:spacing w:after="320"/>
        <w:jc w:val="center"/>
      </w:pPr>
      <w:r>
        <w:rPr>
          <w:rFonts w:ascii="Calibri" w:hAnsi="Calibri"/>
          <w:i/>
          <w:color w:val="646464"/>
          <w:sz w:val="19"/>
        </w:rPr>
        <w:t>Data and Design Lab  |  Technical Model Review  |  2026</w:t>
      </w:r>
    </w:p>
    <w:p>
      <w:pPr>
        <w:keepNext/>
        <w:spacing w:before="320" w:after="80"/>
      </w:pPr>
      <w:r>
        <w:rPr>
          <w:rFonts w:ascii="Calibri" w:hAnsi="Calibri"/>
          <w:b/>
          <w:color w:val="184C78"/>
          <w:sz w:val="30"/>
        </w:rPr>
        <w:t>1. Executive Summary</w:t>
      </w:r>
    </w:p>
    <w:p>
      <w:pPr>
        <w:spacing w:before="0" w:after="100" w:line="276" w:lineRule="auto"/>
      </w:pPr>
      <w:r>
        <w:rPr>
          <w:rFonts w:ascii="Calibri" w:hAnsi="Calibri"/>
          <w:color w:val="282828"/>
          <w:sz w:val="20"/>
        </w:rPr>
        <w:t>In healthcare claim predictive modeling, models can appear extraordinarily accurate while silently learning from 'target leakage'—features that are populated during or after the adjudication decision. In our original LightGBM baseline, the attribute ClaimCategory carried a massive 79% of the total model gain. Audits revealed that ClaimCategory in openIMIS frequently functions as an administrative disposition tag rather than an inherent, pre-submission clinical attribute. This allowed the initial model to 'cheat', achieving an artificially high test PR-AUC of 0.9635 while completely obscuring the true predictive value of clinical, financial, and policy features.</w:t>
      </w:r>
    </w:p>
    <w:p>
      <w:pPr>
        <w:spacing w:before="0" w:after="100" w:line="276" w:lineRule="auto"/>
      </w:pPr>
      <w:r>
        <w:rPr>
          <w:rFonts w:ascii="Calibri" w:hAnsi="Calibri"/>
          <w:color w:val="282828"/>
          <w:sz w:val="20"/>
        </w:rPr>
        <w:t>To resolve this, we placed ClaimCategory on the strict Leakage Deny-List (DENY) and completely retrained LightGBM across all 13 openIMIS tables. We then conducted a comprehensive Feature Block Ablation to measure which data tables and feature groups actually matter.</w:t>
      </w:r>
    </w:p>
    <w:tbl>
      <w:tblPr>
        <w:tblW w:type="auto" w:w="0"/>
        <w:jc w:val="center"/>
        <w:tblLook w:firstColumn="1" w:firstRow="1" w:lastColumn="0" w:lastRow="0" w:noHBand="0" w:noVBand="1" w:val="04A0"/>
      </w:tblPr>
      <w:tblGrid>
        <w:gridCol w:w="10080"/>
      </w:tblGrid>
      <w:tr>
        <w:tc>
          <w:tcPr>
            <w:tcW w:type="dxa" w:w="10080"/>
            <w:shd w:fill="F4F7FA"/>
            <w:tcMar>
              <w:top w:w="80" w:type="dxa"/>
              <w:bottom w:w="80" w:type="dxa"/>
              <w:left w:w="120" w:type="dxa"/>
              <w:right w:w="120" w:type="dxa"/>
            </w:tcMar>
            <w:tcBorders>
              <w:left w:val="single" w:sz="24" w:space="0" w:color="184C78"/>
              <w:top w:val="none"/>
              <w:right w:val="none"/>
              <w:bottom w:val="none"/>
            </w:tcBorders>
          </w:tcPr>
          <w:p>
            <w:pPr>
              <w:spacing w:after="0"/>
            </w:pPr>
            <w:r>
              <w:rPr>
                <w:rFonts w:ascii="Calibri" w:hAnsi="Calibri"/>
                <w:b/>
                <w:color w:val="184C78"/>
                <w:sz w:val="19"/>
              </w:rPr>
              <w:t xml:space="preserve">Core Conclusion: </w:t>
            </w:r>
            <w:r>
              <w:rPr>
                <w:rFonts w:ascii="Calibri" w:hAnsi="Calibri"/>
                <w:color w:val="282828"/>
                <w:sz w:val="19"/>
              </w:rPr>
              <w:t>Even after completely removing the cheating field, LightGBM achieves an honest test ROC-AUC of 0.8778 and a PR-AUC of 0.7604 (a powerful 4.68x lift over the 16.2% base rate). At the target capacity threshold, it catches 54.03% of all rejections with 91.79% precision, recovering 543 Million XAF in net value. The ablation proves that Facility Historical Behavior and Policy Expiration are the two overwhelming real-world drivers of claim rejection.</w:t>
            </w:r>
          </w:p>
        </w:tc>
      </w:tr>
    </w:tbl>
    <w:p>
      <w:pPr>
        <w:spacing w:after="80"/>
      </w:pPr>
    </w:p>
    <w:p>
      <w:pPr>
        <w:keepNext/>
        <w:spacing w:before="320" w:after="80"/>
      </w:pPr>
      <w:r>
        <w:rPr>
          <w:rFonts w:ascii="Calibri" w:hAnsi="Calibri"/>
          <w:b/>
          <w:color w:val="184C78"/>
          <w:sz w:val="30"/>
        </w:rPr>
        <w:t>2. What We Did, How, and Why</w:t>
      </w:r>
    </w:p>
    <w:p>
      <w:pPr>
        <w:keepNext/>
        <w:spacing w:before="200" w:after="60"/>
      </w:pPr>
      <w:r>
        <w:rPr>
          <w:rFonts w:ascii="Calibri" w:hAnsi="Calibri"/>
          <w:b/>
          <w:color w:val="2980B9"/>
          <w:sz w:val="24"/>
        </w:rPr>
        <w:t>Why We Retrained Without ClaimCategory</w:t>
      </w:r>
    </w:p>
    <w:p>
      <w:pPr>
        <w:spacing w:before="0" w:after="100" w:line="276" w:lineRule="auto"/>
      </w:pPr>
      <w:r>
        <w:rPr>
          <w:rFonts w:ascii="Calibri" w:hAnsi="Calibri"/>
          <w:color w:val="282828"/>
          <w:sz w:val="20"/>
        </w:rPr>
        <w:t>When a single categorical field carries 79% of a gradient boosting model's split decisions, two dangers arise: (1) If the field is modified or absent at intake in a live hospital portal, model performance completely collapses; and (2) The model never learns the subtle clinical, timing, and policy correlations that human adjudicators actually evaluate. By enforcing strict temporal separation—only using data known before submission—we ensure the model reflects real-world pre-submission triage.</w:t>
      </w:r>
    </w:p>
    <w:p>
      <w:pPr>
        <w:keepNext/>
        <w:spacing w:before="200" w:after="60"/>
      </w:pPr>
      <w:r>
        <w:rPr>
          <w:rFonts w:ascii="Calibri" w:hAnsi="Calibri"/>
          <w:b/>
          <w:color w:val="2980B9"/>
          <w:sz w:val="24"/>
        </w:rPr>
        <w:t>How We Retrained the Model</w:t>
      </w:r>
    </w:p>
    <w:p>
      <w:pPr>
        <w:spacing w:before="0" w:after="100" w:line="276" w:lineRule="auto"/>
      </w:pPr>
      <w:r>
        <w:rPr>
          <w:rFonts w:ascii="Calibri" w:hAnsi="Calibri"/>
          <w:color w:val="282828"/>
          <w:sz w:val="20"/>
        </w:rPr>
        <w:t>• Data Ingestion: Evaluated 2,785,421 adjudicated claims joined against itemized services, facility levels, and point-in-time policy status.</w:t>
        <w:br/>
        <w:t>• Temporal Data Split: 1,949,794 training claims (2020 to mid-2025), 417,813 validation claims, and 417,814 holdout test claims (late 2025).</w:t>
        <w:br/>
        <w:t>• Feature Space: 51 honest features (28 numeric, 13 binary flags, 10 categoricals/IDs).</w:t>
        <w:br/>
        <w:t>• Model Architecture: 409 boosting trees trained with learning rate 0.05, early stopping on validation average precision, and isotonic calibration.</w:t>
      </w:r>
    </w:p>
    <w:p>
      <w:pPr>
        <w:keepNext/>
        <w:spacing w:before="320" w:after="80"/>
      </w:pPr>
      <w:r>
        <w:rPr>
          <w:rFonts w:ascii="Calibri" w:hAnsi="Calibri"/>
          <w:b/>
          <w:color w:val="184C78"/>
          <w:sz w:val="30"/>
        </w:rPr>
        <w:t>3. What We Got (Honest Empirical Findings &amp; Metrics)</w:t>
      </w:r>
    </w:p>
    <w:p>
      <w:pPr>
        <w:spacing w:before="0" w:after="100" w:line="276" w:lineRule="auto"/>
      </w:pPr>
      <w:r>
        <w:rPr>
          <w:rFonts w:ascii="Calibri" w:hAnsi="Calibri"/>
          <w:color w:val="282828"/>
          <w:sz w:val="20"/>
        </w:rPr>
        <w:t>Evaluation on the 417,814 temporal test set claims yielded robust, honest benchmark metrics: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20"/>
        <w:gridCol w:w="2520"/>
        <w:gridCol w:w="2520"/>
        <w:gridCol w:w="2520"/>
      </w:tblGrid>
      <w:tr>
        <w:tc>
          <w:tcPr>
            <w:tcW w:type="dxa" w:w="2304"/>
            <w:shd w:fill="184C78"/>
            <w:tcMar>
              <w:top w:w="90" w:type="dxa"/>
              <w:bottom w:w="90" w:type="dxa"/>
              <w:left w:w="90" w:type="dxa"/>
              <w:right w:w="90" w:type="dxa"/>
            </w:tcMar>
          </w:tcPr>
          <w:p>
            <w:pPr>
              <w:jc w:val="left"/>
            </w:pPr>
            <w:r>
              <w:rPr>
                <w:rFonts w:ascii="Calibri" w:hAnsi="Calibri"/>
                <w:b/>
                <w:color w:val="FFFFFF"/>
                <w:sz w:val="19"/>
              </w:rPr>
              <w:t>Metric / Parameter</w:t>
            </w:r>
          </w:p>
        </w:tc>
        <w:tc>
          <w:tcPr>
            <w:tcW w:type="dxa" w:w="2592"/>
            <w:shd w:fill="184C78"/>
            <w:tcMar>
              <w:top w:w="90" w:type="dxa"/>
              <w:bottom w:w="90" w:type="dxa"/>
              <w:left w:w="90" w:type="dxa"/>
              <w:right w:w="90" w:type="dxa"/>
            </w:tcMar>
          </w:tcPr>
          <w:p>
            <w:pPr>
              <w:jc w:val="left"/>
            </w:pPr>
            <w:r>
              <w:rPr>
                <w:rFonts w:ascii="Calibri" w:hAnsi="Calibri"/>
                <w:b/>
                <w:color w:val="FFFFFF"/>
                <w:sz w:val="19"/>
              </w:rPr>
              <w:t>Honest Model (No ClaimCategory)</w:t>
            </w:r>
          </w:p>
        </w:tc>
        <w:tc>
          <w:tcPr>
            <w:tcW w:type="dxa" w:w="2304"/>
            <w:shd w:fill="184C78"/>
            <w:tcMar>
              <w:top w:w="90" w:type="dxa"/>
              <w:bottom w:w="90" w:type="dxa"/>
              <w:left w:w="90" w:type="dxa"/>
              <w:right w:w="90" w:type="dxa"/>
            </w:tcMar>
          </w:tcPr>
          <w:p>
            <w:pPr>
              <w:jc w:val="left"/>
            </w:pPr>
            <w:r>
              <w:rPr>
                <w:rFonts w:ascii="Calibri" w:hAnsi="Calibri"/>
                <w:b/>
                <w:color w:val="FFFFFF"/>
                <w:sz w:val="19"/>
              </w:rPr>
              <w:t>Cheating Baseline</w:t>
            </w:r>
          </w:p>
        </w:tc>
        <w:tc>
          <w:tcPr>
            <w:tcW w:type="dxa" w:w="2880"/>
            <w:shd w:fill="184C78"/>
            <w:tcMar>
              <w:top w:w="90" w:type="dxa"/>
              <w:bottom w:w="90" w:type="dxa"/>
              <w:left w:w="90" w:type="dxa"/>
              <w:right w:w="90" w:type="dxa"/>
            </w:tcMar>
          </w:tcPr>
          <w:p>
            <w:pPr>
              <w:jc w:val="left"/>
            </w:pPr>
            <w:r>
              <w:rPr>
                <w:rFonts w:ascii="Calibri" w:hAnsi="Calibri"/>
                <w:b/>
                <w:color w:val="FFFFFF"/>
                <w:sz w:val="19"/>
              </w:rPr>
              <w:t>Operational Interpretation</w:t>
            </w:r>
          </w:p>
        </w:tc>
      </w:tr>
      <w:tr>
        <w:tc>
          <w:tcPr>
            <w:tcW w:type="dxa" w:w="2304"/>
            <w:shd w:fill="FFFFFF"/>
            <w:tcMar>
              <w:top w:w="65" w:type="dxa"/>
              <w:bottom w:w="65" w:type="dxa"/>
              <w:left w:w="90" w:type="dxa"/>
              <w:right w:w="90" w:type="dxa"/>
            </w:tcMar>
          </w:tcPr>
          <w:p>
            <w:r>
              <w:rPr>
                <w:rFonts w:ascii="Calibri" w:hAnsi="Calibri"/>
                <w:color w:val="282828"/>
                <w:sz w:val="18"/>
              </w:rPr>
              <w:t>ROC-AUC</w:t>
            </w:r>
          </w:p>
        </w:tc>
        <w:tc>
          <w:tcPr>
            <w:tcW w:type="dxa" w:w="2592"/>
            <w:shd w:fill="FFFFFF"/>
            <w:tcMar>
              <w:top w:w="65" w:type="dxa"/>
              <w:bottom w:w="65" w:type="dxa"/>
              <w:left w:w="90" w:type="dxa"/>
              <w:right w:w="90" w:type="dxa"/>
            </w:tcMar>
          </w:tcPr>
          <w:p>
            <w:r>
              <w:rPr>
                <w:rFonts w:ascii="Calibri" w:hAnsi="Calibri"/>
                <w:color w:val="282828"/>
                <w:sz w:val="18"/>
              </w:rPr>
              <w:t>0.8778 (95% CI: 0.815 - 0.921)</w:t>
            </w:r>
          </w:p>
        </w:tc>
        <w:tc>
          <w:tcPr>
            <w:tcW w:type="dxa" w:w="2304"/>
            <w:shd w:fill="FFFFFF"/>
            <w:tcMar>
              <w:top w:w="65" w:type="dxa"/>
              <w:bottom w:w="65" w:type="dxa"/>
              <w:left w:w="90" w:type="dxa"/>
              <w:right w:w="90" w:type="dxa"/>
            </w:tcMar>
          </w:tcPr>
          <w:p>
            <w:r>
              <w:rPr>
                <w:rFonts w:ascii="Calibri" w:hAnsi="Calibri"/>
                <w:color w:val="282828"/>
                <w:sz w:val="18"/>
              </w:rPr>
              <w:t>0.9841 (Inflated)</w:t>
            </w:r>
          </w:p>
        </w:tc>
        <w:tc>
          <w:tcPr>
            <w:tcW w:type="dxa" w:w="2880"/>
            <w:shd w:fill="FFFFFF"/>
            <w:tcMar>
              <w:top w:w="65" w:type="dxa"/>
              <w:bottom w:w="65" w:type="dxa"/>
              <w:left w:w="90" w:type="dxa"/>
              <w:right w:w="90" w:type="dxa"/>
            </w:tcMar>
          </w:tcPr>
          <w:p>
            <w:r>
              <w:rPr>
                <w:rFonts w:ascii="Calibri" w:hAnsi="Calibri"/>
                <w:color w:val="282828"/>
                <w:sz w:val="18"/>
              </w:rPr>
              <w:t>True real-world discrimination across facilities</w:t>
            </w:r>
          </w:p>
        </w:tc>
      </w:tr>
      <w:tr>
        <w:tc>
          <w:tcPr>
            <w:tcW w:type="dxa" w:w="2304"/>
            <w:shd w:fill="F4F7FA"/>
            <w:tcMar>
              <w:top w:w="65" w:type="dxa"/>
              <w:bottom w:w="65" w:type="dxa"/>
              <w:left w:w="90" w:type="dxa"/>
              <w:right w:w="90" w:type="dxa"/>
            </w:tcMar>
          </w:tcPr>
          <w:p>
            <w:r>
              <w:rPr>
                <w:rFonts w:ascii="Calibri" w:hAnsi="Calibri"/>
                <w:color w:val="282828"/>
                <w:sz w:val="18"/>
              </w:rPr>
              <w:t>PR-AUC (Average Precision)</w:t>
            </w:r>
          </w:p>
        </w:tc>
        <w:tc>
          <w:tcPr>
            <w:tcW w:type="dxa" w:w="2592"/>
            <w:shd w:fill="F4F7FA"/>
            <w:tcMar>
              <w:top w:w="65" w:type="dxa"/>
              <w:bottom w:w="65" w:type="dxa"/>
              <w:left w:w="90" w:type="dxa"/>
              <w:right w:w="90" w:type="dxa"/>
            </w:tcMar>
          </w:tcPr>
          <w:p>
            <w:r>
              <w:rPr>
                <w:rFonts w:ascii="Calibri" w:hAnsi="Calibri"/>
                <w:color w:val="282828"/>
                <w:sz w:val="18"/>
              </w:rPr>
              <w:t>0.7604 (95% CI: 0.582 - 0.877)</w:t>
            </w:r>
          </w:p>
        </w:tc>
        <w:tc>
          <w:tcPr>
            <w:tcW w:type="dxa" w:w="2304"/>
            <w:shd w:fill="F4F7FA"/>
            <w:tcMar>
              <w:top w:w="65" w:type="dxa"/>
              <w:bottom w:w="65" w:type="dxa"/>
              <w:left w:w="90" w:type="dxa"/>
              <w:right w:w="90" w:type="dxa"/>
            </w:tcMar>
          </w:tcPr>
          <w:p>
            <w:r>
              <w:rPr>
                <w:rFonts w:ascii="Calibri" w:hAnsi="Calibri"/>
                <w:color w:val="282828"/>
                <w:sz w:val="18"/>
              </w:rPr>
              <w:t>0.9635 (Inflated)</w:t>
            </w:r>
          </w:p>
        </w:tc>
        <w:tc>
          <w:tcPr>
            <w:tcW w:type="dxa" w:w="2880"/>
            <w:shd w:fill="F4F7FA"/>
            <w:tcMar>
              <w:top w:w="65" w:type="dxa"/>
              <w:bottom w:w="65" w:type="dxa"/>
              <w:left w:w="90" w:type="dxa"/>
              <w:right w:w="90" w:type="dxa"/>
            </w:tcMar>
          </w:tcPr>
          <w:p>
            <w:r>
              <w:rPr>
                <w:rFonts w:ascii="Calibri" w:hAnsi="Calibri"/>
                <w:color w:val="282828"/>
                <w:sz w:val="18"/>
              </w:rPr>
              <w:t>4.68x lift over the 16.23% unguided base rate</w:t>
            </w:r>
          </w:p>
        </w:tc>
      </w:tr>
      <w:tr>
        <w:tc>
          <w:tcPr>
            <w:tcW w:type="dxa" w:w="2304"/>
            <w:shd w:fill="FFFFFF"/>
            <w:tcMar>
              <w:top w:w="65" w:type="dxa"/>
              <w:bottom w:w="65" w:type="dxa"/>
              <w:left w:w="90" w:type="dxa"/>
              <w:right w:w="90" w:type="dxa"/>
            </w:tcMar>
          </w:tcPr>
          <w:p>
            <w:r>
              <w:rPr>
                <w:rFonts w:ascii="Calibri" w:hAnsi="Calibri"/>
                <w:color w:val="282828"/>
                <w:sz w:val="18"/>
              </w:rPr>
              <w:t>Operating Threshold</w:t>
            </w:r>
          </w:p>
        </w:tc>
        <w:tc>
          <w:tcPr>
            <w:tcW w:type="dxa" w:w="2592"/>
            <w:shd w:fill="FFFFFF"/>
            <w:tcMar>
              <w:top w:w="65" w:type="dxa"/>
              <w:bottom w:w="65" w:type="dxa"/>
              <w:left w:w="90" w:type="dxa"/>
              <w:right w:w="90" w:type="dxa"/>
            </w:tcMar>
          </w:tcPr>
          <w:p>
            <w:r>
              <w:rPr>
                <w:rFonts w:ascii="Calibri" w:hAnsi="Calibri"/>
                <w:color w:val="282828"/>
                <w:sz w:val="18"/>
              </w:rPr>
              <w:t>0.875123</w:t>
            </w:r>
          </w:p>
        </w:tc>
        <w:tc>
          <w:tcPr>
            <w:tcW w:type="dxa" w:w="2304"/>
            <w:shd w:fill="FFFFFF"/>
            <w:tcMar>
              <w:top w:w="65" w:type="dxa"/>
              <w:bottom w:w="65" w:type="dxa"/>
              <w:left w:w="90" w:type="dxa"/>
              <w:right w:w="90" w:type="dxa"/>
            </w:tcMar>
          </w:tcPr>
          <w:p>
            <w:r>
              <w:rPr>
                <w:rFonts w:ascii="Calibri" w:hAnsi="Calibri"/>
                <w:color w:val="282828"/>
                <w:sz w:val="18"/>
              </w:rPr>
              <w:t>2.273039</w:t>
            </w:r>
          </w:p>
        </w:tc>
        <w:tc>
          <w:tcPr>
            <w:tcW w:type="dxa" w:w="2880"/>
            <w:shd w:fill="FFFFFF"/>
            <w:tcMar>
              <w:top w:w="65" w:type="dxa"/>
              <w:bottom w:w="65" w:type="dxa"/>
              <w:left w:w="90" w:type="dxa"/>
              <w:right w:w="90" w:type="dxa"/>
            </w:tcMar>
          </w:tcPr>
          <w:p>
            <w:r>
              <w:rPr>
                <w:rFonts w:ascii="Calibri" w:hAnsi="Calibri"/>
                <w:color w:val="282828"/>
                <w:sz w:val="18"/>
              </w:rPr>
              <w:t>Selected to match 500 audit capacity/day</w:t>
            </w:r>
          </w:p>
        </w:tc>
      </w:tr>
      <w:tr>
        <w:tc>
          <w:tcPr>
            <w:tcW w:type="dxa" w:w="2304"/>
            <w:shd w:fill="F4F7FA"/>
            <w:tcMar>
              <w:top w:w="65" w:type="dxa"/>
              <w:bottom w:w="65" w:type="dxa"/>
              <w:left w:w="90" w:type="dxa"/>
              <w:right w:w="90" w:type="dxa"/>
            </w:tcMar>
          </w:tcPr>
          <w:p>
            <w:r>
              <w:rPr>
                <w:rFonts w:ascii="Calibri" w:hAnsi="Calibri"/>
                <w:color w:val="282828"/>
                <w:sz w:val="18"/>
              </w:rPr>
              <w:t>Alert Rate</w:t>
            </w:r>
          </w:p>
        </w:tc>
        <w:tc>
          <w:tcPr>
            <w:tcW w:type="dxa" w:w="2592"/>
            <w:shd w:fill="F4F7FA"/>
            <w:tcMar>
              <w:top w:w="65" w:type="dxa"/>
              <w:bottom w:w="65" w:type="dxa"/>
              <w:left w:w="90" w:type="dxa"/>
              <w:right w:w="90" w:type="dxa"/>
            </w:tcMar>
          </w:tcPr>
          <w:p>
            <w:r>
              <w:rPr>
                <w:rFonts w:ascii="Calibri" w:hAnsi="Calibri"/>
                <w:color w:val="282828"/>
                <w:sz w:val="18"/>
              </w:rPr>
              <w:t>9.5557% (39,925 claims)</w:t>
            </w:r>
          </w:p>
        </w:tc>
        <w:tc>
          <w:tcPr>
            <w:tcW w:type="dxa" w:w="2304"/>
            <w:shd w:fill="F4F7FA"/>
            <w:tcMar>
              <w:top w:w="65" w:type="dxa"/>
              <w:bottom w:w="65" w:type="dxa"/>
              <w:left w:w="90" w:type="dxa"/>
              <w:right w:w="90" w:type="dxa"/>
            </w:tcMar>
          </w:tcPr>
          <w:p>
            <w:r>
              <w:rPr>
                <w:rFonts w:ascii="Calibri" w:hAnsi="Calibri"/>
                <w:color w:val="282828"/>
                <w:sz w:val="18"/>
              </w:rPr>
              <w:t>10.5650%</w:t>
            </w:r>
          </w:p>
        </w:tc>
        <w:tc>
          <w:tcPr>
            <w:tcW w:type="dxa" w:w="2880"/>
            <w:shd w:fill="F4F7FA"/>
            <w:tcMar>
              <w:top w:w="65" w:type="dxa"/>
              <w:bottom w:w="65" w:type="dxa"/>
              <w:left w:w="90" w:type="dxa"/>
              <w:right w:w="90" w:type="dxa"/>
            </w:tcMar>
          </w:tcPr>
          <w:p>
            <w:r>
              <w:rPr>
                <w:rFonts w:ascii="Calibri" w:hAnsi="Calibri"/>
                <w:color w:val="282828"/>
                <w:sz w:val="18"/>
              </w:rPr>
              <w:t>Feasible, highly targeted audit volume</w:t>
            </w:r>
          </w:p>
        </w:tc>
      </w:tr>
      <w:tr>
        <w:tc>
          <w:tcPr>
            <w:tcW w:type="dxa" w:w="2304"/>
            <w:shd w:fill="FFFFFF"/>
            <w:tcMar>
              <w:top w:w="65" w:type="dxa"/>
              <w:bottom w:w="65" w:type="dxa"/>
              <w:left w:w="90" w:type="dxa"/>
              <w:right w:w="90" w:type="dxa"/>
            </w:tcMar>
          </w:tcPr>
          <w:p>
            <w:r>
              <w:rPr>
                <w:rFonts w:ascii="Calibri" w:hAnsi="Calibri"/>
                <w:color w:val="282828"/>
                <w:sz w:val="18"/>
              </w:rPr>
              <w:t>Precision at Operating Point</w:t>
            </w:r>
          </w:p>
        </w:tc>
        <w:tc>
          <w:tcPr>
            <w:tcW w:type="dxa" w:w="2592"/>
            <w:shd w:fill="FFFFFF"/>
            <w:tcMar>
              <w:top w:w="65" w:type="dxa"/>
              <w:bottom w:w="65" w:type="dxa"/>
              <w:left w:w="90" w:type="dxa"/>
              <w:right w:w="90" w:type="dxa"/>
            </w:tcMar>
          </w:tcPr>
          <w:p>
            <w:r>
              <w:rPr>
                <w:rFonts w:ascii="Calibri" w:hAnsi="Calibri"/>
                <w:color w:val="282828"/>
                <w:sz w:val="18"/>
              </w:rPr>
              <w:t>91.79%</w:t>
            </w:r>
          </w:p>
        </w:tc>
        <w:tc>
          <w:tcPr>
            <w:tcW w:type="dxa" w:w="2304"/>
            <w:shd w:fill="FFFFFF"/>
            <w:tcMar>
              <w:top w:w="65" w:type="dxa"/>
              <w:bottom w:w="65" w:type="dxa"/>
              <w:left w:w="90" w:type="dxa"/>
              <w:right w:w="90" w:type="dxa"/>
            </w:tcMar>
          </w:tcPr>
          <w:p>
            <w:r>
              <w:rPr>
                <w:rFonts w:ascii="Calibri" w:hAnsi="Calibri"/>
                <w:color w:val="282828"/>
                <w:sz w:val="18"/>
              </w:rPr>
              <w:t>99.91%</w:t>
            </w:r>
          </w:p>
        </w:tc>
        <w:tc>
          <w:tcPr>
            <w:tcW w:type="dxa" w:w="2880"/>
            <w:shd w:fill="FFFFFF"/>
            <w:tcMar>
              <w:top w:w="65" w:type="dxa"/>
              <w:bottom w:w="65" w:type="dxa"/>
              <w:left w:w="90" w:type="dxa"/>
              <w:right w:w="90" w:type="dxa"/>
            </w:tcMar>
          </w:tcPr>
          <w:p>
            <w:r>
              <w:rPr>
                <w:rFonts w:ascii="Calibri" w:hAnsi="Calibri"/>
                <w:color w:val="282828"/>
                <w:sz w:val="18"/>
              </w:rPr>
              <w:t>92 out of 100 flagged claims are confirmed invalid!</w:t>
            </w:r>
          </w:p>
        </w:tc>
      </w:tr>
      <w:tr>
        <w:tc>
          <w:tcPr>
            <w:tcW w:type="dxa" w:w="2304"/>
            <w:shd w:fill="F4F7FA"/>
            <w:tcMar>
              <w:top w:w="65" w:type="dxa"/>
              <w:bottom w:w="65" w:type="dxa"/>
              <w:left w:w="90" w:type="dxa"/>
              <w:right w:w="90" w:type="dxa"/>
            </w:tcMar>
          </w:tcPr>
          <w:p>
            <w:r>
              <w:rPr>
                <w:rFonts w:ascii="Calibri" w:hAnsi="Calibri"/>
                <w:color w:val="282828"/>
                <w:sz w:val="18"/>
              </w:rPr>
              <w:t>Recall at Operating Point</w:t>
            </w:r>
          </w:p>
        </w:tc>
        <w:tc>
          <w:tcPr>
            <w:tcW w:type="dxa" w:w="2592"/>
            <w:shd w:fill="F4F7FA"/>
            <w:tcMar>
              <w:top w:w="65" w:type="dxa"/>
              <w:bottom w:w="65" w:type="dxa"/>
              <w:left w:w="90" w:type="dxa"/>
              <w:right w:w="90" w:type="dxa"/>
            </w:tcMar>
          </w:tcPr>
          <w:p>
            <w:r>
              <w:rPr>
                <w:rFonts w:ascii="Calibri" w:hAnsi="Calibri"/>
                <w:color w:val="282828"/>
                <w:sz w:val="18"/>
              </w:rPr>
              <w:t>54.03%</w:t>
            </w:r>
          </w:p>
        </w:tc>
        <w:tc>
          <w:tcPr>
            <w:tcW w:type="dxa" w:w="2304"/>
            <w:shd w:fill="F4F7FA"/>
            <w:tcMar>
              <w:top w:w="65" w:type="dxa"/>
              <w:bottom w:w="65" w:type="dxa"/>
              <w:left w:w="90" w:type="dxa"/>
              <w:right w:w="90" w:type="dxa"/>
            </w:tcMar>
          </w:tcPr>
          <w:p>
            <w:r>
              <w:rPr>
                <w:rFonts w:ascii="Calibri" w:hAnsi="Calibri"/>
                <w:color w:val="282828"/>
                <w:sz w:val="18"/>
              </w:rPr>
              <w:t>65.02%</w:t>
            </w:r>
          </w:p>
        </w:tc>
        <w:tc>
          <w:tcPr>
            <w:tcW w:type="dxa" w:w="2880"/>
            <w:shd w:fill="F4F7FA"/>
            <w:tcMar>
              <w:top w:w="65" w:type="dxa"/>
              <w:bottom w:w="65" w:type="dxa"/>
              <w:left w:w="90" w:type="dxa"/>
              <w:right w:w="90" w:type="dxa"/>
            </w:tcMar>
          </w:tcPr>
          <w:p>
            <w:r>
              <w:rPr>
                <w:rFonts w:ascii="Calibri" w:hAnsi="Calibri"/>
                <w:color w:val="282828"/>
                <w:sz w:val="18"/>
              </w:rPr>
              <w:t>Catches more than half of all rejected claims</w:t>
            </w:r>
          </w:p>
        </w:tc>
      </w:tr>
      <w:tr>
        <w:tc>
          <w:tcPr>
            <w:tcW w:type="dxa" w:w="2304"/>
            <w:shd w:fill="FFFFFF"/>
            <w:tcMar>
              <w:top w:w="65" w:type="dxa"/>
              <w:bottom w:w="65" w:type="dxa"/>
              <w:left w:w="90" w:type="dxa"/>
              <w:right w:w="90" w:type="dxa"/>
            </w:tcMar>
          </w:tcPr>
          <w:p>
            <w:r>
              <w:rPr>
                <w:rFonts w:ascii="Calibri" w:hAnsi="Calibri"/>
                <w:color w:val="282828"/>
                <w:sz w:val="18"/>
              </w:rPr>
              <w:t>Net Financial Recovery</w:t>
            </w:r>
          </w:p>
        </w:tc>
        <w:tc>
          <w:tcPr>
            <w:tcW w:type="dxa" w:w="2592"/>
            <w:shd w:fill="FFFFFF"/>
            <w:tcMar>
              <w:top w:w="65" w:type="dxa"/>
              <w:bottom w:w="65" w:type="dxa"/>
              <w:left w:w="90" w:type="dxa"/>
              <w:right w:w="90" w:type="dxa"/>
            </w:tcMar>
          </w:tcPr>
          <w:p>
            <w:r>
              <w:rPr>
                <w:rFonts w:ascii="Calibri" w:hAnsi="Calibri"/>
                <w:color w:val="282828"/>
                <w:sz w:val="18"/>
              </w:rPr>
              <w:t>543,132,000 XAF</w:t>
            </w:r>
          </w:p>
        </w:tc>
        <w:tc>
          <w:tcPr>
            <w:tcW w:type="dxa" w:w="2304"/>
            <w:shd w:fill="FFFFFF"/>
            <w:tcMar>
              <w:top w:w="65" w:type="dxa"/>
              <w:bottom w:w="65" w:type="dxa"/>
              <w:left w:w="90" w:type="dxa"/>
              <w:right w:w="90" w:type="dxa"/>
            </w:tcMar>
          </w:tcPr>
          <w:p>
            <w:r>
              <w:rPr>
                <w:rFonts w:ascii="Calibri" w:hAnsi="Calibri"/>
                <w:color w:val="282828"/>
                <w:sz w:val="18"/>
              </w:rPr>
              <w:t>661,433,000 XAF</w:t>
            </w:r>
          </w:p>
        </w:tc>
        <w:tc>
          <w:tcPr>
            <w:tcW w:type="dxa" w:w="2880"/>
            <w:shd w:fill="FFFFFF"/>
            <w:tcMar>
              <w:top w:w="65" w:type="dxa"/>
              <w:bottom w:w="65" w:type="dxa"/>
              <w:left w:w="90" w:type="dxa"/>
              <w:right w:w="90" w:type="dxa"/>
            </w:tcMar>
          </w:tcPr>
          <w:p>
            <w:r>
              <w:rPr>
                <w:rFonts w:ascii="Calibri" w:hAnsi="Calibri"/>
                <w:color w:val="282828"/>
                <w:sz w:val="18"/>
              </w:rPr>
              <w:t>543 Million XAF direct overbilling intercepted</w:t>
            </w:r>
          </w:p>
        </w:tc>
      </w:tr>
    </w:tbl>
    <w:p>
      <w:pPr>
        <w:spacing w:after="120"/>
      </w:pPr>
    </w:p>
    <w:p>
      <w:pPr>
        <w:keepNext/>
        <w:spacing w:before="200" w:after="60"/>
      </w:pPr>
      <w:r>
        <w:rPr>
          <w:rFonts w:ascii="Calibri" w:hAnsi="Calibri"/>
          <w:b/>
          <w:color w:val="2980B9"/>
          <w:sz w:val="24"/>
        </w:rPr>
        <w:t>Confusion Matrix at Operating Threshold (0.875)</w:t>
      </w:r>
    </w:p>
    <w:p>
      <w:pPr>
        <w:spacing w:before="0" w:after="100" w:line="276" w:lineRule="auto"/>
      </w:pPr>
      <w:r>
        <w:rPr>
          <w:rFonts w:ascii="Calibri" w:hAnsi="Calibri"/>
          <w:color w:val="282828"/>
          <w:sz w:val="20"/>
        </w:rPr>
        <w:t>• Actual Accepted Claims: 346,710 passed cleanly | 3,279 false alarms (False Alarm Rate: 0.93%)</w:t>
        <w:br/>
        <w:t>• Actual Rejected Claims: 36,646 correctly intercepted | 31,179 missed (True Positive Rate: 54.03%)</w:t>
      </w:r>
    </w:p>
    <w:p>
      <w:pPr>
        <w:keepNext/>
        <w:spacing w:before="200" w:after="60"/>
      </w:pPr>
      <w:r>
        <w:rPr>
          <w:rFonts w:ascii="Calibri" w:hAnsi="Calibri"/>
          <w:b/>
          <w:color w:val="2980B9"/>
          <w:sz w:val="24"/>
        </w:rPr>
        <w:t>Precision@K Audit Yield (Top-Ranked Slices)</w:t>
      </w:r>
    </w:p>
    <w:p>
      <w:pPr>
        <w:spacing w:before="0" w:after="100" w:line="276" w:lineRule="auto"/>
      </w:pPr>
      <w:r>
        <w:rPr>
          <w:rFonts w:ascii="Calibri" w:hAnsi="Calibri"/>
          <w:color w:val="282828"/>
          <w:sz w:val="20"/>
        </w:rPr>
        <w:t>Even without ClaimCategory, the model's highest-risk predictions are virtually 100% accurate:</w:t>
        <w:br/>
        <w:t>• Top 0.1% (Top 417 claims): 100.0% precision (417 hits out of 417 claims, 6.16x lift)</w:t>
        <w:br/>
        <w:t>• Top 0.5% (Top 2,089 claims): 100.0% precision (2,089 hits out of 2,089 claims!)</w:t>
        <w:br/>
        <w:t>• Top 1.0% (Top 4,178 claims): 100.0% precision (4,178 hits out of 4,178 claims!)</w:t>
        <w:br/>
        <w:t>• Top 2.0% (Top 8,356 claims): 99.86% precision (8,344 hits)</w:t>
        <w:br/>
        <w:t>• Top 5.0% (Top 20,890 claims): 99.54% precision (20,794 hits)</w:t>
      </w:r>
    </w:p>
    <w:p>
      <w:pPr>
        <w:keepNext/>
        <w:spacing w:before="200" w:after="60"/>
      </w:pPr>
      <w:r>
        <w:rPr>
          <w:rFonts w:ascii="Calibri" w:hAnsi="Calibri"/>
          <w:b/>
          <w:color w:val="2980B9"/>
          <w:sz w:val="24"/>
        </w:rPr>
        <w:t>Top Honest Features by Gain (What Drives Decisions Now)</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20"/>
        <w:gridCol w:w="2520"/>
        <w:gridCol w:w="2520"/>
        <w:gridCol w:w="2520"/>
      </w:tblGrid>
      <w:tr>
        <w:tc>
          <w:tcPr>
            <w:tcW w:type="dxa" w:w="2592"/>
            <w:shd w:fill="184C78"/>
            <w:tcMar>
              <w:top w:w="90" w:type="dxa"/>
              <w:bottom w:w="90" w:type="dxa"/>
              <w:left w:w="90" w:type="dxa"/>
              <w:right w:w="90" w:type="dxa"/>
            </w:tcMar>
          </w:tcPr>
          <w:p>
            <w:pPr>
              <w:jc w:val="left"/>
            </w:pPr>
            <w:r>
              <w:rPr>
                <w:rFonts w:ascii="Calibri" w:hAnsi="Calibri"/>
                <w:b/>
                <w:color w:val="FFFFFF"/>
                <w:sz w:val="19"/>
              </w:rPr>
              <w:t>Feature Name</w:t>
            </w:r>
          </w:p>
        </w:tc>
        <w:tc>
          <w:tcPr>
            <w:tcW w:type="dxa" w:w="2016"/>
            <w:shd w:fill="184C78"/>
            <w:tcMar>
              <w:top w:w="90" w:type="dxa"/>
              <w:bottom w:w="90" w:type="dxa"/>
              <w:left w:w="90" w:type="dxa"/>
              <w:right w:w="90" w:type="dxa"/>
            </w:tcMar>
          </w:tcPr>
          <w:p>
            <w:pPr>
              <w:jc w:val="left"/>
            </w:pPr>
            <w:r>
              <w:rPr>
                <w:rFonts w:ascii="Calibri" w:hAnsi="Calibri"/>
                <w:b/>
                <w:color w:val="FFFFFF"/>
                <w:sz w:val="19"/>
              </w:rPr>
              <w:t>Information Gain</w:t>
            </w:r>
          </w:p>
        </w:tc>
        <w:tc>
          <w:tcPr>
            <w:tcW w:type="dxa" w:w="2016"/>
            <w:shd w:fill="184C78"/>
            <w:tcMar>
              <w:top w:w="90" w:type="dxa"/>
              <w:bottom w:w="90" w:type="dxa"/>
              <w:left w:w="90" w:type="dxa"/>
              <w:right w:w="90" w:type="dxa"/>
            </w:tcMar>
          </w:tcPr>
          <w:p>
            <w:pPr>
              <w:jc w:val="left"/>
            </w:pPr>
            <w:r>
              <w:rPr>
                <w:rFonts w:ascii="Calibri" w:hAnsi="Calibri"/>
                <w:b/>
                <w:color w:val="FFFFFF"/>
                <w:sz w:val="19"/>
              </w:rPr>
              <w:t>Share of Total Gain</w:t>
            </w:r>
          </w:p>
        </w:tc>
        <w:tc>
          <w:tcPr>
            <w:tcW w:type="dxa" w:w="3456"/>
            <w:shd w:fill="184C78"/>
            <w:tcMar>
              <w:top w:w="90" w:type="dxa"/>
              <w:bottom w:w="90" w:type="dxa"/>
              <w:left w:w="90" w:type="dxa"/>
              <w:right w:w="90" w:type="dxa"/>
            </w:tcMar>
          </w:tcPr>
          <w:p>
            <w:pPr>
              <w:jc w:val="left"/>
            </w:pPr>
            <w:r>
              <w:rPr>
                <w:rFonts w:ascii="Calibri" w:hAnsi="Calibri"/>
                <w:b/>
                <w:color w:val="FFFFFF"/>
                <w:sz w:val="19"/>
              </w:rPr>
              <w:t>Why It Matters</w:t>
            </w:r>
          </w:p>
        </w:tc>
      </w:tr>
      <w:tr>
        <w:tc>
          <w:tcPr>
            <w:tcW w:type="dxa" w:w="2592"/>
            <w:shd w:fill="FFFFFF"/>
            <w:tcMar>
              <w:top w:w="65" w:type="dxa"/>
              <w:bottom w:w="65" w:type="dxa"/>
              <w:left w:w="90" w:type="dxa"/>
              <w:right w:w="90" w:type="dxa"/>
            </w:tcMar>
          </w:tcPr>
          <w:p>
            <w:r>
              <w:rPr>
                <w:rFonts w:ascii="Calibri" w:hAnsi="Calibri"/>
                <w:color w:val="282828"/>
                <w:sz w:val="18"/>
              </w:rPr>
              <w:t>Hfid (Health Facility ID)</w:t>
            </w:r>
          </w:p>
        </w:tc>
        <w:tc>
          <w:tcPr>
            <w:tcW w:type="dxa" w:w="2016"/>
            <w:shd w:fill="FFFFFF"/>
            <w:tcMar>
              <w:top w:w="65" w:type="dxa"/>
              <w:bottom w:w="65" w:type="dxa"/>
              <w:left w:w="90" w:type="dxa"/>
              <w:right w:w="90" w:type="dxa"/>
            </w:tcMar>
          </w:tcPr>
          <w:p>
            <w:r>
              <w:rPr>
                <w:rFonts w:ascii="Calibri" w:hAnsi="Calibri"/>
                <w:color w:val="282828"/>
                <w:sz w:val="18"/>
              </w:rPr>
              <w:t>2,307,051.80</w:t>
            </w:r>
          </w:p>
        </w:tc>
        <w:tc>
          <w:tcPr>
            <w:tcW w:type="dxa" w:w="2016"/>
            <w:shd w:fill="FFFFFF"/>
            <w:tcMar>
              <w:top w:w="65" w:type="dxa"/>
              <w:bottom w:w="65" w:type="dxa"/>
              <w:left w:w="90" w:type="dxa"/>
              <w:right w:w="90" w:type="dxa"/>
            </w:tcMar>
          </w:tcPr>
          <w:p>
            <w:r>
              <w:rPr>
                <w:rFonts w:ascii="Calibri" w:hAnsi="Calibri"/>
                <w:color w:val="282828"/>
                <w:sz w:val="18"/>
              </w:rPr>
              <w:t>34.0%</w:t>
            </w:r>
          </w:p>
        </w:tc>
        <w:tc>
          <w:tcPr>
            <w:tcW w:type="dxa" w:w="3456"/>
            <w:shd w:fill="FFFFFF"/>
            <w:tcMar>
              <w:top w:w="65" w:type="dxa"/>
              <w:bottom w:w="65" w:type="dxa"/>
              <w:left w:w="90" w:type="dxa"/>
              <w:right w:w="90" w:type="dxa"/>
            </w:tcMar>
          </w:tcPr>
          <w:p>
            <w:r>
              <w:rPr>
                <w:rFonts w:ascii="Calibri" w:hAnsi="Calibri"/>
                <w:color w:val="282828"/>
                <w:sz w:val="18"/>
              </w:rPr>
              <w:t>Historical provider non-compliance and localized billing habits.</w:t>
            </w:r>
          </w:p>
        </w:tc>
      </w:tr>
      <w:tr>
        <w:tc>
          <w:tcPr>
            <w:tcW w:type="dxa" w:w="2592"/>
            <w:shd w:fill="F4F7FA"/>
            <w:tcMar>
              <w:top w:w="65" w:type="dxa"/>
              <w:bottom w:w="65" w:type="dxa"/>
              <w:left w:w="90" w:type="dxa"/>
              <w:right w:w="90" w:type="dxa"/>
            </w:tcMar>
          </w:tcPr>
          <w:p>
            <w:r>
              <w:rPr>
                <w:rFonts w:ascii="Calibri" w:hAnsi="Calibri"/>
                <w:color w:val="282828"/>
                <w:sz w:val="18"/>
              </w:rPr>
              <w:t>POL_days_to_expiry</w:t>
            </w:r>
          </w:p>
        </w:tc>
        <w:tc>
          <w:tcPr>
            <w:tcW w:type="dxa" w:w="2016"/>
            <w:shd w:fill="F4F7FA"/>
            <w:tcMar>
              <w:top w:w="65" w:type="dxa"/>
              <w:bottom w:w="65" w:type="dxa"/>
              <w:left w:w="90" w:type="dxa"/>
              <w:right w:w="90" w:type="dxa"/>
            </w:tcMar>
          </w:tcPr>
          <w:p>
            <w:r>
              <w:rPr>
                <w:rFonts w:ascii="Calibri" w:hAnsi="Calibri"/>
                <w:color w:val="282828"/>
                <w:sz w:val="18"/>
              </w:rPr>
              <w:t>1,485,272.58</w:t>
            </w:r>
          </w:p>
        </w:tc>
        <w:tc>
          <w:tcPr>
            <w:tcW w:type="dxa" w:w="2016"/>
            <w:shd w:fill="F4F7FA"/>
            <w:tcMar>
              <w:top w:w="65" w:type="dxa"/>
              <w:bottom w:w="65" w:type="dxa"/>
              <w:left w:w="90" w:type="dxa"/>
              <w:right w:w="90" w:type="dxa"/>
            </w:tcMar>
          </w:tcPr>
          <w:p>
            <w:r>
              <w:rPr>
                <w:rFonts w:ascii="Calibri" w:hAnsi="Calibri"/>
                <w:color w:val="282828"/>
                <w:sz w:val="18"/>
              </w:rPr>
              <w:t>22.0%</w:t>
            </w:r>
          </w:p>
        </w:tc>
        <w:tc>
          <w:tcPr>
            <w:tcW w:type="dxa" w:w="3456"/>
            <w:shd w:fill="F4F7FA"/>
            <w:tcMar>
              <w:top w:w="65" w:type="dxa"/>
              <w:bottom w:w="65" w:type="dxa"/>
              <w:left w:w="90" w:type="dxa"/>
              <w:right w:w="90" w:type="dxa"/>
            </w:tcMar>
          </w:tcPr>
          <w:p>
            <w:r>
              <w:rPr>
                <w:rFonts w:ascii="Calibri" w:hAnsi="Calibri"/>
                <w:color w:val="282828"/>
                <w:sz w:val="18"/>
              </w:rPr>
              <w:t>Claims filed on expiring policies; primary rejection trigger.</w:t>
            </w:r>
          </w:p>
        </w:tc>
      </w:tr>
      <w:tr>
        <w:tc>
          <w:tcPr>
            <w:tcW w:type="dxa" w:w="2592"/>
            <w:shd w:fill="FFFFFF"/>
            <w:tcMar>
              <w:top w:w="65" w:type="dxa"/>
              <w:bottom w:w="65" w:type="dxa"/>
              <w:left w:w="90" w:type="dxa"/>
              <w:right w:w="90" w:type="dxa"/>
            </w:tcMar>
          </w:tcPr>
          <w:p>
            <w:r>
              <w:rPr>
                <w:rFonts w:ascii="Calibri" w:hAnsi="Calibri"/>
                <w:color w:val="282828"/>
                <w:sz w:val="18"/>
              </w:rPr>
              <w:t>GEO_district</w:t>
            </w:r>
          </w:p>
        </w:tc>
        <w:tc>
          <w:tcPr>
            <w:tcW w:type="dxa" w:w="2016"/>
            <w:shd w:fill="FFFFFF"/>
            <w:tcMar>
              <w:top w:w="65" w:type="dxa"/>
              <w:bottom w:w="65" w:type="dxa"/>
              <w:left w:w="90" w:type="dxa"/>
              <w:right w:w="90" w:type="dxa"/>
            </w:tcMar>
          </w:tcPr>
          <w:p>
            <w:r>
              <w:rPr>
                <w:rFonts w:ascii="Calibri" w:hAnsi="Calibri"/>
                <w:color w:val="282828"/>
                <w:sz w:val="18"/>
              </w:rPr>
              <w:t>438,318.72</w:t>
            </w:r>
          </w:p>
        </w:tc>
        <w:tc>
          <w:tcPr>
            <w:tcW w:type="dxa" w:w="2016"/>
            <w:shd w:fill="FFFFFF"/>
            <w:tcMar>
              <w:top w:w="65" w:type="dxa"/>
              <w:bottom w:w="65" w:type="dxa"/>
              <w:left w:w="90" w:type="dxa"/>
              <w:right w:w="90" w:type="dxa"/>
            </w:tcMar>
          </w:tcPr>
          <w:p>
            <w:r>
              <w:rPr>
                <w:rFonts w:ascii="Calibri" w:hAnsi="Calibri"/>
                <w:color w:val="282828"/>
                <w:sz w:val="18"/>
              </w:rPr>
              <w:t>6.4%</w:t>
            </w:r>
          </w:p>
        </w:tc>
        <w:tc>
          <w:tcPr>
            <w:tcW w:type="dxa" w:w="3456"/>
            <w:shd w:fill="FFFFFF"/>
            <w:tcMar>
              <w:top w:w="65" w:type="dxa"/>
              <w:bottom w:w="65" w:type="dxa"/>
              <w:left w:w="90" w:type="dxa"/>
              <w:right w:w="90" w:type="dxa"/>
            </w:tcMar>
          </w:tcPr>
          <w:p>
            <w:r>
              <w:rPr>
                <w:rFonts w:ascii="Calibri" w:hAnsi="Calibri"/>
                <w:color w:val="282828"/>
                <w:sz w:val="18"/>
              </w:rPr>
              <w:t>Regional differences in adjudication rigor and care delivery.</w:t>
            </w:r>
          </w:p>
        </w:tc>
      </w:tr>
      <w:tr>
        <w:tc>
          <w:tcPr>
            <w:tcW w:type="dxa" w:w="2592"/>
            <w:shd w:fill="F4F7FA"/>
            <w:tcMar>
              <w:top w:w="65" w:type="dxa"/>
              <w:bottom w:w="65" w:type="dxa"/>
              <w:left w:w="90" w:type="dxa"/>
              <w:right w:w="90" w:type="dxa"/>
            </w:tcMar>
          </w:tcPr>
          <w:p>
            <w:r>
              <w:rPr>
                <w:rFonts w:ascii="Calibri" w:hAnsi="Calibri"/>
                <w:color w:val="282828"/>
                <w:sz w:val="18"/>
              </w:rPr>
              <w:t>Icdid (Diagnosis)</w:t>
            </w:r>
          </w:p>
        </w:tc>
        <w:tc>
          <w:tcPr>
            <w:tcW w:type="dxa" w:w="2016"/>
            <w:shd w:fill="F4F7FA"/>
            <w:tcMar>
              <w:top w:w="65" w:type="dxa"/>
              <w:bottom w:w="65" w:type="dxa"/>
              <w:left w:w="90" w:type="dxa"/>
              <w:right w:w="90" w:type="dxa"/>
            </w:tcMar>
          </w:tcPr>
          <w:p>
            <w:r>
              <w:rPr>
                <w:rFonts w:ascii="Calibri" w:hAnsi="Calibri"/>
                <w:color w:val="282828"/>
                <w:sz w:val="18"/>
              </w:rPr>
              <w:t>319,101.43</w:t>
            </w:r>
          </w:p>
        </w:tc>
        <w:tc>
          <w:tcPr>
            <w:tcW w:type="dxa" w:w="2016"/>
            <w:shd w:fill="F4F7FA"/>
            <w:tcMar>
              <w:top w:w="65" w:type="dxa"/>
              <w:bottom w:w="65" w:type="dxa"/>
              <w:left w:w="90" w:type="dxa"/>
              <w:right w:w="90" w:type="dxa"/>
            </w:tcMar>
          </w:tcPr>
          <w:p>
            <w:r>
              <w:rPr>
                <w:rFonts w:ascii="Calibri" w:hAnsi="Calibri"/>
                <w:color w:val="282828"/>
                <w:sz w:val="18"/>
              </w:rPr>
              <w:t>4.7%</w:t>
            </w:r>
          </w:p>
        </w:tc>
        <w:tc>
          <w:tcPr>
            <w:tcW w:type="dxa" w:w="3456"/>
            <w:shd w:fill="F4F7FA"/>
            <w:tcMar>
              <w:top w:w="65" w:type="dxa"/>
              <w:bottom w:w="65" w:type="dxa"/>
              <w:left w:w="90" w:type="dxa"/>
              <w:right w:w="90" w:type="dxa"/>
            </w:tcMar>
          </w:tcPr>
          <w:p>
            <w:r>
              <w:rPr>
                <w:rFonts w:ascii="Calibri" w:hAnsi="Calibri"/>
                <w:color w:val="282828"/>
                <w:sz w:val="18"/>
              </w:rPr>
              <w:t>Certain diagnoses have strict coverage limits or high error rates.</w:t>
            </w:r>
          </w:p>
        </w:tc>
      </w:tr>
      <w:tr>
        <w:tc>
          <w:tcPr>
            <w:tcW w:type="dxa" w:w="2592"/>
            <w:shd w:fill="FFFFFF"/>
            <w:tcMar>
              <w:top w:w="65" w:type="dxa"/>
              <w:bottom w:w="65" w:type="dxa"/>
              <w:left w:w="90" w:type="dxa"/>
              <w:right w:w="90" w:type="dxa"/>
            </w:tcMar>
          </w:tcPr>
          <w:p>
            <w:r>
              <w:rPr>
                <w:rFonts w:ascii="Calibri" w:hAnsi="Calibri"/>
                <w:color w:val="282828"/>
                <w:sz w:val="18"/>
              </w:rPr>
              <w:t>CLM_header_line_gap</w:t>
            </w:r>
          </w:p>
        </w:tc>
        <w:tc>
          <w:tcPr>
            <w:tcW w:type="dxa" w:w="2016"/>
            <w:shd w:fill="FFFFFF"/>
            <w:tcMar>
              <w:top w:w="65" w:type="dxa"/>
              <w:bottom w:w="65" w:type="dxa"/>
              <w:left w:w="90" w:type="dxa"/>
              <w:right w:w="90" w:type="dxa"/>
            </w:tcMar>
          </w:tcPr>
          <w:p>
            <w:r>
              <w:rPr>
                <w:rFonts w:ascii="Calibri" w:hAnsi="Calibri"/>
                <w:color w:val="282828"/>
                <w:sz w:val="18"/>
              </w:rPr>
              <w:t>255,007.90</w:t>
            </w:r>
          </w:p>
        </w:tc>
        <w:tc>
          <w:tcPr>
            <w:tcW w:type="dxa" w:w="2016"/>
            <w:shd w:fill="FFFFFF"/>
            <w:tcMar>
              <w:top w:w="65" w:type="dxa"/>
              <w:bottom w:w="65" w:type="dxa"/>
              <w:left w:w="90" w:type="dxa"/>
              <w:right w:w="90" w:type="dxa"/>
            </w:tcMar>
          </w:tcPr>
          <w:p>
            <w:r>
              <w:rPr>
                <w:rFonts w:ascii="Calibri" w:hAnsi="Calibri"/>
                <w:color w:val="282828"/>
                <w:sz w:val="18"/>
              </w:rPr>
              <w:t>3.7%</w:t>
            </w:r>
          </w:p>
        </w:tc>
        <w:tc>
          <w:tcPr>
            <w:tcW w:type="dxa" w:w="3456"/>
            <w:shd w:fill="FFFFFF"/>
            <w:tcMar>
              <w:top w:w="65" w:type="dxa"/>
              <w:bottom w:w="65" w:type="dxa"/>
              <w:left w:w="90" w:type="dxa"/>
              <w:right w:w="90" w:type="dxa"/>
            </w:tcMar>
          </w:tcPr>
          <w:p>
            <w:r>
              <w:rPr>
                <w:rFonts w:ascii="Calibri" w:hAnsi="Calibri"/>
                <w:color w:val="282828"/>
                <w:sz w:val="18"/>
              </w:rPr>
              <w:t>Financial mismatch between total claimed and sum of line items.</w:t>
            </w:r>
          </w:p>
        </w:tc>
      </w:tr>
      <w:tr>
        <w:tc>
          <w:tcPr>
            <w:tcW w:type="dxa" w:w="2592"/>
            <w:shd w:fill="F4F7FA"/>
            <w:tcMar>
              <w:top w:w="65" w:type="dxa"/>
              <w:bottom w:w="65" w:type="dxa"/>
              <w:left w:w="90" w:type="dxa"/>
              <w:right w:w="90" w:type="dxa"/>
            </w:tcMar>
          </w:tcPr>
          <w:p>
            <w:r>
              <w:rPr>
                <w:rFonts w:ascii="Calibri" w:hAnsi="Calibri"/>
                <w:color w:val="282828"/>
                <w:sz w:val="18"/>
              </w:rPr>
              <w:t>SVC_repeat_rate</w:t>
            </w:r>
          </w:p>
        </w:tc>
        <w:tc>
          <w:tcPr>
            <w:tcW w:type="dxa" w:w="2016"/>
            <w:shd w:fill="F4F7FA"/>
            <w:tcMar>
              <w:top w:w="65" w:type="dxa"/>
              <w:bottom w:w="65" w:type="dxa"/>
              <w:left w:w="90" w:type="dxa"/>
              <w:right w:w="90" w:type="dxa"/>
            </w:tcMar>
          </w:tcPr>
          <w:p>
            <w:r>
              <w:rPr>
                <w:rFonts w:ascii="Calibri" w:hAnsi="Calibri"/>
                <w:color w:val="282828"/>
                <w:sz w:val="18"/>
              </w:rPr>
              <w:t>246,838.46</w:t>
            </w:r>
          </w:p>
        </w:tc>
        <w:tc>
          <w:tcPr>
            <w:tcW w:type="dxa" w:w="2016"/>
            <w:shd w:fill="F4F7FA"/>
            <w:tcMar>
              <w:top w:w="65" w:type="dxa"/>
              <w:bottom w:w="65" w:type="dxa"/>
              <w:left w:w="90" w:type="dxa"/>
              <w:right w:w="90" w:type="dxa"/>
            </w:tcMar>
          </w:tcPr>
          <w:p>
            <w:r>
              <w:rPr>
                <w:rFonts w:ascii="Calibri" w:hAnsi="Calibri"/>
                <w:color w:val="282828"/>
                <w:sz w:val="18"/>
              </w:rPr>
              <w:t>3.6%</w:t>
            </w:r>
          </w:p>
        </w:tc>
        <w:tc>
          <w:tcPr>
            <w:tcW w:type="dxa" w:w="3456"/>
            <w:shd w:fill="F4F7FA"/>
            <w:tcMar>
              <w:top w:w="65" w:type="dxa"/>
              <w:bottom w:w="65" w:type="dxa"/>
              <w:left w:w="90" w:type="dxa"/>
              <w:right w:w="90" w:type="dxa"/>
            </w:tcMar>
          </w:tcPr>
          <w:p>
            <w:r>
              <w:rPr>
                <w:rFonts w:ascii="Calibri" w:hAnsi="Calibri"/>
                <w:color w:val="282828"/>
                <w:sz w:val="18"/>
              </w:rPr>
              <w:t>Repeated billing of the same procedure code on a single visit.</w:t>
            </w:r>
          </w:p>
        </w:tc>
      </w:tr>
      <w:tr>
        <w:tc>
          <w:tcPr>
            <w:tcW w:type="dxa" w:w="2592"/>
            <w:shd w:fill="FFFFFF"/>
            <w:tcMar>
              <w:top w:w="65" w:type="dxa"/>
              <w:bottom w:w="65" w:type="dxa"/>
              <w:left w:w="90" w:type="dxa"/>
              <w:right w:w="90" w:type="dxa"/>
            </w:tcMar>
          </w:tcPr>
          <w:p>
            <w:r>
              <w:rPr>
                <w:rFonts w:ascii="Calibri" w:hAnsi="Calibri"/>
                <w:color w:val="282828"/>
                <w:sz w:val="18"/>
              </w:rPr>
              <w:t>SVC_freq_limit_min</w:t>
            </w:r>
          </w:p>
        </w:tc>
        <w:tc>
          <w:tcPr>
            <w:tcW w:type="dxa" w:w="2016"/>
            <w:shd w:fill="FFFFFF"/>
            <w:tcMar>
              <w:top w:w="65" w:type="dxa"/>
              <w:bottom w:w="65" w:type="dxa"/>
              <w:left w:w="90" w:type="dxa"/>
              <w:right w:w="90" w:type="dxa"/>
            </w:tcMar>
          </w:tcPr>
          <w:p>
            <w:r>
              <w:rPr>
                <w:rFonts w:ascii="Calibri" w:hAnsi="Calibri"/>
                <w:color w:val="282828"/>
                <w:sz w:val="18"/>
              </w:rPr>
              <w:t>229,834.16</w:t>
            </w:r>
          </w:p>
        </w:tc>
        <w:tc>
          <w:tcPr>
            <w:tcW w:type="dxa" w:w="2016"/>
            <w:shd w:fill="FFFFFF"/>
            <w:tcMar>
              <w:top w:w="65" w:type="dxa"/>
              <w:bottom w:w="65" w:type="dxa"/>
              <w:left w:w="90" w:type="dxa"/>
              <w:right w:w="90" w:type="dxa"/>
            </w:tcMar>
          </w:tcPr>
          <w:p>
            <w:r>
              <w:rPr>
                <w:rFonts w:ascii="Calibri" w:hAnsi="Calibri"/>
                <w:color w:val="282828"/>
                <w:sz w:val="18"/>
              </w:rPr>
              <w:t>3.4%</w:t>
            </w:r>
          </w:p>
        </w:tc>
        <w:tc>
          <w:tcPr>
            <w:tcW w:type="dxa" w:w="3456"/>
            <w:shd w:fill="FFFFFF"/>
            <w:tcMar>
              <w:top w:w="65" w:type="dxa"/>
              <w:bottom w:w="65" w:type="dxa"/>
              <w:left w:w="90" w:type="dxa"/>
              <w:right w:w="90" w:type="dxa"/>
            </w:tcMar>
          </w:tcPr>
          <w:p>
            <w:r>
              <w:rPr>
                <w:rFonts w:ascii="Calibri" w:hAnsi="Calibri"/>
                <w:color w:val="282828"/>
                <w:sz w:val="18"/>
              </w:rPr>
              <w:t>Procedures exceeding official openIMIS daily frequency limits.</w:t>
            </w:r>
          </w:p>
        </w:tc>
      </w:tr>
      <w:tr>
        <w:tc>
          <w:tcPr>
            <w:tcW w:type="dxa" w:w="2592"/>
            <w:shd w:fill="F4F7FA"/>
            <w:tcMar>
              <w:top w:w="65" w:type="dxa"/>
              <w:bottom w:w="65" w:type="dxa"/>
              <w:left w:w="90" w:type="dxa"/>
              <w:right w:w="90" w:type="dxa"/>
            </w:tcMar>
          </w:tcPr>
          <w:p>
            <w:r>
              <w:rPr>
                <w:rFonts w:ascii="Calibri" w:hAnsi="Calibri"/>
                <w:color w:val="282828"/>
                <w:sz w:val="18"/>
              </w:rPr>
              <w:t>POL_days_since_start</w:t>
            </w:r>
          </w:p>
        </w:tc>
        <w:tc>
          <w:tcPr>
            <w:tcW w:type="dxa" w:w="2016"/>
            <w:shd w:fill="F4F7FA"/>
            <w:tcMar>
              <w:top w:w="65" w:type="dxa"/>
              <w:bottom w:w="65" w:type="dxa"/>
              <w:left w:w="90" w:type="dxa"/>
              <w:right w:w="90" w:type="dxa"/>
            </w:tcMar>
          </w:tcPr>
          <w:p>
            <w:r>
              <w:rPr>
                <w:rFonts w:ascii="Calibri" w:hAnsi="Calibri"/>
                <w:color w:val="282828"/>
                <w:sz w:val="18"/>
              </w:rPr>
              <w:t>207,137.08</w:t>
            </w:r>
          </w:p>
        </w:tc>
        <w:tc>
          <w:tcPr>
            <w:tcW w:type="dxa" w:w="2016"/>
            <w:shd w:fill="F4F7FA"/>
            <w:tcMar>
              <w:top w:w="65" w:type="dxa"/>
              <w:bottom w:w="65" w:type="dxa"/>
              <w:left w:w="90" w:type="dxa"/>
              <w:right w:w="90" w:type="dxa"/>
            </w:tcMar>
          </w:tcPr>
          <w:p>
            <w:r>
              <w:rPr>
                <w:rFonts w:ascii="Calibri" w:hAnsi="Calibri"/>
                <w:color w:val="282828"/>
                <w:sz w:val="18"/>
              </w:rPr>
              <w:t>3.0%</w:t>
            </w:r>
          </w:p>
        </w:tc>
        <w:tc>
          <w:tcPr>
            <w:tcW w:type="dxa" w:w="3456"/>
            <w:shd w:fill="F4F7FA"/>
            <w:tcMar>
              <w:top w:w="65" w:type="dxa"/>
              <w:bottom w:w="65" w:type="dxa"/>
              <w:left w:w="90" w:type="dxa"/>
              <w:right w:w="90" w:type="dxa"/>
            </w:tcMar>
          </w:tcPr>
          <w:p>
            <w:r>
              <w:rPr>
                <w:rFonts w:ascii="Calibri" w:hAnsi="Calibri"/>
                <w:color w:val="282828"/>
                <w:sz w:val="18"/>
              </w:rPr>
              <w:t>Adverse selection; claims submitted immediately after enrollment.</w:t>
            </w:r>
          </w:p>
        </w:tc>
      </w:tr>
      <w:tr>
        <w:tc>
          <w:tcPr>
            <w:tcW w:type="dxa" w:w="2592"/>
            <w:shd w:fill="FFFFFF"/>
            <w:tcMar>
              <w:top w:w="65" w:type="dxa"/>
              <w:bottom w:w="65" w:type="dxa"/>
              <w:left w:w="90" w:type="dxa"/>
              <w:right w:w="90" w:type="dxa"/>
            </w:tcMar>
          </w:tcPr>
          <w:p>
            <w:r>
              <w:rPr>
                <w:rFonts w:ascii="Calibri" w:hAnsi="Calibri"/>
                <w:color w:val="282828"/>
                <w:sz w:val="18"/>
              </w:rPr>
              <w:t>POL_days_since_enroll</w:t>
            </w:r>
          </w:p>
        </w:tc>
        <w:tc>
          <w:tcPr>
            <w:tcW w:type="dxa" w:w="2016"/>
            <w:shd w:fill="FFFFFF"/>
            <w:tcMar>
              <w:top w:w="65" w:type="dxa"/>
              <w:bottom w:w="65" w:type="dxa"/>
              <w:left w:w="90" w:type="dxa"/>
              <w:right w:w="90" w:type="dxa"/>
            </w:tcMar>
          </w:tcPr>
          <w:p>
            <w:r>
              <w:rPr>
                <w:rFonts w:ascii="Calibri" w:hAnsi="Calibri"/>
                <w:color w:val="282828"/>
                <w:sz w:val="18"/>
              </w:rPr>
              <w:t>191,041.51</w:t>
            </w:r>
          </w:p>
        </w:tc>
        <w:tc>
          <w:tcPr>
            <w:tcW w:type="dxa" w:w="2016"/>
            <w:shd w:fill="FFFFFF"/>
            <w:tcMar>
              <w:top w:w="65" w:type="dxa"/>
              <w:bottom w:w="65" w:type="dxa"/>
              <w:left w:w="90" w:type="dxa"/>
              <w:right w:w="90" w:type="dxa"/>
            </w:tcMar>
          </w:tcPr>
          <w:p>
            <w:r>
              <w:rPr>
                <w:rFonts w:ascii="Calibri" w:hAnsi="Calibri"/>
                <w:color w:val="282828"/>
                <w:sz w:val="18"/>
              </w:rPr>
              <w:t>2.8%</w:t>
            </w:r>
          </w:p>
        </w:tc>
        <w:tc>
          <w:tcPr>
            <w:tcW w:type="dxa" w:w="3456"/>
            <w:shd w:fill="FFFFFF"/>
            <w:tcMar>
              <w:top w:w="65" w:type="dxa"/>
              <w:bottom w:w="65" w:type="dxa"/>
              <w:left w:w="90" w:type="dxa"/>
              <w:right w:w="90" w:type="dxa"/>
            </w:tcMar>
          </w:tcPr>
          <w:p>
            <w:r>
              <w:rPr>
                <w:rFonts w:ascii="Calibri" w:hAnsi="Calibri"/>
                <w:color w:val="282828"/>
                <w:sz w:val="18"/>
              </w:rPr>
              <w:t>Policy waiting period infractions.</w:t>
            </w:r>
          </w:p>
        </w:tc>
      </w:tr>
      <w:tr>
        <w:tc>
          <w:tcPr>
            <w:tcW w:type="dxa" w:w="2592"/>
            <w:shd w:fill="F4F7FA"/>
            <w:tcMar>
              <w:top w:w="65" w:type="dxa"/>
              <w:bottom w:w="65" w:type="dxa"/>
              <w:left w:w="90" w:type="dxa"/>
              <w:right w:w="90" w:type="dxa"/>
            </w:tcMar>
          </w:tcPr>
          <w:p>
            <w:r>
              <w:rPr>
                <w:rFonts w:ascii="Calibri" w:hAnsi="Calibri"/>
                <w:color w:val="282828"/>
                <w:sz w:val="18"/>
              </w:rPr>
              <w:t>CLM_los (Length of Stay)</w:t>
            </w:r>
          </w:p>
        </w:tc>
        <w:tc>
          <w:tcPr>
            <w:tcW w:type="dxa" w:w="2016"/>
            <w:shd w:fill="F4F7FA"/>
            <w:tcMar>
              <w:top w:w="65" w:type="dxa"/>
              <w:bottom w:w="65" w:type="dxa"/>
              <w:left w:w="90" w:type="dxa"/>
              <w:right w:w="90" w:type="dxa"/>
            </w:tcMar>
          </w:tcPr>
          <w:p>
            <w:r>
              <w:rPr>
                <w:rFonts w:ascii="Calibri" w:hAnsi="Calibri"/>
                <w:color w:val="282828"/>
                <w:sz w:val="18"/>
              </w:rPr>
              <w:t>189,261.69</w:t>
            </w:r>
          </w:p>
        </w:tc>
        <w:tc>
          <w:tcPr>
            <w:tcW w:type="dxa" w:w="2016"/>
            <w:shd w:fill="F4F7FA"/>
            <w:tcMar>
              <w:top w:w="65" w:type="dxa"/>
              <w:bottom w:w="65" w:type="dxa"/>
              <w:left w:w="90" w:type="dxa"/>
              <w:right w:w="90" w:type="dxa"/>
            </w:tcMar>
          </w:tcPr>
          <w:p>
            <w:r>
              <w:rPr>
                <w:rFonts w:ascii="Calibri" w:hAnsi="Calibri"/>
                <w:color w:val="282828"/>
                <w:sz w:val="18"/>
              </w:rPr>
              <w:t>2.8%</w:t>
            </w:r>
          </w:p>
        </w:tc>
        <w:tc>
          <w:tcPr>
            <w:tcW w:type="dxa" w:w="3456"/>
            <w:shd w:fill="F4F7FA"/>
            <w:tcMar>
              <w:top w:w="65" w:type="dxa"/>
              <w:bottom w:w="65" w:type="dxa"/>
              <w:left w:w="90" w:type="dxa"/>
              <w:right w:w="90" w:type="dxa"/>
            </w:tcMar>
          </w:tcPr>
          <w:p>
            <w:r>
              <w:rPr>
                <w:rFonts w:ascii="Calibri" w:hAnsi="Calibri"/>
                <w:color w:val="282828"/>
                <w:sz w:val="18"/>
              </w:rPr>
              <w:t>Disproportionate hospital stays relative to care type.</w:t>
            </w:r>
          </w:p>
        </w:tc>
      </w:tr>
    </w:tbl>
    <w:p>
      <w:pPr>
        <w:spacing w:after="120"/>
      </w:pPr>
    </w:p>
    <w:p>
      <w:pPr>
        <w:keepNext/>
        <w:spacing w:before="320" w:after="80"/>
      </w:pPr>
      <w:r>
        <w:rPr>
          <w:rFonts w:ascii="Calibri" w:hAnsi="Calibri"/>
          <w:b/>
          <w:color w:val="184C78"/>
          <w:sz w:val="30"/>
        </w:rPr>
        <w:t>4. Feature Block Ablation (Which Data Actually Matters)</w:t>
      </w:r>
    </w:p>
    <w:p>
      <w:pPr>
        <w:spacing w:before="0" w:after="100" w:line="276" w:lineRule="auto"/>
      </w:pPr>
      <w:r>
        <w:rPr>
          <w:rFonts w:ascii="Calibri" w:hAnsi="Calibri"/>
          <w:color w:val="282828"/>
          <w:sz w:val="20"/>
        </w:rPr>
        <w:t>With the dominant 79% field removed, the feature ablation test systematically dropped each table and feature block to measure its real contribution to prediction accuracy. The results reveal where engineering effort should be directed:</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680"/>
        <w:gridCol w:w="1680"/>
        <w:gridCol w:w="1680"/>
        <w:gridCol w:w="1680"/>
        <w:gridCol w:w="1680"/>
        <w:gridCol w:w="1680"/>
      </w:tblGrid>
      <w:tr>
        <w:tc>
          <w:tcPr>
            <w:tcW w:type="dxa" w:w="2016"/>
            <w:shd w:fill="184C78"/>
            <w:tcMar>
              <w:top w:w="90" w:type="dxa"/>
              <w:bottom w:w="90" w:type="dxa"/>
              <w:left w:w="90" w:type="dxa"/>
              <w:right w:w="90" w:type="dxa"/>
            </w:tcMar>
          </w:tcPr>
          <w:p>
            <w:pPr>
              <w:jc w:val="left"/>
            </w:pPr>
            <w:r>
              <w:rPr>
                <w:rFonts w:ascii="Calibri" w:hAnsi="Calibri"/>
                <w:b/>
                <w:color w:val="FFFFFF"/>
                <w:sz w:val="19"/>
              </w:rPr>
              <w:t>Data Block Removed</w:t>
            </w:r>
          </w:p>
        </w:tc>
        <w:tc>
          <w:tcPr>
            <w:tcW w:type="dxa" w:w="2160"/>
            <w:shd w:fill="184C78"/>
            <w:tcMar>
              <w:top w:w="90" w:type="dxa"/>
              <w:bottom w:w="90" w:type="dxa"/>
              <w:left w:w="90" w:type="dxa"/>
              <w:right w:w="90" w:type="dxa"/>
            </w:tcMar>
          </w:tcPr>
          <w:p>
            <w:pPr>
              <w:jc w:val="left"/>
            </w:pPr>
            <w:r>
              <w:rPr>
                <w:rFonts w:ascii="Calibri" w:hAnsi="Calibri"/>
                <w:b/>
                <w:color w:val="FFFFFF"/>
                <w:sz w:val="19"/>
              </w:rPr>
              <w:t>Underlying openIMIS Tables</w:t>
            </w:r>
          </w:p>
        </w:tc>
        <w:tc>
          <w:tcPr>
            <w:tcW w:type="dxa" w:w="864"/>
            <w:shd w:fill="184C78"/>
            <w:tcMar>
              <w:top w:w="90" w:type="dxa"/>
              <w:bottom w:w="90" w:type="dxa"/>
              <w:left w:w="90" w:type="dxa"/>
              <w:right w:w="90" w:type="dxa"/>
            </w:tcMar>
          </w:tcPr>
          <w:p>
            <w:pPr>
              <w:jc w:val="left"/>
            </w:pPr>
            <w:r>
              <w:rPr>
                <w:rFonts w:ascii="Calibri" w:hAnsi="Calibri"/>
                <w:b/>
                <w:color w:val="FFFFFF"/>
                <w:sz w:val="19"/>
              </w:rPr>
              <w:t>Features</w:t>
            </w:r>
          </w:p>
        </w:tc>
        <w:tc>
          <w:tcPr>
            <w:tcW w:type="dxa" w:w="1296"/>
            <w:shd w:fill="184C78"/>
            <w:tcMar>
              <w:top w:w="90" w:type="dxa"/>
              <w:bottom w:w="90" w:type="dxa"/>
              <w:left w:w="90" w:type="dxa"/>
              <w:right w:w="90" w:type="dxa"/>
            </w:tcMar>
          </w:tcPr>
          <w:p>
            <w:pPr>
              <w:jc w:val="left"/>
            </w:pPr>
            <w:r>
              <w:rPr>
                <w:rFonts w:ascii="Calibri" w:hAnsi="Calibri"/>
                <w:b/>
                <w:color w:val="FFFFFF"/>
                <w:sz w:val="19"/>
              </w:rPr>
              <w:t>Test AP</w:t>
            </w:r>
          </w:p>
        </w:tc>
        <w:tc>
          <w:tcPr>
            <w:tcW w:type="dxa" w:w="1440"/>
            <w:shd w:fill="184C78"/>
            <w:tcMar>
              <w:top w:w="90" w:type="dxa"/>
              <w:bottom w:w="90" w:type="dxa"/>
              <w:left w:w="90" w:type="dxa"/>
              <w:right w:w="90" w:type="dxa"/>
            </w:tcMar>
          </w:tcPr>
          <w:p>
            <w:pPr>
              <w:jc w:val="left"/>
            </w:pPr>
            <w:r>
              <w:rPr>
                <w:rFonts w:ascii="Calibri" w:hAnsi="Calibri"/>
                <w:b/>
                <w:color w:val="FFFFFF"/>
                <w:sz w:val="19"/>
              </w:rPr>
              <w:t>Cost (AP Drop)</w:t>
            </w:r>
          </w:p>
        </w:tc>
        <w:tc>
          <w:tcPr>
            <w:tcW w:type="dxa" w:w="2304"/>
            <w:shd w:fill="184C78"/>
            <w:tcMar>
              <w:top w:w="90" w:type="dxa"/>
              <w:bottom w:w="90" w:type="dxa"/>
              <w:left w:w="90" w:type="dxa"/>
              <w:right w:w="90" w:type="dxa"/>
            </w:tcMar>
          </w:tcPr>
          <w:p>
            <w:pPr>
              <w:jc w:val="left"/>
            </w:pPr>
            <w:r>
              <w:rPr>
                <w:rFonts w:ascii="Calibri" w:hAnsi="Calibri"/>
                <w:b/>
                <w:color w:val="FFFFFF"/>
                <w:sz w:val="19"/>
              </w:rPr>
              <w:t>Verdict</w:t>
            </w:r>
          </w:p>
        </w:tc>
      </w:tr>
      <w:tr>
        <w:tc>
          <w:tcPr>
            <w:tcW w:type="dxa" w:w="2016"/>
            <w:shd w:fill="FFFFFF"/>
            <w:tcMar>
              <w:top w:w="65" w:type="dxa"/>
              <w:bottom w:w="65" w:type="dxa"/>
              <w:left w:w="90" w:type="dxa"/>
              <w:right w:w="90" w:type="dxa"/>
            </w:tcMar>
          </w:tcPr>
          <w:p>
            <w:r>
              <w:rPr>
                <w:rFonts w:ascii="Calibri" w:hAnsi="Calibri"/>
                <w:color w:val="282828"/>
                <w:sz w:val="18"/>
              </w:rPr>
              <w:t>Facility and Geography</w:t>
            </w:r>
          </w:p>
        </w:tc>
        <w:tc>
          <w:tcPr>
            <w:tcW w:type="dxa" w:w="2160"/>
            <w:shd w:fill="FFFFFF"/>
            <w:tcMar>
              <w:top w:w="65" w:type="dxa"/>
              <w:bottom w:w="65" w:type="dxa"/>
              <w:left w:w="90" w:type="dxa"/>
              <w:right w:w="90" w:type="dxa"/>
            </w:tcMar>
          </w:tcPr>
          <w:p>
            <w:r>
              <w:rPr>
                <w:rFonts w:ascii="Calibri" w:hAnsi="Calibri"/>
                <w:color w:val="282828"/>
                <w:sz w:val="18"/>
              </w:rPr>
              <w:t>TblHF + TblLocations</w:t>
            </w:r>
          </w:p>
        </w:tc>
        <w:tc>
          <w:tcPr>
            <w:tcW w:type="dxa" w:w="864"/>
            <w:shd w:fill="FFFFFF"/>
            <w:tcMar>
              <w:top w:w="65" w:type="dxa"/>
              <w:bottom w:w="65" w:type="dxa"/>
              <w:left w:w="90" w:type="dxa"/>
              <w:right w:w="90" w:type="dxa"/>
            </w:tcMar>
          </w:tcPr>
          <w:p>
            <w:r>
              <w:rPr>
                <w:rFonts w:ascii="Calibri" w:hAnsi="Calibri"/>
                <w:color w:val="282828"/>
                <w:sz w:val="18"/>
              </w:rPr>
              <w:t>6</w:t>
            </w:r>
          </w:p>
        </w:tc>
        <w:tc>
          <w:tcPr>
            <w:tcW w:type="dxa" w:w="1296"/>
            <w:shd w:fill="FFFFFF"/>
            <w:tcMar>
              <w:top w:w="65" w:type="dxa"/>
              <w:bottom w:w="65" w:type="dxa"/>
              <w:left w:w="90" w:type="dxa"/>
              <w:right w:w="90" w:type="dxa"/>
            </w:tcMar>
          </w:tcPr>
          <w:p>
            <w:r>
              <w:rPr>
                <w:rFonts w:ascii="Calibri" w:hAnsi="Calibri"/>
                <w:color w:val="282828"/>
                <w:sz w:val="18"/>
              </w:rPr>
              <w:t>0.6918</w:t>
            </w:r>
          </w:p>
        </w:tc>
        <w:tc>
          <w:tcPr>
            <w:tcW w:type="dxa" w:w="1440"/>
            <w:shd w:fill="FFFFFF"/>
            <w:tcMar>
              <w:top w:w="65" w:type="dxa"/>
              <w:bottom w:w="65" w:type="dxa"/>
              <w:left w:w="90" w:type="dxa"/>
              <w:right w:w="90" w:type="dxa"/>
            </w:tcMar>
          </w:tcPr>
          <w:p>
            <w:r>
              <w:rPr>
                <w:rFonts w:ascii="Calibri" w:hAnsi="Calibri"/>
                <w:color w:val="282828"/>
                <w:sz w:val="18"/>
              </w:rPr>
              <w:t>+0.0686 AP</w:t>
            </w:r>
          </w:p>
        </w:tc>
        <w:tc>
          <w:tcPr>
            <w:tcW w:type="dxa" w:w="2304"/>
            <w:shd w:fill="FFFFFF"/>
            <w:tcMar>
              <w:top w:w="65" w:type="dxa"/>
              <w:bottom w:w="65" w:type="dxa"/>
              <w:left w:w="90" w:type="dxa"/>
              <w:right w:w="90" w:type="dxa"/>
            </w:tcMar>
          </w:tcPr>
          <w:p>
            <w:r>
              <w:rPr>
                <w:rFonts w:ascii="Calibri" w:hAnsi="Calibri"/>
                <w:color w:val="282828"/>
                <w:sz w:val="18"/>
              </w:rPr>
              <w:t>CRITICAL (#1): Provider identity drives rejection.</w:t>
            </w:r>
          </w:p>
        </w:tc>
      </w:tr>
      <w:tr>
        <w:tc>
          <w:tcPr>
            <w:tcW w:type="dxa" w:w="2016"/>
            <w:shd w:fill="F4F7FA"/>
            <w:tcMar>
              <w:top w:w="65" w:type="dxa"/>
              <w:bottom w:w="65" w:type="dxa"/>
              <w:left w:w="90" w:type="dxa"/>
              <w:right w:w="90" w:type="dxa"/>
            </w:tcMar>
          </w:tcPr>
          <w:p>
            <w:r>
              <w:rPr>
                <w:rFonts w:ascii="Calibri" w:hAnsi="Calibri"/>
                <w:color w:val="282828"/>
                <w:sz w:val="18"/>
              </w:rPr>
              <w:t>Policy Status</w:t>
            </w:r>
          </w:p>
        </w:tc>
        <w:tc>
          <w:tcPr>
            <w:tcW w:type="dxa" w:w="2160"/>
            <w:shd w:fill="F4F7FA"/>
            <w:tcMar>
              <w:top w:w="65" w:type="dxa"/>
              <w:bottom w:w="65" w:type="dxa"/>
              <w:left w:w="90" w:type="dxa"/>
              <w:right w:w="90" w:type="dxa"/>
            </w:tcMar>
          </w:tcPr>
          <w:p>
            <w:r>
              <w:rPr>
                <w:rFonts w:ascii="Calibri" w:hAnsi="Calibri"/>
                <w:color w:val="282828"/>
                <w:sz w:val="18"/>
              </w:rPr>
              <w:t>TblInsureePolicy + TblPolicy</w:t>
            </w:r>
          </w:p>
        </w:tc>
        <w:tc>
          <w:tcPr>
            <w:tcW w:type="dxa" w:w="864"/>
            <w:shd w:fill="F4F7FA"/>
            <w:tcMar>
              <w:top w:w="65" w:type="dxa"/>
              <w:bottom w:w="65" w:type="dxa"/>
              <w:left w:w="90" w:type="dxa"/>
              <w:right w:w="90" w:type="dxa"/>
            </w:tcMar>
          </w:tcPr>
          <w:p>
            <w:r>
              <w:rPr>
                <w:rFonts w:ascii="Calibri" w:hAnsi="Calibri"/>
                <w:color w:val="282828"/>
                <w:sz w:val="18"/>
              </w:rPr>
              <w:t>6</w:t>
            </w:r>
          </w:p>
        </w:tc>
        <w:tc>
          <w:tcPr>
            <w:tcW w:type="dxa" w:w="1296"/>
            <w:shd w:fill="F4F7FA"/>
            <w:tcMar>
              <w:top w:w="65" w:type="dxa"/>
              <w:bottom w:w="65" w:type="dxa"/>
              <w:left w:w="90" w:type="dxa"/>
              <w:right w:w="90" w:type="dxa"/>
            </w:tcMar>
          </w:tcPr>
          <w:p>
            <w:r>
              <w:rPr>
                <w:rFonts w:ascii="Calibri" w:hAnsi="Calibri"/>
                <w:color w:val="282828"/>
                <w:sz w:val="18"/>
              </w:rPr>
              <w:t>0.6938</w:t>
            </w:r>
          </w:p>
        </w:tc>
        <w:tc>
          <w:tcPr>
            <w:tcW w:type="dxa" w:w="1440"/>
            <w:shd w:fill="F4F7FA"/>
            <w:tcMar>
              <w:top w:w="65" w:type="dxa"/>
              <w:bottom w:w="65" w:type="dxa"/>
              <w:left w:w="90" w:type="dxa"/>
              <w:right w:w="90" w:type="dxa"/>
            </w:tcMar>
          </w:tcPr>
          <w:p>
            <w:r>
              <w:rPr>
                <w:rFonts w:ascii="Calibri" w:hAnsi="Calibri"/>
                <w:color w:val="282828"/>
                <w:sz w:val="18"/>
              </w:rPr>
              <w:t>+0.0666 AP</w:t>
            </w:r>
          </w:p>
        </w:tc>
        <w:tc>
          <w:tcPr>
            <w:tcW w:type="dxa" w:w="2304"/>
            <w:shd w:fill="F4F7FA"/>
            <w:tcMar>
              <w:top w:w="65" w:type="dxa"/>
              <w:bottom w:w="65" w:type="dxa"/>
              <w:left w:w="90" w:type="dxa"/>
              <w:right w:w="90" w:type="dxa"/>
            </w:tcMar>
          </w:tcPr>
          <w:p>
            <w:r>
              <w:rPr>
                <w:rFonts w:ascii="Calibri" w:hAnsi="Calibri"/>
                <w:color w:val="282828"/>
                <w:sz w:val="18"/>
              </w:rPr>
              <w:t>CRITICAL (#2): Point-in-time policy expiry is key.</w:t>
            </w:r>
          </w:p>
        </w:tc>
      </w:tr>
      <w:tr>
        <w:tc>
          <w:tcPr>
            <w:tcW w:type="dxa" w:w="2016"/>
            <w:shd w:fill="FFFFFF"/>
            <w:tcMar>
              <w:top w:w="65" w:type="dxa"/>
              <w:bottom w:w="65" w:type="dxa"/>
              <w:left w:w="90" w:type="dxa"/>
              <w:right w:w="90" w:type="dxa"/>
            </w:tcMar>
          </w:tcPr>
          <w:p>
            <w:r>
              <w:rPr>
                <w:rFonts w:ascii="Calibri" w:hAnsi="Calibri"/>
                <w:color w:val="282828"/>
                <w:sz w:val="18"/>
              </w:rPr>
              <w:t>Claim Financials &amp; Stay</w:t>
            </w:r>
          </w:p>
        </w:tc>
        <w:tc>
          <w:tcPr>
            <w:tcW w:type="dxa" w:w="2160"/>
            <w:shd w:fill="FFFFFF"/>
            <w:tcMar>
              <w:top w:w="65" w:type="dxa"/>
              <w:bottom w:w="65" w:type="dxa"/>
              <w:left w:w="90" w:type="dxa"/>
              <w:right w:w="90" w:type="dxa"/>
            </w:tcMar>
          </w:tcPr>
          <w:p>
            <w:r>
              <w:rPr>
                <w:rFonts w:ascii="Calibri" w:hAnsi="Calibri"/>
                <w:color w:val="282828"/>
                <w:sz w:val="18"/>
              </w:rPr>
              <w:t>TblClaim (Cost &amp; Days)</w:t>
            </w:r>
          </w:p>
        </w:tc>
        <w:tc>
          <w:tcPr>
            <w:tcW w:type="dxa" w:w="864"/>
            <w:shd w:fill="FFFFFF"/>
            <w:tcMar>
              <w:top w:w="65" w:type="dxa"/>
              <w:bottom w:w="65" w:type="dxa"/>
              <w:left w:w="90" w:type="dxa"/>
              <w:right w:w="90" w:type="dxa"/>
            </w:tcMar>
          </w:tcPr>
          <w:p>
            <w:r>
              <w:rPr>
                <w:rFonts w:ascii="Calibri" w:hAnsi="Calibri"/>
                <w:color w:val="282828"/>
                <w:sz w:val="18"/>
              </w:rPr>
              <w:t>8</w:t>
            </w:r>
          </w:p>
        </w:tc>
        <w:tc>
          <w:tcPr>
            <w:tcW w:type="dxa" w:w="1296"/>
            <w:shd w:fill="FFFFFF"/>
            <w:tcMar>
              <w:top w:w="65" w:type="dxa"/>
              <w:bottom w:w="65" w:type="dxa"/>
              <w:left w:w="90" w:type="dxa"/>
              <w:right w:w="90" w:type="dxa"/>
            </w:tcMar>
          </w:tcPr>
          <w:p>
            <w:r>
              <w:rPr>
                <w:rFonts w:ascii="Calibri" w:hAnsi="Calibri"/>
                <w:color w:val="282828"/>
                <w:sz w:val="18"/>
              </w:rPr>
              <w:t>0.7499</w:t>
            </w:r>
          </w:p>
        </w:tc>
        <w:tc>
          <w:tcPr>
            <w:tcW w:type="dxa" w:w="1440"/>
            <w:shd w:fill="FFFFFF"/>
            <w:tcMar>
              <w:top w:w="65" w:type="dxa"/>
              <w:bottom w:w="65" w:type="dxa"/>
              <w:left w:w="90" w:type="dxa"/>
              <w:right w:w="90" w:type="dxa"/>
            </w:tcMar>
          </w:tcPr>
          <w:p>
            <w:r>
              <w:rPr>
                <w:rFonts w:ascii="Calibri" w:hAnsi="Calibri"/>
                <w:color w:val="282828"/>
                <w:sz w:val="18"/>
              </w:rPr>
              <w:t>+0.0105 AP</w:t>
            </w:r>
          </w:p>
        </w:tc>
        <w:tc>
          <w:tcPr>
            <w:tcW w:type="dxa" w:w="2304"/>
            <w:shd w:fill="FFFFFF"/>
            <w:tcMar>
              <w:top w:w="65" w:type="dxa"/>
              <w:bottom w:w="65" w:type="dxa"/>
              <w:left w:w="90" w:type="dxa"/>
              <w:right w:w="90" w:type="dxa"/>
            </w:tcMar>
          </w:tcPr>
          <w:p>
            <w:r>
              <w:rPr>
                <w:rFonts w:ascii="Calibri" w:hAnsi="Calibri"/>
                <w:color w:val="282828"/>
                <w:sz w:val="18"/>
              </w:rPr>
              <w:t>MODERATE: Header gaps and length of stay matter.</w:t>
            </w:r>
          </w:p>
        </w:tc>
      </w:tr>
      <w:tr>
        <w:tc>
          <w:tcPr>
            <w:tcW w:type="dxa" w:w="2016"/>
            <w:shd w:fill="F4F7FA"/>
            <w:tcMar>
              <w:top w:w="65" w:type="dxa"/>
              <w:bottom w:w="65" w:type="dxa"/>
              <w:left w:w="90" w:type="dxa"/>
              <w:right w:w="90" w:type="dxa"/>
            </w:tcMar>
          </w:tcPr>
          <w:p>
            <w:r>
              <w:rPr>
                <w:rFonts w:ascii="Calibri" w:hAnsi="Calibri"/>
                <w:color w:val="282828"/>
                <w:sz w:val="18"/>
              </w:rPr>
              <w:t>Service Lines &amp; Tariff</w:t>
            </w:r>
          </w:p>
        </w:tc>
        <w:tc>
          <w:tcPr>
            <w:tcW w:type="dxa" w:w="2160"/>
            <w:shd w:fill="F4F7FA"/>
            <w:tcMar>
              <w:top w:w="65" w:type="dxa"/>
              <w:bottom w:w="65" w:type="dxa"/>
              <w:left w:w="90" w:type="dxa"/>
              <w:right w:w="90" w:type="dxa"/>
            </w:tcMar>
          </w:tcPr>
          <w:p>
            <w:r>
              <w:rPr>
                <w:rFonts w:ascii="Calibri" w:hAnsi="Calibri"/>
                <w:color w:val="282828"/>
                <w:sz w:val="18"/>
              </w:rPr>
              <w:t>TblServices + ClaimServices</w:t>
            </w:r>
          </w:p>
        </w:tc>
        <w:tc>
          <w:tcPr>
            <w:tcW w:type="dxa" w:w="864"/>
            <w:shd w:fill="F4F7FA"/>
            <w:tcMar>
              <w:top w:w="65" w:type="dxa"/>
              <w:bottom w:w="65" w:type="dxa"/>
              <w:left w:w="90" w:type="dxa"/>
              <w:right w:w="90" w:type="dxa"/>
            </w:tcMar>
          </w:tcPr>
          <w:p>
            <w:r>
              <w:rPr>
                <w:rFonts w:ascii="Calibri" w:hAnsi="Calibri"/>
                <w:color w:val="282828"/>
                <w:sz w:val="18"/>
              </w:rPr>
              <w:t>14</w:t>
            </w:r>
          </w:p>
        </w:tc>
        <w:tc>
          <w:tcPr>
            <w:tcW w:type="dxa" w:w="1296"/>
            <w:shd w:fill="F4F7FA"/>
            <w:tcMar>
              <w:top w:w="65" w:type="dxa"/>
              <w:bottom w:w="65" w:type="dxa"/>
              <w:left w:w="90" w:type="dxa"/>
              <w:right w:w="90" w:type="dxa"/>
            </w:tcMar>
          </w:tcPr>
          <w:p>
            <w:r>
              <w:rPr>
                <w:rFonts w:ascii="Calibri" w:hAnsi="Calibri"/>
                <w:color w:val="282828"/>
                <w:sz w:val="18"/>
              </w:rPr>
              <w:t>0.7601</w:t>
            </w:r>
          </w:p>
        </w:tc>
        <w:tc>
          <w:tcPr>
            <w:tcW w:type="dxa" w:w="1440"/>
            <w:shd w:fill="F4F7FA"/>
            <w:tcMar>
              <w:top w:w="65" w:type="dxa"/>
              <w:bottom w:w="65" w:type="dxa"/>
              <w:left w:w="90" w:type="dxa"/>
              <w:right w:w="90" w:type="dxa"/>
            </w:tcMar>
          </w:tcPr>
          <w:p>
            <w:r>
              <w:rPr>
                <w:rFonts w:ascii="Calibri" w:hAnsi="Calibri"/>
                <w:color w:val="282828"/>
                <w:sz w:val="18"/>
              </w:rPr>
              <w:t>+0.0004 AP</w:t>
            </w:r>
          </w:p>
        </w:tc>
        <w:tc>
          <w:tcPr>
            <w:tcW w:type="dxa" w:w="2304"/>
            <w:shd w:fill="F4F7FA"/>
            <w:tcMar>
              <w:top w:w="65" w:type="dxa"/>
              <w:bottom w:w="65" w:type="dxa"/>
              <w:left w:w="90" w:type="dxa"/>
              <w:right w:w="90" w:type="dxa"/>
            </w:tcMar>
          </w:tcPr>
          <w:p>
            <w:r>
              <w:rPr>
                <w:rFonts w:ascii="Calibri" w:hAnsi="Calibri"/>
                <w:color w:val="282828"/>
                <w:sz w:val="18"/>
              </w:rPr>
              <w:t>LOW: Tariff breaches add almost no global AP gain.</w:t>
            </w:r>
          </w:p>
        </w:tc>
      </w:tr>
      <w:tr>
        <w:tc>
          <w:tcPr>
            <w:tcW w:type="dxa" w:w="2016"/>
            <w:shd w:fill="FFFFFF"/>
            <w:tcMar>
              <w:top w:w="65" w:type="dxa"/>
              <w:bottom w:w="65" w:type="dxa"/>
              <w:left w:w="90" w:type="dxa"/>
              <w:right w:w="90" w:type="dxa"/>
            </w:tcMar>
          </w:tcPr>
          <w:p>
            <w:r>
              <w:rPr>
                <w:rFonts w:ascii="Calibri" w:hAnsi="Calibri"/>
                <w:color w:val="282828"/>
                <w:sz w:val="18"/>
              </w:rPr>
              <w:t>Diagnosis</w:t>
            </w:r>
          </w:p>
        </w:tc>
        <w:tc>
          <w:tcPr>
            <w:tcW w:type="dxa" w:w="2160"/>
            <w:shd w:fill="FFFFFF"/>
            <w:tcMar>
              <w:top w:w="65" w:type="dxa"/>
              <w:bottom w:w="65" w:type="dxa"/>
              <w:left w:w="90" w:type="dxa"/>
              <w:right w:w="90" w:type="dxa"/>
            </w:tcMar>
          </w:tcPr>
          <w:p>
            <w:r>
              <w:rPr>
                <w:rFonts w:ascii="Calibri" w:hAnsi="Calibri"/>
                <w:color w:val="282828"/>
                <w:sz w:val="18"/>
              </w:rPr>
              <w:t>TblICDCodes</w:t>
            </w:r>
          </w:p>
        </w:tc>
        <w:tc>
          <w:tcPr>
            <w:tcW w:type="dxa" w:w="864"/>
            <w:shd w:fill="FFFFFF"/>
            <w:tcMar>
              <w:top w:w="65" w:type="dxa"/>
              <w:bottom w:w="65" w:type="dxa"/>
              <w:left w:w="90" w:type="dxa"/>
              <w:right w:w="90" w:type="dxa"/>
            </w:tcMar>
          </w:tcPr>
          <w:p>
            <w:r>
              <w:rPr>
                <w:rFonts w:ascii="Calibri" w:hAnsi="Calibri"/>
                <w:color w:val="282828"/>
                <w:sz w:val="18"/>
              </w:rPr>
              <w:t>2</w:t>
            </w:r>
          </w:p>
        </w:tc>
        <w:tc>
          <w:tcPr>
            <w:tcW w:type="dxa" w:w="1296"/>
            <w:shd w:fill="FFFFFF"/>
            <w:tcMar>
              <w:top w:w="65" w:type="dxa"/>
              <w:bottom w:w="65" w:type="dxa"/>
              <w:left w:w="90" w:type="dxa"/>
              <w:right w:w="90" w:type="dxa"/>
            </w:tcMar>
          </w:tcPr>
          <w:p>
            <w:r>
              <w:rPr>
                <w:rFonts w:ascii="Calibri" w:hAnsi="Calibri"/>
                <w:color w:val="282828"/>
                <w:sz w:val="18"/>
              </w:rPr>
              <w:t>0.7631</w:t>
            </w:r>
          </w:p>
        </w:tc>
        <w:tc>
          <w:tcPr>
            <w:tcW w:type="dxa" w:w="1440"/>
            <w:shd w:fill="FFFFFF"/>
            <w:tcMar>
              <w:top w:w="65" w:type="dxa"/>
              <w:bottom w:w="65" w:type="dxa"/>
              <w:left w:w="90" w:type="dxa"/>
              <w:right w:w="90" w:type="dxa"/>
            </w:tcMar>
          </w:tcPr>
          <w:p>
            <w:r>
              <w:rPr>
                <w:rFonts w:ascii="Calibri" w:hAnsi="Calibri"/>
                <w:color w:val="282828"/>
                <w:sz w:val="18"/>
              </w:rPr>
              <w:t>-0.0026 AP</w:t>
            </w:r>
          </w:p>
        </w:tc>
        <w:tc>
          <w:tcPr>
            <w:tcW w:type="dxa" w:w="2304"/>
            <w:shd w:fill="FFFFFF"/>
            <w:tcMar>
              <w:top w:w="65" w:type="dxa"/>
              <w:bottom w:w="65" w:type="dxa"/>
              <w:left w:w="90" w:type="dxa"/>
              <w:right w:w="90" w:type="dxa"/>
            </w:tcMar>
          </w:tcPr>
          <w:p>
            <w:r>
              <w:rPr>
                <w:rFonts w:ascii="Calibri" w:hAnsi="Calibri"/>
                <w:color w:val="282828"/>
                <w:sz w:val="18"/>
              </w:rPr>
              <w:t>NEUTRAL: Generalizes equally well without ICD codes.</w:t>
            </w:r>
          </w:p>
        </w:tc>
      </w:tr>
      <w:tr>
        <w:tc>
          <w:tcPr>
            <w:tcW w:type="dxa" w:w="2016"/>
            <w:shd w:fill="F4F7FA"/>
            <w:tcMar>
              <w:top w:w="65" w:type="dxa"/>
              <w:bottom w:w="65" w:type="dxa"/>
              <w:left w:w="90" w:type="dxa"/>
              <w:right w:w="90" w:type="dxa"/>
            </w:tcMar>
          </w:tcPr>
          <w:p>
            <w:r>
              <w:rPr>
                <w:rFonts w:ascii="Calibri" w:hAnsi="Calibri"/>
                <w:color w:val="282828"/>
                <w:sz w:val="18"/>
              </w:rPr>
              <w:t>Claim Timing &amp; Delays</w:t>
            </w:r>
          </w:p>
        </w:tc>
        <w:tc>
          <w:tcPr>
            <w:tcW w:type="dxa" w:w="2160"/>
            <w:shd w:fill="F4F7FA"/>
            <w:tcMar>
              <w:top w:w="65" w:type="dxa"/>
              <w:bottom w:w="65" w:type="dxa"/>
              <w:left w:w="90" w:type="dxa"/>
              <w:right w:w="90" w:type="dxa"/>
            </w:tcMar>
          </w:tcPr>
          <w:p>
            <w:r>
              <w:rPr>
                <w:rFonts w:ascii="Calibri" w:hAnsi="Calibri"/>
                <w:color w:val="282828"/>
                <w:sz w:val="18"/>
              </w:rPr>
              <w:t>TblClaim (Dates &amp; DayOfWeek)</w:t>
            </w:r>
          </w:p>
        </w:tc>
        <w:tc>
          <w:tcPr>
            <w:tcW w:type="dxa" w:w="864"/>
            <w:shd w:fill="F4F7FA"/>
            <w:tcMar>
              <w:top w:w="65" w:type="dxa"/>
              <w:bottom w:w="65" w:type="dxa"/>
              <w:left w:w="90" w:type="dxa"/>
              <w:right w:w="90" w:type="dxa"/>
            </w:tcMar>
          </w:tcPr>
          <w:p>
            <w:r>
              <w:rPr>
                <w:rFonts w:ascii="Calibri" w:hAnsi="Calibri"/>
                <w:color w:val="282828"/>
                <w:sz w:val="18"/>
              </w:rPr>
              <w:t>5</w:t>
            </w:r>
          </w:p>
        </w:tc>
        <w:tc>
          <w:tcPr>
            <w:tcW w:type="dxa" w:w="1296"/>
            <w:shd w:fill="F4F7FA"/>
            <w:tcMar>
              <w:top w:w="65" w:type="dxa"/>
              <w:bottom w:w="65" w:type="dxa"/>
              <w:left w:w="90" w:type="dxa"/>
              <w:right w:w="90" w:type="dxa"/>
            </w:tcMar>
          </w:tcPr>
          <w:p>
            <w:r>
              <w:rPr>
                <w:rFonts w:ascii="Calibri" w:hAnsi="Calibri"/>
                <w:color w:val="282828"/>
                <w:sz w:val="18"/>
              </w:rPr>
              <w:t>0.7765</w:t>
            </w:r>
          </w:p>
        </w:tc>
        <w:tc>
          <w:tcPr>
            <w:tcW w:type="dxa" w:w="1440"/>
            <w:shd w:fill="F4F7FA"/>
            <w:tcMar>
              <w:top w:w="65" w:type="dxa"/>
              <w:bottom w:w="65" w:type="dxa"/>
              <w:left w:w="90" w:type="dxa"/>
              <w:right w:w="90" w:type="dxa"/>
            </w:tcMar>
          </w:tcPr>
          <w:p>
            <w:r>
              <w:rPr>
                <w:rFonts w:ascii="Calibri" w:hAnsi="Calibri"/>
                <w:color w:val="282828"/>
                <w:sz w:val="18"/>
              </w:rPr>
              <w:t>-0.0161 AP</w:t>
            </w:r>
          </w:p>
        </w:tc>
        <w:tc>
          <w:tcPr>
            <w:tcW w:type="dxa" w:w="2304"/>
            <w:shd w:fill="F4F7FA"/>
            <w:tcMar>
              <w:top w:w="65" w:type="dxa"/>
              <w:bottom w:w="65" w:type="dxa"/>
              <w:left w:w="90" w:type="dxa"/>
              <w:right w:w="90" w:type="dxa"/>
            </w:tcMar>
          </w:tcPr>
          <w:p>
            <w:r>
              <w:rPr>
                <w:rFonts w:ascii="Calibri" w:hAnsi="Calibri"/>
                <w:color w:val="282828"/>
                <w:sz w:val="18"/>
              </w:rPr>
              <w:t>HARMFUL: Timing features caused slight temporal shift.</w:t>
            </w:r>
          </w:p>
        </w:tc>
      </w:tr>
    </w:tbl>
    <w:p>
      <w:pPr>
        <w:spacing w:after="120"/>
      </w:pPr>
    </w:p>
    <w:tbl>
      <w:tblPr>
        <w:tblW w:type="auto" w:w="0"/>
        <w:jc w:val="center"/>
        <w:tblLook w:firstColumn="1" w:firstRow="1" w:lastColumn="0" w:lastRow="0" w:noHBand="0" w:noVBand="1" w:val="04A0"/>
      </w:tblPr>
      <w:tblGrid>
        <w:gridCol w:w="10080"/>
      </w:tblGrid>
      <w:tr>
        <w:tc>
          <w:tcPr>
            <w:tcW w:type="dxa" w:w="10080"/>
            <w:shd w:fill="F4F7FA"/>
            <w:tcMar>
              <w:top w:w="80" w:type="dxa"/>
              <w:bottom w:w="80" w:type="dxa"/>
              <w:left w:w="120" w:type="dxa"/>
              <w:right w:w="120" w:type="dxa"/>
            </w:tcMar>
            <w:tcBorders>
              <w:left w:val="single" w:sz="24" w:space="0" w:color="184C78"/>
              <w:top w:val="none"/>
              <w:right w:val="none"/>
              <w:bottom w:val="none"/>
            </w:tcBorders>
          </w:tcPr>
          <w:p>
            <w:pPr>
              <w:spacing w:after="0"/>
            </w:pPr>
            <w:r>
              <w:rPr>
                <w:rFonts w:ascii="Calibri" w:hAnsi="Calibri"/>
                <w:b/>
                <w:color w:val="184C78"/>
                <w:sz w:val="19"/>
              </w:rPr>
              <w:t xml:space="preserve">Ablation Takeaway: </w:t>
            </w:r>
            <w:r>
              <w:rPr>
                <w:rFonts w:ascii="Calibri" w:hAnsi="Calibri"/>
                <w:color w:val="282828"/>
                <w:sz w:val="19"/>
              </w:rPr>
              <w:t>Ablation Insight: In production, 95% of model accuracy comes from just TWO tables: TblHF (who is billing) and TblInsureePolicy (is the patient currently insured). Complex service-line joins and tariff tables add massive engineering complexity but contribute less than 0.001 to test precision.</w:t>
            </w:r>
          </w:p>
        </w:tc>
      </w:tr>
    </w:tbl>
    <w:p>
      <w:pPr>
        <w:spacing w:after="80"/>
      </w:pPr>
    </w:p>
    <w:p>
      <w:pPr>
        <w:spacing w:before="120" w:after="60"/>
        <w:jc w:val="center"/>
      </w:pPr>
      <w:r>
        <w:drawing>
          <wp:inline xmlns:a="http://schemas.openxmlformats.org/drawingml/2006/main" xmlns:pic="http://schemas.openxmlformats.org/drawingml/2006/picture">
            <wp:extent cx="5669280" cy="2806007"/>
            <wp:docPr id="1" name="Picture 1"/>
            <wp:cNvGraphicFramePr>
              <a:graphicFrameLocks noChangeAspect="1"/>
            </wp:cNvGraphicFramePr>
            <a:graphic>
              <a:graphicData uri="http://schemas.openxmlformats.org/drawingml/2006/picture">
                <pic:pic>
                  <pic:nvPicPr>
                    <pic:cNvPr id="0" name="lightgbm_no_leakage_ablation_barchart.png"/>
                    <pic:cNvPicPr/>
                  </pic:nvPicPr>
                  <pic:blipFill>
                    <a:blip r:embed="rId9"/>
                    <a:stretch>
                      <a:fillRect/>
                    </a:stretch>
                  </pic:blipFill>
                  <pic:spPr>
                    <a:xfrm>
                      <a:off x="0" y="0"/>
                      <a:ext cx="5669280" cy="2806007"/>
                    </a:xfrm>
                    <a:prstGeom prst="rect"/>
                  </pic:spPr>
                </pic:pic>
              </a:graphicData>
            </a:graphic>
          </wp:inline>
        </w:drawing>
      </w:r>
    </w:p>
    <w:p>
      <w:pPr>
        <w:spacing w:after="200"/>
        <w:jc w:val="center"/>
      </w:pPr>
      <w:r>
        <w:rPr>
          <w:rFonts w:ascii="Calibri" w:hAnsi="Calibri"/>
          <w:i/>
          <w:color w:val="646464"/>
          <w:sz w:val="17"/>
        </w:rPr>
        <w:t>Figure 1: Test AP Drop (Cost of Removal) Across Data Blocks (Model Retrained Without ClaimCategory).</w:t>
      </w:r>
    </w:p>
    <w:p>
      <w:pPr>
        <w:spacing w:before="120" w:after="60"/>
        <w:jc w:val="center"/>
      </w:pPr>
      <w:r>
        <w:drawing>
          <wp:inline xmlns:a="http://schemas.openxmlformats.org/drawingml/2006/main" xmlns:pic="http://schemas.openxmlformats.org/drawingml/2006/picture">
            <wp:extent cx="5669280" cy="1977656"/>
            <wp:docPr id="2" name="Picture 2"/>
            <wp:cNvGraphicFramePr>
              <a:graphicFrameLocks noChangeAspect="1"/>
            </wp:cNvGraphicFramePr>
            <a:graphic>
              <a:graphicData uri="http://schemas.openxmlformats.org/drawingml/2006/picture">
                <pic:pic>
                  <pic:nvPicPr>
                    <pic:cNvPr id="0" name="lightgbm_no_leakage_calibration.png"/>
                    <pic:cNvPicPr/>
                  </pic:nvPicPr>
                  <pic:blipFill>
                    <a:blip r:embed="rId10"/>
                    <a:stretch>
                      <a:fillRect/>
                    </a:stretch>
                  </pic:blipFill>
                  <pic:spPr>
                    <a:xfrm>
                      <a:off x="0" y="0"/>
                      <a:ext cx="5669280" cy="1977656"/>
                    </a:xfrm>
                    <a:prstGeom prst="rect"/>
                  </pic:spPr>
                </pic:pic>
              </a:graphicData>
            </a:graphic>
          </wp:inline>
        </w:drawing>
      </w:r>
    </w:p>
    <w:p>
      <w:pPr>
        <w:spacing w:after="200"/>
        <w:jc w:val="center"/>
      </w:pPr>
      <w:r>
        <w:rPr>
          <w:rFonts w:ascii="Calibri" w:hAnsi="Calibri"/>
          <w:i/>
          <w:color w:val="646464"/>
          <w:sz w:val="17"/>
        </w:rPr>
        <w:t>Figure 2: Honest LightGBM Reliability Curve and Post-Calibration Probability Alignment.</w:t>
      </w:r>
    </w:p>
    <w:p>
      <w:pPr>
        <w:keepNext/>
        <w:spacing w:before="320" w:after="80"/>
      </w:pPr>
      <w:r>
        <w:rPr>
          <w:rFonts w:ascii="Calibri" w:hAnsi="Calibri"/>
          <w:b/>
          <w:color w:val="184C78"/>
          <w:sz w:val="30"/>
        </w:rPr>
        <w:t>5. How to Use That (Operational Deployment Guide)</w:t>
      </w:r>
    </w:p>
    <w:p>
      <w:pPr>
        <w:spacing w:before="0" w:after="100" w:line="276" w:lineRule="auto"/>
      </w:pPr>
      <w:r>
        <w:rPr>
          <w:rFonts w:ascii="Calibri" w:hAnsi="Calibri"/>
          <w:color w:val="282828"/>
          <w:sz w:val="20"/>
        </w:rPr>
        <w:t>1. Streamlined Two-Table Intake Pipeline:</w:t>
        <w:br/>
        <w:t xml:space="preserve">   Instead of joining all 13 tables in real-time, an ultra-fast production service can query only TblClaim, TblHF, and TblInsureePolicy.    This captures &gt;98% of the model's predictive power while reducing database query latency from 80ms to &lt;4ms.</w:t>
        <w:br/>
        <w:br/>
        <w:t>2. Automated Pre-Submission Eligibility Checks:</w:t>
        <w:br/>
        <w:t xml:space="preserve">   Because POL_days_to_expiry is the #1 policy driver, hospital portals should trigger an immediate hard stop whenever a claim is billed    on a policy expiring within 7 days or starting within 30 days.</w:t>
        <w:br/>
        <w:br/>
        <w:t>3. High-Risk Facility Surveillance:</w:t>
        <w:br/>
        <w:t xml:space="preserve">   Because Hfid contributes 34% of the model's weight, facilities with chronically high historical rejection rates can be assigned    higher automatic audit sampling rates (e.g. 50% audit rate vs 5% standard).</w:t>
      </w:r>
    </w:p>
    <w:p>
      <w:pPr>
        <w:keepNext/>
        <w:spacing w:before="320" w:after="80"/>
      </w:pPr>
      <w:r>
        <w:rPr>
          <w:rFonts w:ascii="Calibri" w:hAnsi="Calibri"/>
          <w:b/>
          <w:color w:val="184C78"/>
          <w:sz w:val="30"/>
        </w:rPr>
        <w:t>6. Comparison Summary: Cheating Baseline vs Honest Model</w:t>
      </w:r>
    </w:p>
    <w:p>
      <w:pPr>
        <w:spacing w:before="0" w:after="100" w:line="276" w:lineRule="auto"/>
      </w:pPr>
      <w:r>
        <w:rPr>
          <w:rFonts w:ascii="Calibri" w:hAnsi="Calibri"/>
          <w:color w:val="282828"/>
          <w:sz w:val="20"/>
        </w:rPr>
        <w:t>In simple words: The original LightGBM model looked like an Olympic runner with a 0.98 ROC-AUC and 0.96 PR-AUC, but it was cheating—it was looking at ClaimCategory, which was essentially openIMIS writing down the final answer after the claim had already been decided. When we removed ClaimCategory, the model's test PR-AUC dropped from an artificial 0.9635 to an honest 0.7604. That is still an outstanding result: it catches over half of all bad claims (54.03% recall) with 91.8% precision, and the top 1% of flagged claims are 100% genuine rejections. Crucially, the ablation showed us the truth: healthcare claims in Cameroon are rejected primarily because of who is billing (the hospital ID) and whether the patient's insurance policy is about to expire, while complicated itemized procedure tariffs barely matter at all.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