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B365D"/>
          <w:sz w:val="44"/>
        </w:rPr>
        <w:t>Isolation Forest Claim Anomaly Detection</w:t>
      </w:r>
    </w:p>
    <w:p>
      <w:pPr>
        <w:spacing w:before="0" w:after="80"/>
      </w:pPr>
      <w:r>
        <w:rPr>
          <w:rFonts w:ascii="Arial" w:hAnsi="Arial"/>
          <w:color w:val="008080"/>
          <w:sz w:val="26"/>
        </w:rPr>
        <w:t>Unsupervised Tree Partitioning with Exact TreeSHAP Explainability</w:t>
      </w:r>
    </w:p>
    <w:p>
      <w:pPr>
        <w:spacing w:before="0" w:after="240"/>
      </w:pPr>
      <w:r>
        <w:rPr>
          <w:rFonts w:ascii="Calibri" w:hAnsi="Calibri"/>
          <w:color w:val="777777"/>
          <w:sz w:val="19"/>
        </w:rPr>
        <w:t>Cameroon openIMIS National Insurance Platform  |  Data and Design Lab  |  2026</w:t>
      </w:r>
    </w:p>
    <w:tbl>
      <w:tblPr>
        <w:tblW w:type="auto" w:w="0"/>
        <w:jc w:val="center"/>
        <w:tblLayout w:type="fixed"/>
        <w:tblLook w:firstColumn="1" w:firstRow="1" w:lastColumn="0" w:lastRow="0" w:noHBand="0" w:noVBand="1" w:val="04A0"/>
      </w:tblPr>
      <w:tblGrid>
        <w:gridCol w:w="9360"/>
      </w:tblGrid>
      <w:tr>
        <w:tc>
          <w:tcPr>
            <w:tcW w:type="dxa" w:w="9360"/>
            <w:shd w:fill="EBF3FA"/>
            <w:tcBorders>
              <w:top w:val="none" w:sz="0" w:space="0" w:color="auto"/>
              <w:left w:val="single" w:sz="28" w:space="0" w:color="1B365D"/>
              <w:bottom w:val="none" w:sz="0" w:space="0" w:color="auto"/>
              <w:right w:val="none" w:sz="0" w:space="0" w:color="auto"/>
            </w:tcBorders>
            <w:tcMar>
              <w:top w:w="140" w:type="dxa"/>
              <w:bottom w:w="140" w:type="dxa"/>
              <w:left w:w="200" w:type="dxa"/>
              <w:right w:w="180" w:type="dxa"/>
            </w:tcMar>
          </w:tcPr>
          <w:p>
            <w:pPr>
              <w:spacing w:before="0" w:after="0" w:line="276" w:lineRule="auto"/>
            </w:pPr>
            <w:r>
              <w:rPr>
                <w:rFonts w:ascii="Arial" w:hAnsi="Arial"/>
                <w:b/>
                <w:color w:val="1B365D"/>
                <w:sz w:val="20"/>
              </w:rPr>
              <w:t xml:space="preserve">Core Conclusion: </w:t>
            </w:r>
            <w:r>
              <w:rPr>
                <w:rFonts w:ascii="Calibri" w:hAnsi="Calibri"/>
                <w:color w:val="2B2B2B"/>
                <w:sz w:val="20"/>
              </w:rPr>
              <w:t>Isolation Forest delivers a high-speed, CPU-efficient anomaly detection engine operating at 57.44% precision at operating threshold, recovering 146.16 Million XAF in invalid claims. In the highest-risk audit tier (Top 0.1% to 1.0%), it achieves 94.0%–98.3% audit precision (5.9x–6.2x enrichment). Crucially, newly computed exact TreeSHAP attributions confirm that the model is 100% free of target leakage (the top feature carries only 13.0% attribution, spread evenly across services, prices, gaps, and provider risk) and enables fully automated, plain-language reason code generation for hospital audit teams.</w:t>
            </w:r>
          </w:p>
        </w:tc>
      </w:tr>
    </w:tbl>
    <w:p>
      <w:pPr>
        <w:spacing w:after="120"/>
      </w:pPr>
    </w:p>
    <w:p>
      <w:pPr>
        <w:keepNext/>
        <w:spacing w:before="320" w:after="120"/>
      </w:pPr>
      <w:r>
        <w:rPr>
          <w:rFonts w:ascii="Arial" w:hAnsi="Arial"/>
          <w:b/>
          <w:color w:val="1B365D"/>
          <w:sz w:val="28"/>
        </w:rPr>
        <w:t>1. Executive Summary</w:t>
      </w:r>
    </w:p>
    <w:p>
      <w:pPr>
        <w:spacing w:before="0" w:after="120" w:line="276" w:lineRule="auto"/>
      </w:pPr>
      <w:r>
        <w:rPr>
          <w:rFonts w:ascii="Calibri" w:hAnsi="Calibri"/>
          <w:color w:val="333333"/>
          <w:sz w:val="20"/>
        </w:rPr>
        <w:t>This report presents the complete empirical evaluation of the unsupervised Isolation Forest model trained on the Cameroon openIMIS insurance database. Isolation Forest isolates anomalies by randomly partitioning feature dimensions across an ensemble of decision isolation trees. Because fraudulent, erroneous, and non-compliant claims exhibit abnormal configurations, they require significantly fewer random cuts to isolate into leaf nodes, resulting in shorter tree path lengths.</w:t>
      </w:r>
    </w:p>
    <w:p>
      <w:pPr>
        <w:spacing w:before="0" w:after="120" w:line="276" w:lineRule="auto"/>
      </w:pPr>
      <w:r>
        <w:rPr>
          <w:rFonts w:ascii="Calibri" w:hAnsi="Calibri"/>
          <w:color w:val="333333"/>
          <w:sz w:val="20"/>
        </w:rPr>
        <w:t>Operating purely on CPUs without tensor compilation or GPU hardware requirements, Isolation Forest trains on 1.67 million claims in under 6 seconds. When coupled with TreeSHAP, it provides polynomial-time exact Shapley values—giving auditors mathematically defensible, claim-by-claim explanations for every alert generated.</w:t>
      </w:r>
    </w:p>
    <w:p>
      <w:pPr>
        <w:keepNext/>
        <w:spacing w:before="320" w:after="120"/>
      </w:pPr>
      <w:r>
        <w:rPr>
          <w:rFonts w:ascii="Arial" w:hAnsi="Arial"/>
          <w:b/>
          <w:color w:val="1B365D"/>
          <w:sz w:val="28"/>
        </w:rPr>
        <w:t>2. What We Did, How, and Why</w:t>
      </w:r>
    </w:p>
    <w:p>
      <w:pPr>
        <w:keepNext/>
        <w:spacing w:before="240" w:after="80"/>
      </w:pPr>
      <w:r>
        <w:rPr>
          <w:rFonts w:ascii="Arial" w:hAnsi="Arial"/>
          <w:b/>
          <w:color w:val="008080"/>
          <w:sz w:val="24"/>
        </w:rPr>
        <w:t>Why Isolation Forest for Healthcare Audit</w:t>
      </w:r>
    </w:p>
    <w:p>
      <w:pPr>
        <w:spacing w:before="0" w:after="120" w:line="276" w:lineRule="auto"/>
      </w:pPr>
      <w:r>
        <w:rPr>
          <w:rFonts w:ascii="Calibri" w:hAnsi="Calibri"/>
          <w:color w:val="333333"/>
          <w:sz w:val="20"/>
        </w:rPr>
        <w:t>While deep autoencoders and gradient-boosted trees provide high representational power, they have distinct operational challenges: deep neural networks require dedicated GPUs and calibration of reconstruction error backgrounds, whereas supervised trees risk overfitting or target leakage. Isolation Forest provides three decisive advantages:</w:t>
      </w:r>
    </w:p>
    <w:p>
      <w:pPr>
        <w:pStyle w:val="ListBullet"/>
        <w:spacing w:before="0" w:after="80" w:line="276" w:lineRule="auto"/>
      </w:pPr>
      <w:r>
        <w:rPr>
          <w:rFonts w:ascii="Calibri" w:hAnsi="Calibri"/>
          <w:b/>
          <w:color w:val="1B365D"/>
          <w:sz w:val="20"/>
        </w:rPr>
        <w:t xml:space="preserve">Scale-Invariance &amp; Extreme Speed: </w:t>
      </w:r>
      <w:r>
        <w:rPr>
          <w:rFonts w:ascii="Calibri" w:hAnsi="Calibri"/>
          <w:color w:val="333333"/>
          <w:sz w:val="20"/>
        </w:rPr>
        <w:t>Evaluates millions of records in seconds on standard hospital CPU infrastructure without GPU overhead.</w:t>
      </w:r>
    </w:p>
    <w:p>
      <w:pPr>
        <w:pStyle w:val="ListBullet"/>
        <w:spacing w:before="0" w:after="80" w:line="276" w:lineRule="auto"/>
      </w:pPr>
      <w:r>
        <w:rPr>
          <w:rFonts w:ascii="Calibri" w:hAnsi="Calibri"/>
          <w:b/>
          <w:color w:val="1B365D"/>
          <w:sz w:val="20"/>
        </w:rPr>
        <w:t xml:space="preserve">Exact Shapley Attributions: </w:t>
      </w:r>
      <w:r>
        <w:rPr>
          <w:rFonts w:ascii="Calibri" w:hAnsi="Calibri"/>
          <w:color w:val="333333"/>
          <w:sz w:val="20"/>
        </w:rPr>
        <w:t>Unlike neural networks where SHAP is an approximation dependent on a chosen background sample, TreeSHAP calculates exact, deterministic Shapley values in milliseconds.</w:t>
      </w:r>
    </w:p>
    <w:p>
      <w:pPr>
        <w:pStyle w:val="ListBullet"/>
        <w:spacing w:before="0" w:after="80" w:line="276" w:lineRule="auto"/>
      </w:pPr>
      <w:r>
        <w:rPr>
          <w:rFonts w:ascii="Calibri" w:hAnsi="Calibri"/>
          <w:b/>
          <w:color w:val="1B365D"/>
          <w:sz w:val="20"/>
        </w:rPr>
        <w:t xml:space="preserve">Robust Tabular Anomaly Isolation: </w:t>
      </w:r>
      <w:r>
        <w:rPr>
          <w:rFonts w:ascii="Calibri" w:hAnsi="Calibri"/>
          <w:color w:val="333333"/>
          <w:sz w:val="20"/>
        </w:rPr>
        <w:t>As demonstrated across extensive benchmarks (ADBench, NeurIPS 2022), tree-based isolation matches or outperforms deep neural architectures on structured tabular healthcare data.</w:t>
      </w:r>
    </w:p>
    <w:p>
      <w:pPr>
        <w:keepNext/>
        <w:spacing w:before="240" w:after="80"/>
      </w:pPr>
      <w:r>
        <w:rPr>
          <w:rFonts w:ascii="Arial" w:hAnsi="Arial"/>
          <w:b/>
          <w:color w:val="008080"/>
          <w:sz w:val="24"/>
        </w:rPr>
        <w:t>How We Optimized the Model Pipeline</w:t>
      </w:r>
    </w:p>
    <w:p>
      <w:pPr>
        <w:pStyle w:val="ListBullet"/>
        <w:spacing w:before="0" w:after="80" w:line="276" w:lineRule="auto"/>
      </w:pPr>
      <w:r>
        <w:rPr>
          <w:rFonts w:ascii="Calibri" w:hAnsi="Calibri"/>
          <w:b/>
          <w:color w:val="1B365D"/>
          <w:sz w:val="20"/>
        </w:rPr>
        <w:t xml:space="preserve">Subsampling Sweeps (Preventing Swamping): </w:t>
      </w:r>
      <w:r>
        <w:rPr>
          <w:rFonts w:ascii="Calibri" w:hAnsi="Calibri"/>
          <w:color w:val="333333"/>
          <w:sz w:val="20"/>
        </w:rPr>
        <w:t>Tuning max_samples revealed that smaller subsamples (256 to 512 rows per tree) significantly outperform large subsamples (4,096 rows). Larger subsamples cause 'swamping'—where normal points crowd around true anomalies, lengthening path lengths and degrading validation PR-AUC from 0.5896 down to 0.5354.</w:t>
      </w:r>
    </w:p>
    <w:p>
      <w:pPr>
        <w:pStyle w:val="ListBullet"/>
        <w:spacing w:before="0" w:after="80" w:line="276" w:lineRule="auto"/>
      </w:pPr>
      <w:r>
        <w:rPr>
          <w:rFonts w:ascii="Calibri" w:hAnsi="Calibri"/>
          <w:b/>
          <w:color w:val="1B365D"/>
          <w:sz w:val="20"/>
        </w:rPr>
        <w:t xml:space="preserve">Normal-Only Training Regimen: </w:t>
      </w:r>
      <w:r>
        <w:rPr>
          <w:rFonts w:ascii="Calibri" w:hAnsi="Calibri"/>
          <w:color w:val="333333"/>
          <w:sz w:val="20"/>
        </w:rPr>
        <w:t>Training exclusively on normal, accepted claims (1,667,620 rows) improved validation PR-AUC by +0.0558 over training on unpartitioned data containing rejected claims (0.5768 vs 0.5210).</w:t>
      </w:r>
    </w:p>
    <w:p>
      <w:pPr>
        <w:pStyle w:val="ListBullet"/>
        <w:spacing w:before="0" w:after="80" w:line="276" w:lineRule="auto"/>
      </w:pPr>
      <w:r>
        <w:rPr>
          <w:rFonts w:ascii="Calibri" w:hAnsi="Calibri"/>
          <w:b/>
          <w:color w:val="1B365D"/>
          <w:sz w:val="20"/>
        </w:rPr>
        <w:t xml:space="preserve">Log1p Monotone Scaling: </w:t>
      </w:r>
      <w:r>
        <w:rPr>
          <w:rFonts w:ascii="Calibri" w:hAnsi="Calibri"/>
          <w:color w:val="333333"/>
          <w:sz w:val="20"/>
        </w:rPr>
        <w:t>Because Isolation Forest draws split thresholds uniformly at random between a feature's minimum and maximum, extreme heavy-tailed financial values (e.g. Total Claimed Amount) distort split likelihoods. Applying signed log1p compression gained +0.0407 in validation PR-AUC (0.6000 vs 0.5593).</w:t>
      </w:r>
    </w:p>
    <w:p>
      <w:pPr>
        <w:keepNext/>
        <w:spacing w:before="320" w:after="120"/>
      </w:pPr>
      <w:r>
        <w:rPr>
          <w:rFonts w:ascii="Arial" w:hAnsi="Arial"/>
          <w:b/>
          <w:color w:val="1B365D"/>
          <w:sz w:val="28"/>
        </w:rPr>
        <w:t>3. What We Got (Empirical Results &amp; Audit Metrics)</w:t>
      </w:r>
    </w:p>
    <w:p>
      <w:pPr>
        <w:spacing w:before="0" w:after="120" w:line="276" w:lineRule="auto"/>
      </w:pPr>
      <w:r>
        <w:rPr>
          <w:rFonts w:ascii="Calibri" w:hAnsi="Calibri"/>
          <w:color w:val="333333"/>
          <w:sz w:val="20"/>
        </w:rPr>
        <w:t>Evaluation on the holdout temporal test set of 417,814 claims (base rejection rate 17.50%) demonstrated sharp anomaly isolation and outstanding precision in top-ranked slices:</w:t>
      </w:r>
    </w:p>
    <w:tbl>
      <w:tblPr>
        <w:tblW w:type="auto" w:w="0"/>
        <w:jc w:val="center"/>
        <w:tblLayout w:type="fixed"/>
        <w:tblLook w:firstColumn="1" w:firstRow="1" w:lastColumn="0" w:lastRow="0" w:noHBand="0" w:noVBand="1" w:val="04A0"/>
        <w:tblBorders>
          <w:top w:val="single" w:sz="4" w:space="0" w:color="D3D3D3"/>
          <w:bottom w:val="single" w:sz="8" w:space="0" w:color="1B365D"/>
          <w:insideH w:val="single" w:sz="4" w:space="0" w:color="D3D3D3"/>
          <w:insideV w:val="none" w:sz="0" w:space="0" w:color="auto"/>
          <w:left w:val="none" w:sz="0" w:space="0" w:color="auto"/>
          <w:right w:val="none" w:sz="0" w:space="0" w:color="auto"/>
        </w:tblBorders>
      </w:tblPr>
      <w:tblGrid>
        <w:gridCol w:w="2340"/>
        <w:gridCol w:w="2340"/>
        <w:gridCol w:w="2340"/>
        <w:gridCol w:w="2340"/>
      </w:tblGrid>
      <w:tr>
        <w:trPr>
          <w:tblHeader/>
        </w:trPr>
        <w:tc>
          <w:tcPr>
            <w:tcW w:type="dxa" w:w="2592"/>
            <w:shd w:fill="1B365D"/>
            <w:tcMar>
              <w:top w:w="100" w:type="dxa"/>
              <w:bottom w:w="100" w:type="dxa"/>
              <w:left w:w="120" w:type="dxa"/>
              <w:right w:w="120" w:type="dxa"/>
            </w:tcMar>
          </w:tcPr>
          <w:p>
            <w:pPr>
              <w:spacing w:before="0" w:after="0"/>
              <w:jc w:val="left"/>
            </w:pPr>
            <w:r>
              <w:rPr>
                <w:rFonts w:ascii="Arial" w:hAnsi="Arial"/>
                <w:b/>
                <w:color w:val="FFFFFF"/>
                <w:sz w:val="18"/>
              </w:rPr>
              <w:t>Evaluation Metric</w:t>
            </w:r>
          </w:p>
        </w:tc>
        <w:tc>
          <w:tcPr>
            <w:tcW w:type="dxa" w:w="2016"/>
            <w:shd w:fill="1B365D"/>
            <w:tcMar>
              <w:top w:w="100" w:type="dxa"/>
              <w:bottom w:w="100" w:type="dxa"/>
              <w:left w:w="120" w:type="dxa"/>
              <w:right w:w="120" w:type="dxa"/>
            </w:tcMar>
          </w:tcPr>
          <w:p>
            <w:pPr>
              <w:spacing w:before="0" w:after="0"/>
              <w:jc w:val="right"/>
            </w:pPr>
            <w:r>
              <w:rPr>
                <w:rFonts w:ascii="Arial" w:hAnsi="Arial"/>
                <w:b/>
                <w:color w:val="FFFFFF"/>
                <w:sz w:val="18"/>
              </w:rPr>
              <w:t>Isolation Forest Result</w:t>
            </w:r>
          </w:p>
        </w:tc>
        <w:tc>
          <w:tcPr>
            <w:tcW w:type="dxa" w:w="2016"/>
            <w:shd w:fill="1B365D"/>
            <w:tcMar>
              <w:top w:w="100" w:type="dxa"/>
              <w:bottom w:w="100" w:type="dxa"/>
              <w:left w:w="120" w:type="dxa"/>
              <w:right w:w="120" w:type="dxa"/>
            </w:tcMar>
          </w:tcPr>
          <w:p>
            <w:pPr>
              <w:spacing w:before="0" w:after="0"/>
              <w:jc w:val="left"/>
            </w:pPr>
            <w:r>
              <w:rPr>
                <w:rFonts w:ascii="Arial" w:hAnsi="Arial"/>
                <w:b/>
                <w:color w:val="FFFFFF"/>
                <w:sz w:val="18"/>
              </w:rPr>
              <w:t>Baseline / Context</w:t>
            </w:r>
          </w:p>
        </w:tc>
        <w:tc>
          <w:tcPr>
            <w:tcW w:type="dxa" w:w="2736"/>
            <w:shd w:fill="1B365D"/>
            <w:tcMar>
              <w:top w:w="100" w:type="dxa"/>
              <w:bottom w:w="100" w:type="dxa"/>
              <w:left w:w="120" w:type="dxa"/>
              <w:right w:w="120" w:type="dxa"/>
            </w:tcMar>
          </w:tcPr>
          <w:p>
            <w:pPr>
              <w:spacing w:before="0" w:after="0"/>
              <w:jc w:val="left"/>
            </w:pPr>
            <w:r>
              <w:rPr>
                <w:rFonts w:ascii="Arial" w:hAnsi="Arial"/>
                <w:b/>
                <w:color w:val="FFFFFF"/>
                <w:sz w:val="18"/>
              </w:rPr>
              <w:t>Operational Impact</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B2B2B"/>
                <w:sz w:val="18"/>
              </w:rPr>
              <w:t>Test ROC-AUC</w:t>
            </w:r>
          </w:p>
        </w:tc>
        <w:tc>
          <w:tcPr>
            <w:tcW w:type="dxa" w:w="2016"/>
            <w:shd w:fill="FFFFFF"/>
            <w:tcMar>
              <w:top w:w="80" w:type="dxa"/>
              <w:bottom w:w="80" w:type="dxa"/>
              <w:left w:w="120" w:type="dxa"/>
              <w:right w:w="120" w:type="dxa"/>
            </w:tcMar>
          </w:tcPr>
          <w:p>
            <w:pPr>
              <w:spacing w:before="0" w:after="0"/>
              <w:jc w:val="right"/>
            </w:pPr>
            <w:r>
              <w:rPr>
                <w:rFonts w:ascii="Calibri" w:hAnsi="Calibri"/>
                <w:color w:val="2B2B2B"/>
                <w:sz w:val="18"/>
              </w:rPr>
              <w:t>0.7235</w:t>
            </w:r>
          </w:p>
        </w:tc>
        <w:tc>
          <w:tcPr>
            <w:tcW w:type="dxa" w:w="2016"/>
            <w:shd w:fill="FFFFFF"/>
            <w:tcMar>
              <w:top w:w="80" w:type="dxa"/>
              <w:bottom w:w="80" w:type="dxa"/>
              <w:left w:w="120" w:type="dxa"/>
              <w:right w:w="120" w:type="dxa"/>
            </w:tcMar>
          </w:tcPr>
          <w:p>
            <w:pPr>
              <w:spacing w:before="0" w:after="0"/>
              <w:jc w:val="left"/>
            </w:pPr>
            <w:r>
              <w:rPr>
                <w:rFonts w:ascii="Calibri" w:hAnsi="Calibri"/>
                <w:color w:val="2B2B2B"/>
                <w:sz w:val="18"/>
              </w:rPr>
              <w:t>0.5000 (Random Guess)</w:t>
            </w:r>
          </w:p>
        </w:tc>
        <w:tc>
          <w:tcPr>
            <w:tcW w:type="dxa" w:w="2736"/>
            <w:shd w:fill="FFFFFF"/>
            <w:tcMar>
              <w:top w:w="80" w:type="dxa"/>
              <w:bottom w:w="80" w:type="dxa"/>
              <w:left w:w="120" w:type="dxa"/>
              <w:right w:w="120" w:type="dxa"/>
            </w:tcMar>
          </w:tcPr>
          <w:p>
            <w:pPr>
              <w:spacing w:before="0" w:after="0"/>
              <w:jc w:val="left"/>
            </w:pPr>
            <w:r>
              <w:rPr>
                <w:rFonts w:ascii="Calibri" w:hAnsi="Calibri"/>
                <w:color w:val="2B2B2B"/>
                <w:sz w:val="18"/>
              </w:rPr>
              <w:t>Consistent discriminative power across facilities.</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2B2B2B"/>
                <w:sz w:val="18"/>
              </w:rPr>
              <w:t>Test PR-AUC (Average Precision)</w:t>
            </w:r>
          </w:p>
        </w:tc>
        <w:tc>
          <w:tcPr>
            <w:tcW w:type="dxa" w:w="2016"/>
            <w:shd w:fill="F8FAFC"/>
            <w:tcMar>
              <w:top w:w="80" w:type="dxa"/>
              <w:bottom w:w="80" w:type="dxa"/>
              <w:left w:w="120" w:type="dxa"/>
              <w:right w:w="120" w:type="dxa"/>
            </w:tcMar>
          </w:tcPr>
          <w:p>
            <w:pPr>
              <w:spacing w:before="0" w:after="0"/>
              <w:jc w:val="right"/>
            </w:pPr>
            <w:r>
              <w:rPr>
                <w:rFonts w:ascii="Calibri" w:hAnsi="Calibri"/>
                <w:color w:val="2B2B2B"/>
                <w:sz w:val="18"/>
              </w:rPr>
              <w:t>0.4417</w:t>
            </w:r>
          </w:p>
        </w:tc>
        <w:tc>
          <w:tcPr>
            <w:tcW w:type="dxa" w:w="2016"/>
            <w:shd w:fill="F8FAFC"/>
            <w:tcMar>
              <w:top w:w="80" w:type="dxa"/>
              <w:bottom w:w="80" w:type="dxa"/>
              <w:left w:w="120" w:type="dxa"/>
              <w:right w:w="120" w:type="dxa"/>
            </w:tcMar>
          </w:tcPr>
          <w:p>
            <w:pPr>
              <w:spacing w:before="0" w:after="0"/>
              <w:jc w:val="left"/>
            </w:pPr>
            <w:r>
              <w:rPr>
                <w:rFonts w:ascii="Calibri" w:hAnsi="Calibri"/>
                <w:color w:val="2B2B2B"/>
                <w:sz w:val="18"/>
              </w:rPr>
              <w:t>0.1750 (Unguided Base Rate)</w:t>
            </w:r>
          </w:p>
        </w:tc>
        <w:tc>
          <w:tcPr>
            <w:tcW w:type="dxa" w:w="2736"/>
            <w:shd w:fill="F8FAFC"/>
            <w:tcMar>
              <w:top w:w="80" w:type="dxa"/>
              <w:bottom w:w="80" w:type="dxa"/>
              <w:left w:w="120" w:type="dxa"/>
              <w:right w:w="120" w:type="dxa"/>
            </w:tcMar>
          </w:tcPr>
          <w:p>
            <w:pPr>
              <w:spacing w:before="0" w:after="0"/>
              <w:jc w:val="left"/>
            </w:pPr>
            <w:r>
              <w:rPr>
                <w:rFonts w:ascii="Calibri" w:hAnsi="Calibri"/>
                <w:color w:val="2B2B2B"/>
                <w:sz w:val="18"/>
              </w:rPr>
              <w:t>2.52x enrichment across the entire test curve.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B2B2B"/>
                <w:sz w:val="18"/>
              </w:rPr>
              <w:t>Operating Point Threshold</w:t>
            </w:r>
          </w:p>
        </w:tc>
        <w:tc>
          <w:tcPr>
            <w:tcW w:type="dxa" w:w="2016"/>
            <w:shd w:fill="FFFFFF"/>
            <w:tcMar>
              <w:top w:w="80" w:type="dxa"/>
              <w:bottom w:w="80" w:type="dxa"/>
              <w:left w:w="120" w:type="dxa"/>
              <w:right w:w="120" w:type="dxa"/>
            </w:tcMar>
          </w:tcPr>
          <w:p>
            <w:pPr>
              <w:spacing w:before="0" w:after="0"/>
              <w:jc w:val="right"/>
            </w:pPr>
            <w:r>
              <w:rPr>
                <w:rFonts w:ascii="Calibri" w:hAnsi="Calibri"/>
                <w:color w:val="2B2B2B"/>
                <w:sz w:val="18"/>
              </w:rPr>
              <w:t>0.644081</w:t>
            </w:r>
          </w:p>
        </w:tc>
        <w:tc>
          <w:tcPr>
            <w:tcW w:type="dxa" w:w="2016"/>
            <w:shd w:fill="FFFFFF"/>
            <w:tcMar>
              <w:top w:w="80" w:type="dxa"/>
              <w:bottom w:w="80" w:type="dxa"/>
              <w:left w:w="120" w:type="dxa"/>
              <w:right w:w="120" w:type="dxa"/>
            </w:tcMar>
          </w:tcPr>
          <w:p>
            <w:pPr>
              <w:spacing w:before="0" w:after="0"/>
              <w:jc w:val="left"/>
            </w:pPr>
            <w:r>
              <w:rPr>
                <w:rFonts w:ascii="Calibri" w:hAnsi="Calibri"/>
                <w:color w:val="2B2B2B"/>
                <w:sz w:val="18"/>
              </w:rPr>
              <w:t>Capacity-matched mode</w:t>
            </w:r>
          </w:p>
        </w:tc>
        <w:tc>
          <w:tcPr>
            <w:tcW w:type="dxa" w:w="2736"/>
            <w:shd w:fill="FFFFFF"/>
            <w:tcMar>
              <w:top w:w="80" w:type="dxa"/>
              <w:bottom w:w="80" w:type="dxa"/>
              <w:left w:w="120" w:type="dxa"/>
              <w:right w:w="120" w:type="dxa"/>
            </w:tcMar>
          </w:tcPr>
          <w:p>
            <w:pPr>
              <w:spacing w:before="0" w:after="0"/>
              <w:jc w:val="left"/>
            </w:pPr>
            <w:r>
              <w:rPr>
                <w:rFonts w:ascii="Calibri" w:hAnsi="Calibri"/>
                <w:color w:val="2B2B2B"/>
                <w:sz w:val="18"/>
              </w:rPr>
              <w:t>Selected to match daily audit investigator quotas.</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2B2B2B"/>
                <w:sz w:val="18"/>
              </w:rPr>
              <w:t>Precision at Operating Point</w:t>
            </w:r>
          </w:p>
        </w:tc>
        <w:tc>
          <w:tcPr>
            <w:tcW w:type="dxa" w:w="2016"/>
            <w:shd w:fill="F8FAFC"/>
            <w:tcMar>
              <w:top w:w="80" w:type="dxa"/>
              <w:bottom w:w="80" w:type="dxa"/>
              <w:left w:w="120" w:type="dxa"/>
              <w:right w:w="120" w:type="dxa"/>
            </w:tcMar>
          </w:tcPr>
          <w:p>
            <w:pPr>
              <w:spacing w:before="0" w:after="0"/>
              <w:jc w:val="right"/>
            </w:pPr>
            <w:r>
              <w:rPr>
                <w:rFonts w:ascii="Calibri" w:hAnsi="Calibri"/>
                <w:color w:val="2B2B2B"/>
                <w:sz w:val="18"/>
              </w:rPr>
              <w:t>57.44%</w:t>
            </w:r>
          </w:p>
        </w:tc>
        <w:tc>
          <w:tcPr>
            <w:tcW w:type="dxa" w:w="2016"/>
            <w:shd w:fill="F8FAFC"/>
            <w:tcMar>
              <w:top w:w="80" w:type="dxa"/>
              <w:bottom w:w="80" w:type="dxa"/>
              <w:left w:w="120" w:type="dxa"/>
              <w:right w:w="120" w:type="dxa"/>
            </w:tcMar>
          </w:tcPr>
          <w:p>
            <w:pPr>
              <w:spacing w:before="0" w:after="0"/>
              <w:jc w:val="left"/>
            </w:pPr>
            <w:r>
              <w:rPr>
                <w:rFonts w:ascii="Calibri" w:hAnsi="Calibri"/>
                <w:color w:val="2B2B2B"/>
                <w:sz w:val="18"/>
              </w:rPr>
              <w:t>17.50% base rate</w:t>
            </w:r>
          </w:p>
        </w:tc>
        <w:tc>
          <w:tcPr>
            <w:tcW w:type="dxa" w:w="2736"/>
            <w:shd w:fill="F8FAFC"/>
            <w:tcMar>
              <w:top w:w="80" w:type="dxa"/>
              <w:bottom w:w="80" w:type="dxa"/>
              <w:left w:w="120" w:type="dxa"/>
              <w:right w:w="120" w:type="dxa"/>
            </w:tcMar>
          </w:tcPr>
          <w:p>
            <w:pPr>
              <w:spacing w:before="0" w:after="0"/>
              <w:jc w:val="left"/>
            </w:pPr>
            <w:r>
              <w:rPr>
                <w:rFonts w:ascii="Calibri" w:hAnsi="Calibri"/>
                <w:color w:val="2B2B2B"/>
                <w:sz w:val="18"/>
              </w:rPr>
              <w:t>3.28x lift: nearly 6 in 10 alerted claims are invalid.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B2B2B"/>
                <w:sz w:val="18"/>
              </w:rPr>
              <w:t>Recall at Operating Point</w:t>
            </w:r>
          </w:p>
        </w:tc>
        <w:tc>
          <w:tcPr>
            <w:tcW w:type="dxa" w:w="2016"/>
            <w:shd w:fill="FFFFFF"/>
            <w:tcMar>
              <w:top w:w="80" w:type="dxa"/>
              <w:bottom w:w="80" w:type="dxa"/>
              <w:left w:w="120" w:type="dxa"/>
              <w:right w:w="120" w:type="dxa"/>
            </w:tcMar>
          </w:tcPr>
          <w:p>
            <w:pPr>
              <w:spacing w:before="0" w:after="0"/>
              <w:jc w:val="right"/>
            </w:pPr>
            <w:r>
              <w:rPr>
                <w:rFonts w:ascii="Calibri" w:hAnsi="Calibri"/>
                <w:color w:val="2B2B2B"/>
                <w:sz w:val="18"/>
              </w:rPr>
              <w:t>14.79%</w:t>
            </w:r>
          </w:p>
        </w:tc>
        <w:tc>
          <w:tcPr>
            <w:tcW w:type="dxa" w:w="2016"/>
            <w:shd w:fill="FFFFFF"/>
            <w:tcMar>
              <w:top w:w="80" w:type="dxa"/>
              <w:bottom w:w="80" w:type="dxa"/>
              <w:left w:w="120" w:type="dxa"/>
              <w:right w:w="120" w:type="dxa"/>
            </w:tcMar>
          </w:tcPr>
          <w:p>
            <w:pPr>
              <w:spacing w:before="0" w:after="0"/>
              <w:jc w:val="left"/>
            </w:pPr>
            <w:r>
              <w:rPr>
                <w:rFonts w:ascii="Calibri" w:hAnsi="Calibri"/>
                <w:color w:val="2B2B2B"/>
                <w:sz w:val="18"/>
              </w:rPr>
              <w:t>--</w:t>
            </w:r>
          </w:p>
        </w:tc>
        <w:tc>
          <w:tcPr>
            <w:tcW w:type="dxa" w:w="2736"/>
            <w:shd w:fill="FFFFFF"/>
            <w:tcMar>
              <w:top w:w="80" w:type="dxa"/>
              <w:bottom w:w="80" w:type="dxa"/>
              <w:left w:w="120" w:type="dxa"/>
              <w:right w:w="120" w:type="dxa"/>
            </w:tcMar>
          </w:tcPr>
          <w:p>
            <w:pPr>
              <w:spacing w:before="0" w:after="0"/>
              <w:jc w:val="left"/>
            </w:pPr>
            <w:r>
              <w:rPr>
                <w:rFonts w:ascii="Calibri" w:hAnsi="Calibri"/>
                <w:color w:val="2B2B2B"/>
                <w:sz w:val="18"/>
              </w:rPr>
              <w:t>Directly intercepts 10,812 fraudulent claims.</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2B2B2B"/>
                <w:sz w:val="18"/>
              </w:rPr>
              <w:t>Alert Volume / Workload</w:t>
            </w:r>
          </w:p>
        </w:tc>
        <w:tc>
          <w:tcPr>
            <w:tcW w:type="dxa" w:w="2016"/>
            <w:shd w:fill="F8FAFC"/>
            <w:tcMar>
              <w:top w:w="80" w:type="dxa"/>
              <w:bottom w:w="80" w:type="dxa"/>
              <w:left w:w="120" w:type="dxa"/>
              <w:right w:w="120" w:type="dxa"/>
            </w:tcMar>
          </w:tcPr>
          <w:p>
            <w:pPr>
              <w:spacing w:before="0" w:after="0"/>
              <w:jc w:val="right"/>
            </w:pPr>
            <w:r>
              <w:rPr>
                <w:rFonts w:ascii="Calibri" w:hAnsi="Calibri"/>
                <w:color w:val="2B2B2B"/>
                <w:sz w:val="18"/>
              </w:rPr>
              <w:t>4.5054% (18,824 claims)</w:t>
            </w:r>
          </w:p>
        </w:tc>
        <w:tc>
          <w:tcPr>
            <w:tcW w:type="dxa" w:w="2016"/>
            <w:shd w:fill="F8FAFC"/>
            <w:tcMar>
              <w:top w:w="80" w:type="dxa"/>
              <w:bottom w:w="80" w:type="dxa"/>
              <w:left w:w="120" w:type="dxa"/>
              <w:right w:w="120" w:type="dxa"/>
            </w:tcMar>
          </w:tcPr>
          <w:p>
            <w:pPr>
              <w:spacing w:before="0" w:after="0"/>
              <w:jc w:val="left"/>
            </w:pPr>
            <w:r>
              <w:rPr>
                <w:rFonts w:ascii="Calibri" w:hAnsi="Calibri"/>
                <w:color w:val="2B2B2B"/>
                <w:sz w:val="18"/>
              </w:rPr>
              <w:t>100% full ledger</w:t>
            </w:r>
          </w:p>
        </w:tc>
        <w:tc>
          <w:tcPr>
            <w:tcW w:type="dxa" w:w="2736"/>
            <w:shd w:fill="F8FAFC"/>
            <w:tcMar>
              <w:top w:w="80" w:type="dxa"/>
              <w:bottom w:w="80" w:type="dxa"/>
              <w:left w:w="120" w:type="dxa"/>
              <w:right w:w="120" w:type="dxa"/>
            </w:tcMar>
          </w:tcPr>
          <w:p>
            <w:pPr>
              <w:spacing w:before="0" w:after="0"/>
              <w:jc w:val="left"/>
            </w:pPr>
            <w:r>
              <w:rPr>
                <w:rFonts w:ascii="Calibri" w:hAnsi="Calibri"/>
                <w:color w:val="2B2B2B"/>
                <w:sz w:val="18"/>
              </w:rPr>
              <w:t>Reduces auditor manual caseload by over 95%.</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B2B2B"/>
                <w:sz w:val="18"/>
              </w:rPr>
              <w:t>Net Financial Recovery</w:t>
            </w:r>
          </w:p>
        </w:tc>
        <w:tc>
          <w:tcPr>
            <w:tcW w:type="dxa" w:w="2016"/>
            <w:shd w:fill="FFFFFF"/>
            <w:tcMar>
              <w:top w:w="80" w:type="dxa"/>
              <w:bottom w:w="80" w:type="dxa"/>
              <w:left w:w="120" w:type="dxa"/>
              <w:right w:w="120" w:type="dxa"/>
            </w:tcMar>
          </w:tcPr>
          <w:p>
            <w:pPr>
              <w:spacing w:before="0" w:after="0"/>
              <w:jc w:val="right"/>
            </w:pPr>
            <w:r>
              <w:rPr>
                <w:rFonts w:ascii="Calibri" w:hAnsi="Calibri"/>
                <w:color w:val="2B2B2B"/>
                <w:sz w:val="18"/>
              </w:rPr>
              <w:t>146,156,000 XAF</w:t>
            </w:r>
          </w:p>
        </w:tc>
        <w:tc>
          <w:tcPr>
            <w:tcW w:type="dxa" w:w="2016"/>
            <w:shd w:fill="FFFFFF"/>
            <w:tcMar>
              <w:top w:w="80" w:type="dxa"/>
              <w:bottom w:w="80" w:type="dxa"/>
              <w:left w:w="120" w:type="dxa"/>
              <w:right w:w="120" w:type="dxa"/>
            </w:tcMar>
          </w:tcPr>
          <w:p>
            <w:pPr>
              <w:spacing w:before="0" w:after="0"/>
              <w:jc w:val="left"/>
            </w:pPr>
            <w:r>
              <w:rPr>
                <w:rFonts w:ascii="Calibri" w:hAnsi="Calibri"/>
                <w:color w:val="2B2B2B"/>
                <w:sz w:val="18"/>
              </w:rPr>
              <w:t>0 XAF unguided</w:t>
            </w:r>
          </w:p>
        </w:tc>
        <w:tc>
          <w:tcPr>
            <w:tcW w:type="dxa" w:w="2736"/>
            <w:shd w:fill="FFFFFF"/>
            <w:tcMar>
              <w:top w:w="80" w:type="dxa"/>
              <w:bottom w:w="80" w:type="dxa"/>
              <w:left w:w="120" w:type="dxa"/>
              <w:right w:w="120" w:type="dxa"/>
            </w:tcMar>
          </w:tcPr>
          <w:p>
            <w:pPr>
              <w:spacing w:before="0" w:after="0"/>
              <w:jc w:val="left"/>
            </w:pPr>
            <w:r>
              <w:rPr>
                <w:rFonts w:ascii="Calibri" w:hAnsi="Calibri"/>
                <w:color w:val="2B2B2B"/>
                <w:sz w:val="18"/>
              </w:rPr>
              <w:t>146 Million XAF recovered in improper billing.</w:t>
            </w:r>
          </w:p>
        </w:tc>
      </w:tr>
    </w:tbl>
    <w:p>
      <w:pPr>
        <w:spacing w:after="120"/>
      </w:pPr>
    </w:p>
    <w:p>
      <w:pPr>
        <w:keepNext/>
        <w:spacing w:before="240" w:after="80"/>
      </w:pPr>
      <w:r>
        <w:rPr>
          <w:rFonts w:ascii="Arial" w:hAnsi="Arial"/>
          <w:b/>
          <w:color w:val="008080"/>
          <w:sz w:val="24"/>
        </w:rPr>
        <w:t>Precision@K Audit Yield (Top-Ranked Slices)</w:t>
      </w:r>
    </w:p>
    <w:p>
      <w:pPr>
        <w:spacing w:before="0" w:after="120" w:line="276" w:lineRule="auto"/>
      </w:pPr>
      <w:r>
        <w:rPr>
          <w:rFonts w:ascii="Calibri" w:hAnsi="Calibri"/>
          <w:color w:val="333333"/>
          <w:sz w:val="20"/>
        </w:rPr>
        <w:t>For auditing teams with strictly constrained daily capacity, the model's highest-percentile anomaly tiers demonstrate virtually flawless precision:</w:t>
      </w:r>
    </w:p>
    <w:tbl>
      <w:tblPr>
        <w:tblW w:type="auto" w:w="0"/>
        <w:jc w:val="center"/>
        <w:tblLayout w:type="fixed"/>
        <w:tblLook w:firstColumn="1" w:firstRow="1" w:lastColumn="0" w:lastRow="0" w:noHBand="0" w:noVBand="1" w:val="04A0"/>
        <w:tblBorders>
          <w:top w:val="single" w:sz="4" w:space="0" w:color="D3D3D3"/>
          <w:bottom w:val="single" w:sz="8" w:space="0" w:color="1B365D"/>
          <w:insideH w:val="single" w:sz="4" w:space="0" w:color="D3D3D3"/>
          <w:insideV w:val="none" w:sz="0" w:space="0" w:color="auto"/>
          <w:left w:val="none" w:sz="0" w:space="0" w:color="auto"/>
          <w:right w:val="none" w:sz="0" w:space="0" w:color="auto"/>
        </w:tblBorders>
      </w:tblPr>
      <w:tblGrid>
        <w:gridCol w:w="1560"/>
        <w:gridCol w:w="1560"/>
        <w:gridCol w:w="1560"/>
        <w:gridCol w:w="1560"/>
        <w:gridCol w:w="1560"/>
        <w:gridCol w:w="1560"/>
      </w:tblGrid>
      <w:tr>
        <w:trPr>
          <w:tblHeader/>
        </w:trPr>
        <w:tc>
          <w:tcPr>
            <w:tcW w:type="dxa" w:w="1440"/>
            <w:shd w:fill="1B365D"/>
            <w:tcMar>
              <w:top w:w="100" w:type="dxa"/>
              <w:bottom w:w="100" w:type="dxa"/>
              <w:left w:w="120" w:type="dxa"/>
              <w:right w:w="120" w:type="dxa"/>
            </w:tcMar>
          </w:tcPr>
          <w:p>
            <w:pPr>
              <w:spacing w:before="0" w:after="0"/>
              <w:jc w:val="left"/>
            </w:pPr>
            <w:r>
              <w:rPr>
                <w:rFonts w:ascii="Arial" w:hAnsi="Arial"/>
                <w:b/>
                <w:color w:val="FFFFFF"/>
                <w:sz w:val="18"/>
              </w:rPr>
              <w:t>Top-K Slice</w:t>
            </w:r>
          </w:p>
        </w:tc>
        <w:tc>
          <w:tcPr>
            <w:tcW w:type="dxa" w:w="1584"/>
            <w:shd w:fill="1B365D"/>
            <w:tcMar>
              <w:top w:w="100" w:type="dxa"/>
              <w:bottom w:w="100" w:type="dxa"/>
              <w:left w:w="120" w:type="dxa"/>
              <w:right w:w="120" w:type="dxa"/>
            </w:tcMar>
          </w:tcPr>
          <w:p>
            <w:pPr>
              <w:spacing w:before="0" w:after="0"/>
              <w:jc w:val="right"/>
            </w:pPr>
            <w:r>
              <w:rPr>
                <w:rFonts w:ascii="Arial" w:hAnsi="Arial"/>
                <w:b/>
                <w:color w:val="FFFFFF"/>
                <w:sz w:val="18"/>
              </w:rPr>
              <w:t>Claims Examined</w:t>
            </w:r>
          </w:p>
        </w:tc>
        <w:tc>
          <w:tcPr>
            <w:tcW w:type="dxa" w:w="1584"/>
            <w:shd w:fill="1B365D"/>
            <w:tcMar>
              <w:top w:w="100" w:type="dxa"/>
              <w:bottom w:w="100" w:type="dxa"/>
              <w:left w:w="120" w:type="dxa"/>
              <w:right w:w="120" w:type="dxa"/>
            </w:tcMar>
          </w:tcPr>
          <w:p>
            <w:pPr>
              <w:spacing w:before="0" w:after="0"/>
              <w:jc w:val="right"/>
            </w:pPr>
            <w:r>
              <w:rPr>
                <w:rFonts w:ascii="Arial" w:hAnsi="Arial"/>
                <w:b/>
                <w:color w:val="FFFFFF"/>
                <w:sz w:val="18"/>
              </w:rPr>
              <w:t>Confirmed Invalid</w:t>
            </w:r>
          </w:p>
        </w:tc>
        <w:tc>
          <w:tcPr>
            <w:tcW w:type="dxa" w:w="1584"/>
            <w:shd w:fill="1B365D"/>
            <w:tcMar>
              <w:top w:w="100" w:type="dxa"/>
              <w:bottom w:w="100" w:type="dxa"/>
              <w:left w:w="120" w:type="dxa"/>
              <w:right w:w="120" w:type="dxa"/>
            </w:tcMar>
          </w:tcPr>
          <w:p>
            <w:pPr>
              <w:spacing w:before="0" w:after="0"/>
              <w:jc w:val="right"/>
            </w:pPr>
            <w:r>
              <w:rPr>
                <w:rFonts w:ascii="Arial" w:hAnsi="Arial"/>
                <w:b/>
                <w:color w:val="FFFFFF"/>
                <w:sz w:val="18"/>
              </w:rPr>
              <w:t>Audit Precision</w:t>
            </w:r>
          </w:p>
        </w:tc>
        <w:tc>
          <w:tcPr>
            <w:tcW w:type="dxa" w:w="1296"/>
            <w:shd w:fill="1B365D"/>
            <w:tcMar>
              <w:top w:w="100" w:type="dxa"/>
              <w:bottom w:w="100" w:type="dxa"/>
              <w:left w:w="120" w:type="dxa"/>
              <w:right w:w="120" w:type="dxa"/>
            </w:tcMar>
          </w:tcPr>
          <w:p>
            <w:pPr>
              <w:spacing w:before="0" w:after="0"/>
              <w:jc w:val="right"/>
            </w:pPr>
            <w:r>
              <w:rPr>
                <w:rFonts w:ascii="Arial" w:hAnsi="Arial"/>
                <w:b/>
                <w:color w:val="FFFFFF"/>
                <w:sz w:val="18"/>
              </w:rPr>
              <w:t>Recall</w:t>
            </w:r>
          </w:p>
        </w:tc>
        <w:tc>
          <w:tcPr>
            <w:tcW w:type="dxa" w:w="1872"/>
            <w:shd w:fill="1B365D"/>
            <w:tcMar>
              <w:top w:w="100" w:type="dxa"/>
              <w:bottom w:w="100" w:type="dxa"/>
              <w:left w:w="120" w:type="dxa"/>
              <w:right w:w="120" w:type="dxa"/>
            </w:tcMar>
          </w:tcPr>
          <w:p>
            <w:pPr>
              <w:spacing w:before="0" w:after="0"/>
              <w:jc w:val="left"/>
            </w:pPr>
            <w:r>
              <w:rPr>
                <w:rFonts w:ascii="Arial" w:hAnsi="Arial"/>
                <w:b/>
                <w:color w:val="FFFFFF"/>
                <w:sz w:val="18"/>
              </w:rPr>
              <w:t>Enrichment Lift</w:t>
            </w:r>
          </w:p>
        </w:tc>
      </w:tr>
      <w:tr>
        <w:tc>
          <w:tcPr>
            <w:tcW w:type="dxa" w:w="1440"/>
            <w:shd w:fill="FFFFFF"/>
            <w:tcMar>
              <w:top w:w="80" w:type="dxa"/>
              <w:bottom w:w="80" w:type="dxa"/>
              <w:left w:w="120" w:type="dxa"/>
              <w:right w:w="120" w:type="dxa"/>
            </w:tcMar>
          </w:tcPr>
          <w:p>
            <w:pPr>
              <w:spacing w:before="0" w:after="0"/>
              <w:jc w:val="left"/>
            </w:pPr>
            <w:r>
              <w:rPr>
                <w:rFonts w:ascii="Calibri" w:hAnsi="Calibri"/>
                <w:color w:val="2B2B2B"/>
                <w:sz w:val="18"/>
              </w:rPr>
              <w:t>Top 0.1%</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417</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410</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98.32%</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0.56%</w:t>
            </w:r>
          </w:p>
        </w:tc>
        <w:tc>
          <w:tcPr>
            <w:tcW w:type="dxa" w:w="1872"/>
            <w:shd w:fill="FFFFFF"/>
            <w:tcMar>
              <w:top w:w="80" w:type="dxa"/>
              <w:bottom w:w="80" w:type="dxa"/>
              <w:left w:w="120" w:type="dxa"/>
              <w:right w:w="120" w:type="dxa"/>
            </w:tcMar>
          </w:tcPr>
          <w:p>
            <w:pPr>
              <w:spacing w:before="0" w:after="0"/>
              <w:jc w:val="left"/>
            </w:pPr>
            <w:r>
              <w:rPr>
                <w:rFonts w:ascii="Calibri" w:hAnsi="Calibri"/>
                <w:color w:val="2B2B2B"/>
                <w:sz w:val="18"/>
              </w:rPr>
              <w:t>6.22x vs Pop (5.62x Test)</w:t>
            </w:r>
          </w:p>
        </w:tc>
      </w:tr>
      <w:tr>
        <w:tc>
          <w:tcPr>
            <w:tcW w:type="dxa" w:w="1440"/>
            <w:shd w:fill="F8FAFC"/>
            <w:tcMar>
              <w:top w:w="80" w:type="dxa"/>
              <w:bottom w:w="80" w:type="dxa"/>
              <w:left w:w="120" w:type="dxa"/>
              <w:right w:w="120" w:type="dxa"/>
            </w:tcMar>
          </w:tcPr>
          <w:p>
            <w:pPr>
              <w:spacing w:before="0" w:after="0"/>
              <w:jc w:val="left"/>
            </w:pPr>
            <w:r>
              <w:rPr>
                <w:rFonts w:ascii="Calibri" w:hAnsi="Calibri"/>
                <w:color w:val="2B2B2B"/>
                <w:sz w:val="18"/>
              </w:rPr>
              <w:t>Top 0.5%</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2,089</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1,839</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88.03%</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2.52%</w:t>
            </w:r>
          </w:p>
        </w:tc>
        <w:tc>
          <w:tcPr>
            <w:tcW w:type="dxa" w:w="1872"/>
            <w:shd w:fill="F8FAFC"/>
            <w:tcMar>
              <w:top w:w="80" w:type="dxa"/>
              <w:bottom w:w="80" w:type="dxa"/>
              <w:left w:w="120" w:type="dxa"/>
              <w:right w:w="120" w:type="dxa"/>
            </w:tcMar>
          </w:tcPr>
          <w:p>
            <w:pPr>
              <w:spacing w:before="0" w:after="0"/>
              <w:jc w:val="left"/>
            </w:pPr>
            <w:r>
              <w:rPr>
                <w:rFonts w:ascii="Calibri" w:hAnsi="Calibri"/>
                <w:color w:val="2B2B2B"/>
                <w:sz w:val="18"/>
              </w:rPr>
              <w:t>5.57x vs Pop (5.03x Test)</w:t>
            </w:r>
          </w:p>
        </w:tc>
      </w:tr>
      <w:tr>
        <w:tc>
          <w:tcPr>
            <w:tcW w:type="dxa" w:w="1440"/>
            <w:shd w:fill="FFFFFF"/>
            <w:tcMar>
              <w:top w:w="80" w:type="dxa"/>
              <w:bottom w:w="80" w:type="dxa"/>
              <w:left w:w="120" w:type="dxa"/>
              <w:right w:w="120" w:type="dxa"/>
            </w:tcMar>
          </w:tcPr>
          <w:p>
            <w:pPr>
              <w:spacing w:before="0" w:after="0"/>
              <w:jc w:val="left"/>
            </w:pPr>
            <w:r>
              <w:rPr>
                <w:rFonts w:ascii="Calibri" w:hAnsi="Calibri"/>
                <w:color w:val="2B2B2B"/>
                <w:sz w:val="18"/>
              </w:rPr>
              <w:t>Top 1.0%</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4,178</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3,928</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94.02%</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5.37%</w:t>
            </w:r>
          </w:p>
        </w:tc>
        <w:tc>
          <w:tcPr>
            <w:tcW w:type="dxa" w:w="1872"/>
            <w:shd w:fill="FFFFFF"/>
            <w:tcMar>
              <w:top w:w="80" w:type="dxa"/>
              <w:bottom w:w="80" w:type="dxa"/>
              <w:left w:w="120" w:type="dxa"/>
              <w:right w:w="120" w:type="dxa"/>
            </w:tcMar>
          </w:tcPr>
          <w:p>
            <w:pPr>
              <w:spacing w:before="0" w:after="0"/>
              <w:jc w:val="left"/>
            </w:pPr>
            <w:r>
              <w:rPr>
                <w:rFonts w:ascii="Calibri" w:hAnsi="Calibri"/>
                <w:color w:val="2B2B2B"/>
                <w:sz w:val="18"/>
              </w:rPr>
              <w:t>5.94x vs Pop (5.37x Test)</w:t>
            </w:r>
          </w:p>
        </w:tc>
      </w:tr>
      <w:tr>
        <w:tc>
          <w:tcPr>
            <w:tcW w:type="dxa" w:w="1440"/>
            <w:shd w:fill="F8FAFC"/>
            <w:tcMar>
              <w:top w:w="80" w:type="dxa"/>
              <w:bottom w:w="80" w:type="dxa"/>
              <w:left w:w="120" w:type="dxa"/>
              <w:right w:w="120" w:type="dxa"/>
            </w:tcMar>
          </w:tcPr>
          <w:p>
            <w:pPr>
              <w:spacing w:before="0" w:after="0"/>
              <w:jc w:val="left"/>
            </w:pPr>
            <w:r>
              <w:rPr>
                <w:rFonts w:ascii="Calibri" w:hAnsi="Calibri"/>
                <w:color w:val="2B2B2B"/>
                <w:sz w:val="18"/>
              </w:rPr>
              <w:t>Top 2.0%</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8,356</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6,562</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78.53%</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8.97%</w:t>
            </w:r>
          </w:p>
        </w:tc>
        <w:tc>
          <w:tcPr>
            <w:tcW w:type="dxa" w:w="1872"/>
            <w:shd w:fill="F8FAFC"/>
            <w:tcMar>
              <w:top w:w="80" w:type="dxa"/>
              <w:bottom w:w="80" w:type="dxa"/>
              <w:left w:w="120" w:type="dxa"/>
              <w:right w:w="120" w:type="dxa"/>
            </w:tcMar>
          </w:tcPr>
          <w:p>
            <w:pPr>
              <w:spacing w:before="0" w:after="0"/>
              <w:jc w:val="left"/>
            </w:pPr>
            <w:r>
              <w:rPr>
                <w:rFonts w:ascii="Calibri" w:hAnsi="Calibri"/>
                <w:color w:val="2B2B2B"/>
                <w:sz w:val="18"/>
              </w:rPr>
              <w:t>4.97x vs Pop (4.49x Test)</w:t>
            </w:r>
          </w:p>
        </w:tc>
      </w:tr>
      <w:tr>
        <w:tc>
          <w:tcPr>
            <w:tcW w:type="dxa" w:w="1440"/>
            <w:shd w:fill="FFFFFF"/>
            <w:tcMar>
              <w:top w:w="80" w:type="dxa"/>
              <w:bottom w:w="80" w:type="dxa"/>
              <w:left w:w="120" w:type="dxa"/>
              <w:right w:w="120" w:type="dxa"/>
            </w:tcMar>
          </w:tcPr>
          <w:p>
            <w:pPr>
              <w:spacing w:before="0" w:after="0"/>
              <w:jc w:val="left"/>
            </w:pPr>
            <w:r>
              <w:rPr>
                <w:rFonts w:ascii="Calibri" w:hAnsi="Calibri"/>
                <w:color w:val="2B2B2B"/>
                <w:sz w:val="18"/>
              </w:rPr>
              <w:t>Top 5.0%</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20,890</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11,460</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54.86%</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15.67%</w:t>
            </w:r>
          </w:p>
        </w:tc>
        <w:tc>
          <w:tcPr>
            <w:tcW w:type="dxa" w:w="1872"/>
            <w:shd w:fill="FFFFFF"/>
            <w:tcMar>
              <w:top w:w="80" w:type="dxa"/>
              <w:bottom w:w="80" w:type="dxa"/>
              <w:left w:w="120" w:type="dxa"/>
              <w:right w:w="120" w:type="dxa"/>
            </w:tcMar>
          </w:tcPr>
          <w:p>
            <w:pPr>
              <w:spacing w:before="0" w:after="0"/>
              <w:jc w:val="left"/>
            </w:pPr>
            <w:r>
              <w:rPr>
                <w:rFonts w:ascii="Calibri" w:hAnsi="Calibri"/>
                <w:color w:val="2B2B2B"/>
                <w:sz w:val="18"/>
              </w:rPr>
              <w:t>3.47x vs Pop (3.13x Test)</w:t>
            </w:r>
          </w:p>
        </w:tc>
      </w:tr>
      <w:tr>
        <w:tc>
          <w:tcPr>
            <w:tcW w:type="dxa" w:w="1440"/>
            <w:shd w:fill="F8FAFC"/>
            <w:tcMar>
              <w:top w:w="80" w:type="dxa"/>
              <w:bottom w:w="80" w:type="dxa"/>
              <w:left w:w="120" w:type="dxa"/>
              <w:right w:w="120" w:type="dxa"/>
            </w:tcMar>
          </w:tcPr>
          <w:p>
            <w:pPr>
              <w:spacing w:before="0" w:after="0"/>
              <w:jc w:val="left"/>
            </w:pPr>
            <w:r>
              <w:rPr>
                <w:rFonts w:ascii="Calibri" w:hAnsi="Calibri"/>
                <w:color w:val="2B2B2B"/>
                <w:sz w:val="18"/>
              </w:rPr>
              <w:t>Top 10.0%</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41,781</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24,309</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58.18%</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33.25%</w:t>
            </w:r>
          </w:p>
        </w:tc>
        <w:tc>
          <w:tcPr>
            <w:tcW w:type="dxa" w:w="1872"/>
            <w:shd w:fill="F8FAFC"/>
            <w:tcMar>
              <w:top w:w="80" w:type="dxa"/>
              <w:bottom w:w="80" w:type="dxa"/>
              <w:left w:w="120" w:type="dxa"/>
              <w:right w:w="120" w:type="dxa"/>
            </w:tcMar>
          </w:tcPr>
          <w:p>
            <w:pPr>
              <w:spacing w:before="0" w:after="0"/>
              <w:jc w:val="left"/>
            </w:pPr>
            <w:r>
              <w:rPr>
                <w:rFonts w:ascii="Calibri" w:hAnsi="Calibri"/>
                <w:color w:val="2B2B2B"/>
                <w:sz w:val="18"/>
              </w:rPr>
              <w:t>3.68x vs Pop (3.32x Test)</w:t>
            </w:r>
          </w:p>
        </w:tc>
      </w:tr>
    </w:tbl>
    <w:p>
      <w:pPr>
        <w:spacing w:after="120"/>
      </w:pPr>
    </w:p>
    <w:p>
      <w:pPr>
        <w:spacing w:before="160" w:after="80"/>
        <w:jc w:val="center"/>
      </w:pPr>
      <w:r>
        <w:drawing>
          <wp:inline xmlns:a="http://schemas.openxmlformats.org/drawingml/2006/main" xmlns:pic="http://schemas.openxmlformats.org/drawingml/2006/picture">
            <wp:extent cx="5486400" cy="2873829"/>
            <wp:docPr id="1" name="Picture 1"/>
            <wp:cNvGraphicFramePr>
              <a:graphicFrameLocks noChangeAspect="1"/>
            </wp:cNvGraphicFramePr>
            <a:graphic>
              <a:graphicData uri="http://schemas.openxmlformats.org/drawingml/2006/picture">
                <pic:pic>
                  <pic:nvPicPr>
                    <pic:cNvPr id="0" name="isolation_forest_curves.png"/>
                    <pic:cNvPicPr/>
                  </pic:nvPicPr>
                  <pic:blipFill>
                    <a:blip r:embed="rId9"/>
                    <a:stretch>
                      <a:fillRect/>
                    </a:stretch>
                  </pic:blipFill>
                  <pic:spPr>
                    <a:xfrm>
                      <a:off x="0" y="0"/>
                      <a:ext cx="5486400" cy="2873829"/>
                    </a:xfrm>
                    <a:prstGeom prst="rect"/>
                  </pic:spPr>
                </pic:pic>
              </a:graphicData>
            </a:graphic>
          </wp:inline>
        </w:drawing>
      </w:r>
    </w:p>
    <w:p>
      <w:pPr>
        <w:spacing w:before="0" w:after="200"/>
        <w:jc w:val="center"/>
      </w:pPr>
      <w:r>
        <w:rPr>
          <w:rFonts w:ascii="Calibri" w:hAnsi="Calibri"/>
          <w:i/>
          <w:color w:val="666666"/>
          <w:sz w:val="17"/>
        </w:rPr>
        <w:t>Figure 1: Isolation Forest (A) Path Length Anomaly Distribution, (B) Precision@K Yield, (C) ROC Curve, and (D) PR Curve.</w:t>
      </w:r>
    </w:p>
    <w:p>
      <w:pPr>
        <w:keepNext/>
        <w:spacing w:before="320" w:after="120"/>
      </w:pPr>
      <w:r>
        <w:rPr>
          <w:rFonts w:ascii="Arial" w:hAnsi="Arial"/>
          <w:b/>
          <w:color w:val="1B365D"/>
          <w:sz w:val="28"/>
        </w:rPr>
        <w:t>4. TreeSHAP Feature Explainability &amp; Leakage Screen</w:t>
      </w:r>
    </w:p>
    <w:p>
      <w:pPr>
        <w:spacing w:before="0" w:after="120" w:line="276" w:lineRule="auto"/>
      </w:pPr>
      <w:r>
        <w:rPr>
          <w:rFonts w:ascii="Calibri" w:hAnsi="Calibri"/>
          <w:color w:val="333333"/>
          <w:sz w:val="20"/>
        </w:rPr>
        <w:t>Using shap.TreeExplainer, we computed exact Shapley values across 5,000 holdout claims. Unlike kernel approximations, TreeSHAP evaluates the exact tree topology of the forest in milliseconds. Because TreeExplainer explains raw path length (where shorter paths indicate greater anomaly), values were inverted so that positive SHAP values directly indicate features pushing a claim toward an anomaly alert.</w:t>
      </w:r>
    </w:p>
    <w:p>
      <w:pPr>
        <w:keepNext/>
        <w:spacing w:before="240" w:after="80"/>
      </w:pPr>
      <w:r>
        <w:rPr>
          <w:rFonts w:ascii="Arial" w:hAnsi="Arial"/>
          <w:b/>
          <w:color w:val="008080"/>
          <w:sz w:val="24"/>
        </w:rPr>
        <w:t>Leakage Screening: Proving Organic Attribution</w:t>
      </w:r>
    </w:p>
    <w:p>
      <w:pPr>
        <w:spacing w:before="0" w:after="120" w:line="276" w:lineRule="auto"/>
      </w:pPr>
      <w:r>
        <w:rPr>
          <w:rFonts w:ascii="Calibri" w:hAnsi="Calibri"/>
          <w:color w:val="333333"/>
          <w:sz w:val="20"/>
        </w:rPr>
        <w:t>In fraud detection, tree models frequently suffer from target leakage if a feature silently records the adjudicator's verdict (as occurred with ClaimCategory in unpruned models, which captured 79% of split decisions). SHAP serves as the definitive audit screen:</w:t>
      </w:r>
    </w:p>
    <w:p>
      <w:pPr>
        <w:pStyle w:val="ListBullet"/>
        <w:spacing w:before="0" w:after="80" w:line="276" w:lineRule="auto"/>
      </w:pPr>
      <w:r>
        <w:rPr>
          <w:rFonts w:ascii="Calibri" w:hAnsi="Calibri"/>
          <w:b/>
          <w:color w:val="1B365D"/>
          <w:sz w:val="20"/>
        </w:rPr>
        <w:t xml:space="preserve">Top Feature Attribution Share: </w:t>
      </w:r>
      <w:r>
        <w:rPr>
          <w:rFonts w:ascii="Calibri" w:hAnsi="Calibri"/>
          <w:color w:val="333333"/>
          <w:sz w:val="20"/>
        </w:rPr>
        <w:t>The top feature (NUM_ServiceCount__imputed) accounts for only 13.0% of total attribution.</w:t>
      </w:r>
    </w:p>
    <w:p>
      <w:pPr>
        <w:pStyle w:val="ListBullet"/>
        <w:spacing w:before="0" w:after="80" w:line="276" w:lineRule="auto"/>
      </w:pPr>
      <w:r>
        <w:rPr>
          <w:rFonts w:ascii="Calibri" w:hAnsi="Calibri"/>
          <w:b/>
          <w:color w:val="1B365D"/>
          <w:sz w:val="20"/>
        </w:rPr>
        <w:t xml:space="preserve">Leakage Verdict: </w:t>
      </w:r>
      <w:r>
        <w:rPr>
          <w:rFonts w:ascii="Calibri" w:hAnsi="Calibri"/>
          <w:color w:val="333333"/>
          <w:sz w:val="20"/>
        </w:rPr>
        <w:t>[PASS - NO LEAKAGE] Attribution is evenly distributed across clinical services, monetary totals, billing gaps, and provider risk profiles.</w:t>
      </w:r>
    </w:p>
    <w:tbl>
      <w:tblPr>
        <w:tblW w:type="auto" w:w="0"/>
        <w:jc w:val="center"/>
        <w:tblLayout w:type="fixed"/>
        <w:tblLook w:firstColumn="1" w:firstRow="1" w:lastColumn="0" w:lastRow="0" w:noHBand="0" w:noVBand="1" w:val="04A0"/>
        <w:tblBorders>
          <w:top w:val="single" w:sz="4" w:space="0" w:color="D3D3D3"/>
          <w:bottom w:val="single" w:sz="8" w:space="0" w:color="1B365D"/>
          <w:insideH w:val="single" w:sz="4" w:space="0" w:color="D3D3D3"/>
          <w:insideV w:val="none" w:sz="0" w:space="0" w:color="auto"/>
          <w:left w:val="none" w:sz="0" w:space="0" w:color="auto"/>
          <w:right w:val="none" w:sz="0" w:space="0" w:color="auto"/>
        </w:tblBorders>
      </w:tblPr>
      <w:tblGrid>
        <w:gridCol w:w="1872"/>
        <w:gridCol w:w="1872"/>
        <w:gridCol w:w="1872"/>
        <w:gridCol w:w="1872"/>
        <w:gridCol w:w="1872"/>
      </w:tblGrid>
      <w:tr>
        <w:trPr>
          <w:tblHeader/>
        </w:trPr>
        <w:tc>
          <w:tcPr>
            <w:tcW w:type="dxa" w:w="864"/>
            <w:shd w:fill="1B365D"/>
            <w:tcMar>
              <w:top w:w="100" w:type="dxa"/>
              <w:bottom w:w="100" w:type="dxa"/>
              <w:left w:w="120" w:type="dxa"/>
              <w:right w:w="120" w:type="dxa"/>
            </w:tcMar>
          </w:tcPr>
          <w:p>
            <w:pPr>
              <w:spacing w:before="0" w:after="0"/>
              <w:jc w:val="center"/>
            </w:pPr>
            <w:r>
              <w:rPr>
                <w:rFonts w:ascii="Arial" w:hAnsi="Arial"/>
                <w:b/>
                <w:color w:val="FFFFFF"/>
                <w:sz w:val="18"/>
              </w:rPr>
              <w:t>Rank</w:t>
            </w:r>
          </w:p>
        </w:tc>
        <w:tc>
          <w:tcPr>
            <w:tcW w:type="dxa" w:w="3168"/>
            <w:shd w:fill="1B365D"/>
            <w:tcMar>
              <w:top w:w="100" w:type="dxa"/>
              <w:bottom w:w="100" w:type="dxa"/>
              <w:left w:w="120" w:type="dxa"/>
              <w:right w:w="120" w:type="dxa"/>
            </w:tcMar>
          </w:tcPr>
          <w:p>
            <w:pPr>
              <w:spacing w:before="0" w:after="0"/>
              <w:jc w:val="left"/>
            </w:pPr>
            <w:r>
              <w:rPr>
                <w:rFonts w:ascii="Arial" w:hAnsi="Arial"/>
                <w:b/>
                <w:color w:val="FFFFFF"/>
                <w:sz w:val="18"/>
              </w:rPr>
              <w:t>Feature Name</w:t>
            </w:r>
          </w:p>
        </w:tc>
        <w:tc>
          <w:tcPr>
            <w:tcW w:type="dxa" w:w="1440"/>
            <w:shd w:fill="1B365D"/>
            <w:tcMar>
              <w:top w:w="100" w:type="dxa"/>
              <w:bottom w:w="100" w:type="dxa"/>
              <w:left w:w="120" w:type="dxa"/>
              <w:right w:w="120" w:type="dxa"/>
            </w:tcMar>
          </w:tcPr>
          <w:p>
            <w:pPr>
              <w:spacing w:before="0" w:after="0"/>
              <w:jc w:val="right"/>
            </w:pPr>
            <w:r>
              <w:rPr>
                <w:rFonts w:ascii="Arial" w:hAnsi="Arial"/>
                <w:b/>
                <w:color w:val="FFFFFF"/>
                <w:sz w:val="18"/>
              </w:rPr>
              <w:t>Mean |SHAP|</w:t>
            </w:r>
          </w:p>
        </w:tc>
        <w:tc>
          <w:tcPr>
            <w:tcW w:type="dxa" w:w="1584"/>
            <w:shd w:fill="1B365D"/>
            <w:tcMar>
              <w:top w:w="100" w:type="dxa"/>
              <w:bottom w:w="100" w:type="dxa"/>
              <w:left w:w="120" w:type="dxa"/>
              <w:right w:w="120" w:type="dxa"/>
            </w:tcMar>
          </w:tcPr>
          <w:p>
            <w:pPr>
              <w:spacing w:before="0" w:after="0"/>
              <w:jc w:val="left"/>
            </w:pPr>
            <w:r>
              <w:rPr>
                <w:rFonts w:ascii="Arial" w:hAnsi="Arial"/>
                <w:b/>
                <w:color w:val="FFFFFF"/>
                <w:sz w:val="18"/>
              </w:rPr>
              <w:t>Domain Group</w:t>
            </w:r>
          </w:p>
        </w:tc>
        <w:tc>
          <w:tcPr>
            <w:tcW w:type="dxa" w:w="2304"/>
            <w:shd w:fill="1B365D"/>
            <w:tcMar>
              <w:top w:w="100" w:type="dxa"/>
              <w:bottom w:w="100" w:type="dxa"/>
              <w:left w:w="120" w:type="dxa"/>
              <w:right w:w="120" w:type="dxa"/>
            </w:tcMar>
          </w:tcPr>
          <w:p>
            <w:pPr>
              <w:spacing w:before="0" w:after="0"/>
              <w:jc w:val="left"/>
            </w:pPr>
            <w:r>
              <w:rPr>
                <w:rFonts w:ascii="Arial" w:hAnsi="Arial"/>
                <w:b/>
                <w:color w:val="FFFFFF"/>
                <w:sz w:val="18"/>
              </w:rPr>
              <w:t>Substantive Interpretation</w:t>
            </w:r>
          </w:p>
        </w:tc>
      </w:tr>
      <w:tr>
        <w:tc>
          <w:tcPr>
            <w:tcW w:type="dxa" w:w="864"/>
            <w:shd w:fill="FFFFFF"/>
            <w:tcMar>
              <w:top w:w="80" w:type="dxa"/>
              <w:bottom w:w="80" w:type="dxa"/>
              <w:left w:w="120" w:type="dxa"/>
              <w:right w:w="120" w:type="dxa"/>
            </w:tcMar>
          </w:tcPr>
          <w:p>
            <w:pPr>
              <w:spacing w:before="0" w:after="0"/>
              <w:jc w:val="center"/>
            </w:pPr>
            <w:r>
              <w:rPr>
                <w:rFonts w:ascii="Calibri" w:hAnsi="Calibri"/>
                <w:color w:val="2B2B2B"/>
                <w:sz w:val="18"/>
              </w:rPr>
              <w:t>1</w:t>
            </w:r>
          </w:p>
        </w:tc>
        <w:tc>
          <w:tcPr>
            <w:tcW w:type="dxa" w:w="3168"/>
            <w:shd w:fill="FFFFFF"/>
            <w:tcMar>
              <w:top w:w="80" w:type="dxa"/>
              <w:bottom w:w="80" w:type="dxa"/>
              <w:left w:w="120" w:type="dxa"/>
              <w:right w:w="120" w:type="dxa"/>
            </w:tcMar>
          </w:tcPr>
          <w:p>
            <w:pPr>
              <w:spacing w:before="0" w:after="0"/>
              <w:jc w:val="left"/>
            </w:pPr>
            <w:r>
              <w:rPr>
                <w:rFonts w:ascii="Calibri" w:hAnsi="Calibri"/>
                <w:color w:val="2B2B2B"/>
                <w:sz w:val="18"/>
              </w:rPr>
              <w:t>NUM_ServiceCount__imputed</w:t>
            </w:r>
          </w:p>
        </w:tc>
        <w:tc>
          <w:tcPr>
            <w:tcW w:type="dxa" w:w="1440"/>
            <w:shd w:fill="FFFFFF"/>
            <w:tcMar>
              <w:top w:w="80" w:type="dxa"/>
              <w:bottom w:w="80" w:type="dxa"/>
              <w:left w:w="120" w:type="dxa"/>
              <w:right w:w="120" w:type="dxa"/>
            </w:tcMar>
          </w:tcPr>
          <w:p>
            <w:pPr>
              <w:spacing w:before="0" w:after="0"/>
              <w:jc w:val="right"/>
            </w:pPr>
            <w:r>
              <w:rPr>
                <w:rFonts w:ascii="Calibri" w:hAnsi="Calibri"/>
                <w:color w:val="2B2B2B"/>
                <w:sz w:val="18"/>
              </w:rPr>
              <w:t>1.363268</w:t>
            </w:r>
          </w:p>
        </w:tc>
        <w:tc>
          <w:tcPr>
            <w:tcW w:type="dxa" w:w="1584"/>
            <w:shd w:fill="FFFFFF"/>
            <w:tcMar>
              <w:top w:w="80" w:type="dxa"/>
              <w:bottom w:w="80" w:type="dxa"/>
              <w:left w:w="120" w:type="dxa"/>
              <w:right w:w="120" w:type="dxa"/>
            </w:tcMar>
          </w:tcPr>
          <w:p>
            <w:pPr>
              <w:spacing w:before="0" w:after="0"/>
              <w:jc w:val="left"/>
            </w:pPr>
            <w:r>
              <w:rPr>
                <w:rFonts w:ascii="Calibri" w:hAnsi="Calibri"/>
                <w:color w:val="2B2B2B"/>
                <w:sz w:val="18"/>
              </w:rPr>
              <w:t>Service Volume</w:t>
            </w:r>
          </w:p>
        </w:tc>
        <w:tc>
          <w:tcPr>
            <w:tcW w:type="dxa" w:w="2304"/>
            <w:shd w:fill="FFFFFF"/>
            <w:tcMar>
              <w:top w:w="80" w:type="dxa"/>
              <w:bottom w:w="80" w:type="dxa"/>
              <w:left w:w="120" w:type="dxa"/>
              <w:right w:w="120" w:type="dxa"/>
            </w:tcMar>
          </w:tcPr>
          <w:p>
            <w:pPr>
              <w:spacing w:before="0" w:after="0"/>
              <w:jc w:val="left"/>
            </w:pPr>
            <w:r>
              <w:rPr>
                <w:rFonts w:ascii="Calibri" w:hAnsi="Calibri"/>
                <w:color w:val="2B2B2B"/>
                <w:sz w:val="18"/>
              </w:rPr>
              <w:t>Excessive or fabricated counts of itemized clinical procedures.</w:t>
            </w:r>
          </w:p>
        </w:tc>
      </w:tr>
      <w:tr>
        <w:tc>
          <w:tcPr>
            <w:tcW w:type="dxa" w:w="864"/>
            <w:shd w:fill="F8FAFC"/>
            <w:tcMar>
              <w:top w:w="80" w:type="dxa"/>
              <w:bottom w:w="80" w:type="dxa"/>
              <w:left w:w="120" w:type="dxa"/>
              <w:right w:w="120" w:type="dxa"/>
            </w:tcMar>
          </w:tcPr>
          <w:p>
            <w:pPr>
              <w:spacing w:before="0" w:after="0"/>
              <w:jc w:val="center"/>
            </w:pPr>
            <w:r>
              <w:rPr>
                <w:rFonts w:ascii="Calibri" w:hAnsi="Calibri"/>
                <w:color w:val="2B2B2B"/>
                <w:sz w:val="18"/>
              </w:rPr>
              <w:t>2</w:t>
            </w:r>
          </w:p>
        </w:tc>
        <w:tc>
          <w:tcPr>
            <w:tcW w:type="dxa" w:w="3168"/>
            <w:shd w:fill="F8FAFC"/>
            <w:tcMar>
              <w:top w:w="80" w:type="dxa"/>
              <w:bottom w:w="80" w:type="dxa"/>
              <w:left w:w="120" w:type="dxa"/>
              <w:right w:w="120" w:type="dxa"/>
            </w:tcMar>
          </w:tcPr>
          <w:p>
            <w:pPr>
              <w:spacing w:before="0" w:after="0"/>
              <w:jc w:val="left"/>
            </w:pPr>
            <w:r>
              <w:rPr>
                <w:rFonts w:ascii="Calibri" w:hAnsi="Calibri"/>
                <w:color w:val="2B2B2B"/>
                <w:sz w:val="18"/>
              </w:rPr>
              <w:t>NUM_ServiceTotalAsked__imputed</w:t>
            </w:r>
          </w:p>
        </w:tc>
        <w:tc>
          <w:tcPr>
            <w:tcW w:type="dxa" w:w="1440"/>
            <w:shd w:fill="F8FAFC"/>
            <w:tcMar>
              <w:top w:w="80" w:type="dxa"/>
              <w:bottom w:w="80" w:type="dxa"/>
              <w:left w:w="120" w:type="dxa"/>
              <w:right w:w="120" w:type="dxa"/>
            </w:tcMar>
          </w:tcPr>
          <w:p>
            <w:pPr>
              <w:spacing w:before="0" w:after="0"/>
              <w:jc w:val="right"/>
            </w:pPr>
            <w:r>
              <w:rPr>
                <w:rFonts w:ascii="Calibri" w:hAnsi="Calibri"/>
                <w:color w:val="2B2B2B"/>
                <w:sz w:val="18"/>
              </w:rPr>
              <w:t>1.196898</w:t>
            </w:r>
          </w:p>
        </w:tc>
        <w:tc>
          <w:tcPr>
            <w:tcW w:type="dxa" w:w="1584"/>
            <w:shd w:fill="F8FAFC"/>
            <w:tcMar>
              <w:top w:w="80" w:type="dxa"/>
              <w:bottom w:w="80" w:type="dxa"/>
              <w:left w:w="120" w:type="dxa"/>
              <w:right w:w="120" w:type="dxa"/>
            </w:tcMar>
          </w:tcPr>
          <w:p>
            <w:pPr>
              <w:spacing w:before="0" w:after="0"/>
              <w:jc w:val="left"/>
            </w:pPr>
            <w:r>
              <w:rPr>
                <w:rFonts w:ascii="Calibri" w:hAnsi="Calibri"/>
                <w:color w:val="2B2B2B"/>
                <w:sz w:val="18"/>
              </w:rPr>
              <w:t>Billed Amount</w:t>
            </w:r>
          </w:p>
        </w:tc>
        <w:tc>
          <w:tcPr>
            <w:tcW w:type="dxa" w:w="2304"/>
            <w:shd w:fill="F8FAFC"/>
            <w:tcMar>
              <w:top w:w="80" w:type="dxa"/>
              <w:bottom w:w="80" w:type="dxa"/>
              <w:left w:w="120" w:type="dxa"/>
              <w:right w:w="120" w:type="dxa"/>
            </w:tcMar>
          </w:tcPr>
          <w:p>
            <w:pPr>
              <w:spacing w:before="0" w:after="0"/>
              <w:jc w:val="left"/>
            </w:pPr>
            <w:r>
              <w:rPr>
                <w:rFonts w:ascii="Calibri" w:hAnsi="Calibri"/>
                <w:color w:val="2B2B2B"/>
                <w:sz w:val="18"/>
              </w:rPr>
              <w:t>Abnormally inflated aggregate fees requested for care.</w:t>
            </w:r>
          </w:p>
        </w:tc>
      </w:tr>
      <w:tr>
        <w:tc>
          <w:tcPr>
            <w:tcW w:type="dxa" w:w="864"/>
            <w:shd w:fill="FFFFFF"/>
            <w:tcMar>
              <w:top w:w="80" w:type="dxa"/>
              <w:bottom w:w="80" w:type="dxa"/>
              <w:left w:w="120" w:type="dxa"/>
              <w:right w:w="120" w:type="dxa"/>
            </w:tcMar>
          </w:tcPr>
          <w:p>
            <w:pPr>
              <w:spacing w:before="0" w:after="0"/>
              <w:jc w:val="center"/>
            </w:pPr>
            <w:r>
              <w:rPr>
                <w:rFonts w:ascii="Calibri" w:hAnsi="Calibri"/>
                <w:color w:val="2B2B2B"/>
                <w:sz w:val="18"/>
              </w:rPr>
              <w:t>3</w:t>
            </w:r>
          </w:p>
        </w:tc>
        <w:tc>
          <w:tcPr>
            <w:tcW w:type="dxa" w:w="3168"/>
            <w:shd w:fill="FFFFFF"/>
            <w:tcMar>
              <w:top w:w="80" w:type="dxa"/>
              <w:bottom w:w="80" w:type="dxa"/>
              <w:left w:w="120" w:type="dxa"/>
              <w:right w:w="120" w:type="dxa"/>
            </w:tcMar>
          </w:tcPr>
          <w:p>
            <w:pPr>
              <w:spacing w:before="0" w:after="0"/>
              <w:jc w:val="left"/>
            </w:pPr>
            <w:r>
              <w:rPr>
                <w:rFonts w:ascii="Calibri" w:hAnsi="Calibri"/>
                <w:color w:val="2B2B2B"/>
                <w:sz w:val="18"/>
              </w:rPr>
              <w:t>NUM_ServiceMaxPrice__imputed</w:t>
            </w:r>
          </w:p>
        </w:tc>
        <w:tc>
          <w:tcPr>
            <w:tcW w:type="dxa" w:w="1440"/>
            <w:shd w:fill="FFFFFF"/>
            <w:tcMar>
              <w:top w:w="80" w:type="dxa"/>
              <w:bottom w:w="80" w:type="dxa"/>
              <w:left w:w="120" w:type="dxa"/>
              <w:right w:w="120" w:type="dxa"/>
            </w:tcMar>
          </w:tcPr>
          <w:p>
            <w:pPr>
              <w:spacing w:before="0" w:after="0"/>
              <w:jc w:val="right"/>
            </w:pPr>
            <w:r>
              <w:rPr>
                <w:rFonts w:ascii="Calibri" w:hAnsi="Calibri"/>
                <w:color w:val="2B2B2B"/>
                <w:sz w:val="18"/>
              </w:rPr>
              <w:t>1.026445</w:t>
            </w:r>
          </w:p>
        </w:tc>
        <w:tc>
          <w:tcPr>
            <w:tcW w:type="dxa" w:w="1584"/>
            <w:shd w:fill="FFFFFF"/>
            <w:tcMar>
              <w:top w:w="80" w:type="dxa"/>
              <w:bottom w:w="80" w:type="dxa"/>
              <w:left w:w="120" w:type="dxa"/>
              <w:right w:w="120" w:type="dxa"/>
            </w:tcMar>
          </w:tcPr>
          <w:p>
            <w:pPr>
              <w:spacing w:before="0" w:after="0"/>
              <w:jc w:val="left"/>
            </w:pPr>
            <w:r>
              <w:rPr>
                <w:rFonts w:ascii="Calibri" w:hAnsi="Calibri"/>
                <w:color w:val="2B2B2B"/>
                <w:sz w:val="18"/>
              </w:rPr>
              <w:t>Item Pricing</w:t>
            </w:r>
          </w:p>
        </w:tc>
        <w:tc>
          <w:tcPr>
            <w:tcW w:type="dxa" w:w="2304"/>
            <w:shd w:fill="FFFFFF"/>
            <w:tcMar>
              <w:top w:w="80" w:type="dxa"/>
              <w:bottom w:w="80" w:type="dxa"/>
              <w:left w:w="120" w:type="dxa"/>
              <w:right w:w="120" w:type="dxa"/>
            </w:tcMar>
          </w:tcPr>
          <w:p>
            <w:pPr>
              <w:spacing w:before="0" w:after="0"/>
              <w:jc w:val="left"/>
            </w:pPr>
            <w:r>
              <w:rPr>
                <w:rFonts w:ascii="Calibri" w:hAnsi="Calibri"/>
                <w:color w:val="2B2B2B"/>
                <w:sz w:val="18"/>
              </w:rPr>
              <w:t>Outlier individual tariff items exceeding standard reimbursement ceilings.</w:t>
            </w:r>
          </w:p>
        </w:tc>
      </w:tr>
      <w:tr>
        <w:tc>
          <w:tcPr>
            <w:tcW w:type="dxa" w:w="864"/>
            <w:shd w:fill="F8FAFC"/>
            <w:tcMar>
              <w:top w:w="80" w:type="dxa"/>
              <w:bottom w:w="80" w:type="dxa"/>
              <w:left w:w="120" w:type="dxa"/>
              <w:right w:w="120" w:type="dxa"/>
            </w:tcMar>
          </w:tcPr>
          <w:p>
            <w:pPr>
              <w:spacing w:before="0" w:after="0"/>
              <w:jc w:val="center"/>
            </w:pPr>
            <w:r>
              <w:rPr>
                <w:rFonts w:ascii="Calibri" w:hAnsi="Calibri"/>
                <w:color w:val="2B2B2B"/>
                <w:sz w:val="18"/>
              </w:rPr>
              <w:t>4</w:t>
            </w:r>
          </w:p>
        </w:tc>
        <w:tc>
          <w:tcPr>
            <w:tcW w:type="dxa" w:w="3168"/>
            <w:shd w:fill="F8FAFC"/>
            <w:tcMar>
              <w:top w:w="80" w:type="dxa"/>
              <w:bottom w:w="80" w:type="dxa"/>
              <w:left w:w="120" w:type="dxa"/>
              <w:right w:w="120" w:type="dxa"/>
            </w:tcMar>
          </w:tcPr>
          <w:p>
            <w:pPr>
              <w:spacing w:before="0" w:after="0"/>
              <w:jc w:val="left"/>
            </w:pPr>
            <w:r>
              <w:rPr>
                <w:rFonts w:ascii="Calibri" w:hAnsi="Calibri"/>
                <w:color w:val="2B2B2B"/>
                <w:sz w:val="18"/>
              </w:rPr>
              <w:t>NUM_CostPerService__imputed</w:t>
            </w:r>
          </w:p>
        </w:tc>
        <w:tc>
          <w:tcPr>
            <w:tcW w:type="dxa" w:w="1440"/>
            <w:shd w:fill="F8FAFC"/>
            <w:tcMar>
              <w:top w:w="80" w:type="dxa"/>
              <w:bottom w:w="80" w:type="dxa"/>
              <w:left w:w="120" w:type="dxa"/>
              <w:right w:w="120" w:type="dxa"/>
            </w:tcMar>
          </w:tcPr>
          <w:p>
            <w:pPr>
              <w:spacing w:before="0" w:after="0"/>
              <w:jc w:val="right"/>
            </w:pPr>
            <w:r>
              <w:rPr>
                <w:rFonts w:ascii="Calibri" w:hAnsi="Calibri"/>
                <w:color w:val="2B2B2B"/>
                <w:sz w:val="18"/>
              </w:rPr>
              <w:t>1.010992</w:t>
            </w:r>
          </w:p>
        </w:tc>
        <w:tc>
          <w:tcPr>
            <w:tcW w:type="dxa" w:w="1584"/>
            <w:shd w:fill="F8FAFC"/>
            <w:tcMar>
              <w:top w:w="80" w:type="dxa"/>
              <w:bottom w:w="80" w:type="dxa"/>
              <w:left w:w="120" w:type="dxa"/>
              <w:right w:w="120" w:type="dxa"/>
            </w:tcMar>
          </w:tcPr>
          <w:p>
            <w:pPr>
              <w:spacing w:before="0" w:after="0"/>
              <w:jc w:val="left"/>
            </w:pPr>
            <w:r>
              <w:rPr>
                <w:rFonts w:ascii="Calibri" w:hAnsi="Calibri"/>
                <w:color w:val="2B2B2B"/>
                <w:sz w:val="18"/>
              </w:rPr>
              <w:t>Unit Cost</w:t>
            </w:r>
          </w:p>
        </w:tc>
        <w:tc>
          <w:tcPr>
            <w:tcW w:type="dxa" w:w="2304"/>
            <w:shd w:fill="F8FAFC"/>
            <w:tcMar>
              <w:top w:w="80" w:type="dxa"/>
              <w:bottom w:w="80" w:type="dxa"/>
              <w:left w:w="120" w:type="dxa"/>
              <w:right w:w="120" w:type="dxa"/>
            </w:tcMar>
          </w:tcPr>
          <w:p>
            <w:pPr>
              <w:spacing w:before="0" w:after="0"/>
              <w:jc w:val="left"/>
            </w:pPr>
            <w:r>
              <w:rPr>
                <w:rFonts w:ascii="Calibri" w:hAnsi="Calibri"/>
                <w:color w:val="2B2B2B"/>
                <w:sz w:val="18"/>
              </w:rPr>
              <w:t>Skewed ratio of total claim expense to count of services delivered.</w:t>
            </w:r>
          </w:p>
        </w:tc>
      </w:tr>
      <w:tr>
        <w:tc>
          <w:tcPr>
            <w:tcW w:type="dxa" w:w="864"/>
            <w:shd w:fill="FFFFFF"/>
            <w:tcMar>
              <w:top w:w="80" w:type="dxa"/>
              <w:bottom w:w="80" w:type="dxa"/>
              <w:left w:w="120" w:type="dxa"/>
              <w:right w:w="120" w:type="dxa"/>
            </w:tcMar>
          </w:tcPr>
          <w:p>
            <w:pPr>
              <w:spacing w:before="0" w:after="0"/>
              <w:jc w:val="center"/>
            </w:pPr>
            <w:r>
              <w:rPr>
                <w:rFonts w:ascii="Calibri" w:hAnsi="Calibri"/>
                <w:color w:val="2B2B2B"/>
                <w:sz w:val="18"/>
              </w:rPr>
              <w:t>5</w:t>
            </w:r>
          </w:p>
        </w:tc>
        <w:tc>
          <w:tcPr>
            <w:tcW w:type="dxa" w:w="3168"/>
            <w:shd w:fill="FFFFFF"/>
            <w:tcMar>
              <w:top w:w="80" w:type="dxa"/>
              <w:bottom w:w="80" w:type="dxa"/>
              <w:left w:w="120" w:type="dxa"/>
              <w:right w:w="120" w:type="dxa"/>
            </w:tcMar>
          </w:tcPr>
          <w:p>
            <w:pPr>
              <w:spacing w:before="0" w:after="0"/>
              <w:jc w:val="left"/>
            </w:pPr>
            <w:r>
              <w:rPr>
                <w:rFonts w:ascii="Calibri" w:hAnsi="Calibri"/>
                <w:color w:val="2B2B2B"/>
                <w:sz w:val="18"/>
              </w:rPr>
              <w:t>FLAG_no_service_lines</w:t>
            </w:r>
          </w:p>
        </w:tc>
        <w:tc>
          <w:tcPr>
            <w:tcW w:type="dxa" w:w="1440"/>
            <w:shd w:fill="FFFFFF"/>
            <w:tcMar>
              <w:top w:w="80" w:type="dxa"/>
              <w:bottom w:w="80" w:type="dxa"/>
              <w:left w:w="120" w:type="dxa"/>
              <w:right w:w="120" w:type="dxa"/>
            </w:tcMar>
          </w:tcPr>
          <w:p>
            <w:pPr>
              <w:spacing w:before="0" w:after="0"/>
              <w:jc w:val="right"/>
            </w:pPr>
            <w:r>
              <w:rPr>
                <w:rFonts w:ascii="Calibri" w:hAnsi="Calibri"/>
                <w:color w:val="2B2B2B"/>
                <w:sz w:val="18"/>
              </w:rPr>
              <w:t>0.909151</w:t>
            </w:r>
          </w:p>
        </w:tc>
        <w:tc>
          <w:tcPr>
            <w:tcW w:type="dxa" w:w="1584"/>
            <w:shd w:fill="FFFFFF"/>
            <w:tcMar>
              <w:top w:w="80" w:type="dxa"/>
              <w:bottom w:w="80" w:type="dxa"/>
              <w:left w:w="120" w:type="dxa"/>
              <w:right w:w="120" w:type="dxa"/>
            </w:tcMar>
          </w:tcPr>
          <w:p>
            <w:pPr>
              <w:spacing w:before="0" w:after="0"/>
              <w:jc w:val="left"/>
            </w:pPr>
            <w:r>
              <w:rPr>
                <w:rFonts w:ascii="Calibri" w:hAnsi="Calibri"/>
                <w:color w:val="2B2B2B"/>
                <w:sz w:val="18"/>
              </w:rPr>
              <w:t>Documentation</w:t>
            </w:r>
          </w:p>
        </w:tc>
        <w:tc>
          <w:tcPr>
            <w:tcW w:type="dxa" w:w="2304"/>
            <w:shd w:fill="FFFFFF"/>
            <w:tcMar>
              <w:top w:w="80" w:type="dxa"/>
              <w:bottom w:w="80" w:type="dxa"/>
              <w:left w:w="120" w:type="dxa"/>
              <w:right w:w="120" w:type="dxa"/>
            </w:tcMar>
          </w:tcPr>
          <w:p>
            <w:pPr>
              <w:spacing w:before="0" w:after="0"/>
              <w:jc w:val="left"/>
            </w:pPr>
            <w:r>
              <w:rPr>
                <w:rFonts w:ascii="Calibri" w:hAnsi="Calibri"/>
                <w:color w:val="2B2B2B"/>
                <w:sz w:val="18"/>
              </w:rPr>
              <w:t>Phantom billing: claims submitted without itemized service documentation.</w:t>
            </w:r>
          </w:p>
        </w:tc>
      </w:tr>
      <w:tr>
        <w:tc>
          <w:tcPr>
            <w:tcW w:type="dxa" w:w="864"/>
            <w:shd w:fill="F8FAFC"/>
            <w:tcMar>
              <w:top w:w="80" w:type="dxa"/>
              <w:bottom w:w="80" w:type="dxa"/>
              <w:left w:w="120" w:type="dxa"/>
              <w:right w:w="120" w:type="dxa"/>
            </w:tcMar>
          </w:tcPr>
          <w:p>
            <w:pPr>
              <w:spacing w:before="0" w:after="0"/>
              <w:jc w:val="center"/>
            </w:pPr>
            <w:r>
              <w:rPr>
                <w:rFonts w:ascii="Calibri" w:hAnsi="Calibri"/>
                <w:color w:val="2B2B2B"/>
                <w:sz w:val="18"/>
              </w:rPr>
              <w:t>6</w:t>
            </w:r>
          </w:p>
        </w:tc>
        <w:tc>
          <w:tcPr>
            <w:tcW w:type="dxa" w:w="3168"/>
            <w:shd w:fill="F8FAFC"/>
            <w:tcMar>
              <w:top w:w="80" w:type="dxa"/>
              <w:bottom w:w="80" w:type="dxa"/>
              <w:left w:w="120" w:type="dxa"/>
              <w:right w:w="120" w:type="dxa"/>
            </w:tcMar>
          </w:tcPr>
          <w:p>
            <w:pPr>
              <w:spacing w:before="0" w:after="0"/>
              <w:jc w:val="left"/>
            </w:pPr>
            <w:r>
              <w:rPr>
                <w:rFonts w:ascii="Calibri" w:hAnsi="Calibri"/>
                <w:color w:val="2B2B2B"/>
                <w:sz w:val="18"/>
              </w:rPr>
              <w:t>NUM_ClaimServiceGap__imputed</w:t>
            </w:r>
          </w:p>
        </w:tc>
        <w:tc>
          <w:tcPr>
            <w:tcW w:type="dxa" w:w="1440"/>
            <w:shd w:fill="F8FAFC"/>
            <w:tcMar>
              <w:top w:w="80" w:type="dxa"/>
              <w:bottom w:w="80" w:type="dxa"/>
              <w:left w:w="120" w:type="dxa"/>
              <w:right w:w="120" w:type="dxa"/>
            </w:tcMar>
          </w:tcPr>
          <w:p>
            <w:pPr>
              <w:spacing w:before="0" w:after="0"/>
              <w:jc w:val="right"/>
            </w:pPr>
            <w:r>
              <w:rPr>
                <w:rFonts w:ascii="Calibri" w:hAnsi="Calibri"/>
                <w:color w:val="2B2B2B"/>
                <w:sz w:val="18"/>
              </w:rPr>
              <w:t>0.875378</w:t>
            </w:r>
          </w:p>
        </w:tc>
        <w:tc>
          <w:tcPr>
            <w:tcW w:type="dxa" w:w="1584"/>
            <w:shd w:fill="F8FAFC"/>
            <w:tcMar>
              <w:top w:w="80" w:type="dxa"/>
              <w:bottom w:w="80" w:type="dxa"/>
              <w:left w:w="120" w:type="dxa"/>
              <w:right w:w="120" w:type="dxa"/>
            </w:tcMar>
          </w:tcPr>
          <w:p>
            <w:pPr>
              <w:spacing w:before="0" w:after="0"/>
              <w:jc w:val="left"/>
            </w:pPr>
            <w:r>
              <w:rPr>
                <w:rFonts w:ascii="Calibri" w:hAnsi="Calibri"/>
                <w:color w:val="2B2B2B"/>
                <w:sz w:val="18"/>
              </w:rPr>
              <w:t>Financial Audit</w:t>
            </w:r>
          </w:p>
        </w:tc>
        <w:tc>
          <w:tcPr>
            <w:tcW w:type="dxa" w:w="2304"/>
            <w:shd w:fill="F8FAFC"/>
            <w:tcMar>
              <w:top w:w="80" w:type="dxa"/>
              <w:bottom w:w="80" w:type="dxa"/>
              <w:left w:w="120" w:type="dxa"/>
              <w:right w:w="120" w:type="dxa"/>
            </w:tcMar>
          </w:tcPr>
          <w:p>
            <w:pPr>
              <w:spacing w:before="0" w:after="0"/>
              <w:jc w:val="left"/>
            </w:pPr>
            <w:r>
              <w:rPr>
                <w:rFonts w:ascii="Calibri" w:hAnsi="Calibri"/>
                <w:color w:val="2B2B2B"/>
                <w:sz w:val="18"/>
              </w:rPr>
              <w:t>Discrepancy between claim header total and itemized service sum.</w:t>
            </w:r>
          </w:p>
        </w:tc>
      </w:tr>
      <w:tr>
        <w:tc>
          <w:tcPr>
            <w:tcW w:type="dxa" w:w="864"/>
            <w:shd w:fill="FFFFFF"/>
            <w:tcMar>
              <w:top w:w="80" w:type="dxa"/>
              <w:bottom w:w="80" w:type="dxa"/>
              <w:left w:w="120" w:type="dxa"/>
              <w:right w:w="120" w:type="dxa"/>
            </w:tcMar>
          </w:tcPr>
          <w:p>
            <w:pPr>
              <w:spacing w:before="0" w:after="0"/>
              <w:jc w:val="center"/>
            </w:pPr>
            <w:r>
              <w:rPr>
                <w:rFonts w:ascii="Calibri" w:hAnsi="Calibri"/>
                <w:color w:val="2B2B2B"/>
                <w:sz w:val="18"/>
              </w:rPr>
              <w:t>7</w:t>
            </w:r>
          </w:p>
        </w:tc>
        <w:tc>
          <w:tcPr>
            <w:tcW w:type="dxa" w:w="3168"/>
            <w:shd w:fill="FFFFFF"/>
            <w:tcMar>
              <w:top w:w="80" w:type="dxa"/>
              <w:bottom w:w="80" w:type="dxa"/>
              <w:left w:w="120" w:type="dxa"/>
              <w:right w:w="120" w:type="dxa"/>
            </w:tcMar>
          </w:tcPr>
          <w:p>
            <w:pPr>
              <w:spacing w:before="0" w:after="0"/>
              <w:jc w:val="left"/>
            </w:pPr>
            <w:r>
              <w:rPr>
                <w:rFonts w:ascii="Calibri" w:hAnsi="Calibri"/>
                <w:color w:val="2B2B2B"/>
                <w:sz w:val="18"/>
              </w:rPr>
              <w:t>Hfid__risk</w:t>
            </w:r>
          </w:p>
        </w:tc>
        <w:tc>
          <w:tcPr>
            <w:tcW w:type="dxa" w:w="1440"/>
            <w:shd w:fill="FFFFFF"/>
            <w:tcMar>
              <w:top w:w="80" w:type="dxa"/>
              <w:bottom w:w="80" w:type="dxa"/>
              <w:left w:w="120" w:type="dxa"/>
              <w:right w:w="120" w:type="dxa"/>
            </w:tcMar>
          </w:tcPr>
          <w:p>
            <w:pPr>
              <w:spacing w:before="0" w:after="0"/>
              <w:jc w:val="right"/>
            </w:pPr>
            <w:r>
              <w:rPr>
                <w:rFonts w:ascii="Calibri" w:hAnsi="Calibri"/>
                <w:color w:val="2B2B2B"/>
                <w:sz w:val="18"/>
              </w:rPr>
              <w:t>0.590699</w:t>
            </w:r>
          </w:p>
        </w:tc>
        <w:tc>
          <w:tcPr>
            <w:tcW w:type="dxa" w:w="1584"/>
            <w:shd w:fill="FFFFFF"/>
            <w:tcMar>
              <w:top w:w="80" w:type="dxa"/>
              <w:bottom w:w="80" w:type="dxa"/>
              <w:left w:w="120" w:type="dxa"/>
              <w:right w:w="120" w:type="dxa"/>
            </w:tcMar>
          </w:tcPr>
          <w:p>
            <w:pPr>
              <w:spacing w:before="0" w:after="0"/>
              <w:jc w:val="left"/>
            </w:pPr>
            <w:r>
              <w:rPr>
                <w:rFonts w:ascii="Calibri" w:hAnsi="Calibri"/>
                <w:color w:val="2B2B2B"/>
                <w:sz w:val="18"/>
              </w:rPr>
              <w:t>Provider Profile</w:t>
            </w:r>
          </w:p>
        </w:tc>
        <w:tc>
          <w:tcPr>
            <w:tcW w:type="dxa" w:w="2304"/>
            <w:shd w:fill="FFFFFF"/>
            <w:tcMar>
              <w:top w:w="80" w:type="dxa"/>
              <w:bottom w:w="80" w:type="dxa"/>
              <w:left w:w="120" w:type="dxa"/>
              <w:right w:w="120" w:type="dxa"/>
            </w:tcMar>
          </w:tcPr>
          <w:p>
            <w:pPr>
              <w:spacing w:before="0" w:after="0"/>
              <w:jc w:val="left"/>
            </w:pPr>
            <w:r>
              <w:rPr>
                <w:rFonts w:ascii="Calibri" w:hAnsi="Calibri"/>
                <w:color w:val="2B2B2B"/>
                <w:sz w:val="18"/>
              </w:rPr>
              <w:t>Historical non-compliance score of the submitting health facility.</w:t>
            </w:r>
          </w:p>
        </w:tc>
      </w:tr>
      <w:tr>
        <w:tc>
          <w:tcPr>
            <w:tcW w:type="dxa" w:w="864"/>
            <w:shd w:fill="F8FAFC"/>
            <w:tcMar>
              <w:top w:w="80" w:type="dxa"/>
              <w:bottom w:w="80" w:type="dxa"/>
              <w:left w:w="120" w:type="dxa"/>
              <w:right w:w="120" w:type="dxa"/>
            </w:tcMar>
          </w:tcPr>
          <w:p>
            <w:pPr>
              <w:spacing w:before="0" w:after="0"/>
              <w:jc w:val="center"/>
            </w:pPr>
            <w:r>
              <w:rPr>
                <w:rFonts w:ascii="Calibri" w:hAnsi="Calibri"/>
                <w:color w:val="2B2B2B"/>
                <w:sz w:val="18"/>
              </w:rPr>
              <w:t>8</w:t>
            </w:r>
          </w:p>
        </w:tc>
        <w:tc>
          <w:tcPr>
            <w:tcW w:type="dxa" w:w="3168"/>
            <w:shd w:fill="F8FAFC"/>
            <w:tcMar>
              <w:top w:w="80" w:type="dxa"/>
              <w:bottom w:w="80" w:type="dxa"/>
              <w:left w:w="120" w:type="dxa"/>
              <w:right w:w="120" w:type="dxa"/>
            </w:tcMar>
          </w:tcPr>
          <w:p>
            <w:pPr>
              <w:spacing w:before="0" w:after="0"/>
              <w:jc w:val="left"/>
            </w:pPr>
            <w:r>
              <w:rPr>
                <w:rFonts w:ascii="Calibri" w:hAnsi="Calibri"/>
                <w:color w:val="2B2B2B"/>
                <w:sz w:val="18"/>
              </w:rPr>
              <w:t>NUM_SubmissionDelay</w:t>
            </w:r>
          </w:p>
        </w:tc>
        <w:tc>
          <w:tcPr>
            <w:tcW w:type="dxa" w:w="1440"/>
            <w:shd w:fill="F8FAFC"/>
            <w:tcMar>
              <w:top w:w="80" w:type="dxa"/>
              <w:bottom w:w="80" w:type="dxa"/>
              <w:left w:w="120" w:type="dxa"/>
              <w:right w:w="120" w:type="dxa"/>
            </w:tcMar>
          </w:tcPr>
          <w:p>
            <w:pPr>
              <w:spacing w:before="0" w:after="0"/>
              <w:jc w:val="right"/>
            </w:pPr>
            <w:r>
              <w:rPr>
                <w:rFonts w:ascii="Calibri" w:hAnsi="Calibri"/>
                <w:color w:val="2B2B2B"/>
                <w:sz w:val="18"/>
              </w:rPr>
              <w:t>0.580179</w:t>
            </w:r>
          </w:p>
        </w:tc>
        <w:tc>
          <w:tcPr>
            <w:tcW w:type="dxa" w:w="1584"/>
            <w:shd w:fill="F8FAFC"/>
            <w:tcMar>
              <w:top w:w="80" w:type="dxa"/>
              <w:bottom w:w="80" w:type="dxa"/>
              <w:left w:w="120" w:type="dxa"/>
              <w:right w:w="120" w:type="dxa"/>
            </w:tcMar>
          </w:tcPr>
          <w:p>
            <w:pPr>
              <w:spacing w:before="0" w:after="0"/>
              <w:jc w:val="left"/>
            </w:pPr>
            <w:r>
              <w:rPr>
                <w:rFonts w:ascii="Calibri" w:hAnsi="Calibri"/>
                <w:color w:val="2B2B2B"/>
                <w:sz w:val="18"/>
              </w:rPr>
              <w:t>Filing Lag</w:t>
            </w:r>
          </w:p>
        </w:tc>
        <w:tc>
          <w:tcPr>
            <w:tcW w:type="dxa" w:w="2304"/>
            <w:shd w:fill="F8FAFC"/>
            <w:tcMar>
              <w:top w:w="80" w:type="dxa"/>
              <w:bottom w:w="80" w:type="dxa"/>
              <w:left w:w="120" w:type="dxa"/>
              <w:right w:w="120" w:type="dxa"/>
            </w:tcMar>
          </w:tcPr>
          <w:p>
            <w:pPr>
              <w:spacing w:before="0" w:after="0"/>
              <w:jc w:val="left"/>
            </w:pPr>
            <w:r>
              <w:rPr>
                <w:rFonts w:ascii="Calibri" w:hAnsi="Calibri"/>
                <w:color w:val="2B2B2B"/>
                <w:sz w:val="18"/>
              </w:rPr>
              <w:t>Late submissions filed months after service delivery dates.</w:t>
            </w:r>
          </w:p>
        </w:tc>
      </w:tr>
      <w:tr>
        <w:tc>
          <w:tcPr>
            <w:tcW w:type="dxa" w:w="864"/>
            <w:shd w:fill="FFFFFF"/>
            <w:tcMar>
              <w:top w:w="80" w:type="dxa"/>
              <w:bottom w:w="80" w:type="dxa"/>
              <w:left w:w="120" w:type="dxa"/>
              <w:right w:w="120" w:type="dxa"/>
            </w:tcMar>
          </w:tcPr>
          <w:p>
            <w:pPr>
              <w:spacing w:before="0" w:after="0"/>
              <w:jc w:val="center"/>
            </w:pPr>
            <w:r>
              <w:rPr>
                <w:rFonts w:ascii="Calibri" w:hAnsi="Calibri"/>
                <w:color w:val="2B2B2B"/>
                <w:sz w:val="18"/>
              </w:rPr>
              <w:t>9</w:t>
            </w:r>
          </w:p>
        </w:tc>
        <w:tc>
          <w:tcPr>
            <w:tcW w:type="dxa" w:w="3168"/>
            <w:shd w:fill="FFFFFF"/>
            <w:tcMar>
              <w:top w:w="80" w:type="dxa"/>
              <w:bottom w:w="80" w:type="dxa"/>
              <w:left w:w="120" w:type="dxa"/>
              <w:right w:w="120" w:type="dxa"/>
            </w:tcMar>
          </w:tcPr>
          <w:p>
            <w:pPr>
              <w:spacing w:before="0" w:after="0"/>
              <w:jc w:val="left"/>
            </w:pPr>
            <w:r>
              <w:rPr>
                <w:rFonts w:ascii="Calibri" w:hAnsi="Calibri"/>
                <w:color w:val="2B2B2B"/>
                <w:sz w:val="18"/>
              </w:rPr>
              <w:t>Icdid__log_freq</w:t>
            </w:r>
          </w:p>
        </w:tc>
        <w:tc>
          <w:tcPr>
            <w:tcW w:type="dxa" w:w="1440"/>
            <w:shd w:fill="FFFFFF"/>
            <w:tcMar>
              <w:top w:w="80" w:type="dxa"/>
              <w:bottom w:w="80" w:type="dxa"/>
              <w:left w:w="120" w:type="dxa"/>
              <w:right w:w="120" w:type="dxa"/>
            </w:tcMar>
          </w:tcPr>
          <w:p>
            <w:pPr>
              <w:spacing w:before="0" w:after="0"/>
              <w:jc w:val="right"/>
            </w:pPr>
            <w:r>
              <w:rPr>
                <w:rFonts w:ascii="Calibri" w:hAnsi="Calibri"/>
                <w:color w:val="2B2B2B"/>
                <w:sz w:val="18"/>
              </w:rPr>
              <w:t>0.404841</w:t>
            </w:r>
          </w:p>
        </w:tc>
        <w:tc>
          <w:tcPr>
            <w:tcW w:type="dxa" w:w="1584"/>
            <w:shd w:fill="FFFFFF"/>
            <w:tcMar>
              <w:top w:w="80" w:type="dxa"/>
              <w:bottom w:w="80" w:type="dxa"/>
              <w:left w:w="120" w:type="dxa"/>
              <w:right w:w="120" w:type="dxa"/>
            </w:tcMar>
          </w:tcPr>
          <w:p>
            <w:pPr>
              <w:spacing w:before="0" w:after="0"/>
              <w:jc w:val="left"/>
            </w:pPr>
            <w:r>
              <w:rPr>
                <w:rFonts w:ascii="Calibri" w:hAnsi="Calibri"/>
                <w:color w:val="2B2B2B"/>
                <w:sz w:val="18"/>
              </w:rPr>
              <w:t>Diagnosis Frequency</w:t>
            </w:r>
          </w:p>
        </w:tc>
        <w:tc>
          <w:tcPr>
            <w:tcW w:type="dxa" w:w="2304"/>
            <w:shd w:fill="FFFFFF"/>
            <w:tcMar>
              <w:top w:w="80" w:type="dxa"/>
              <w:bottom w:w="80" w:type="dxa"/>
              <w:left w:w="120" w:type="dxa"/>
              <w:right w:w="120" w:type="dxa"/>
            </w:tcMar>
          </w:tcPr>
          <w:p>
            <w:pPr>
              <w:spacing w:before="0" w:after="0"/>
              <w:jc w:val="left"/>
            </w:pPr>
            <w:r>
              <w:rPr>
                <w:rFonts w:ascii="Calibri" w:hAnsi="Calibri"/>
                <w:color w:val="2B2B2B"/>
                <w:sz w:val="18"/>
              </w:rPr>
              <w:t>Rare or atypical disease diagnoses flagged for specialized review.</w:t>
            </w:r>
          </w:p>
        </w:tc>
      </w:tr>
      <w:tr>
        <w:tc>
          <w:tcPr>
            <w:tcW w:type="dxa" w:w="864"/>
            <w:shd w:fill="F8FAFC"/>
            <w:tcMar>
              <w:top w:w="80" w:type="dxa"/>
              <w:bottom w:w="80" w:type="dxa"/>
              <w:left w:w="120" w:type="dxa"/>
              <w:right w:w="120" w:type="dxa"/>
            </w:tcMar>
          </w:tcPr>
          <w:p>
            <w:pPr>
              <w:spacing w:before="0" w:after="0"/>
              <w:jc w:val="center"/>
            </w:pPr>
            <w:r>
              <w:rPr>
                <w:rFonts w:ascii="Calibri" w:hAnsi="Calibri"/>
                <w:color w:val="2B2B2B"/>
                <w:sz w:val="18"/>
              </w:rPr>
              <w:t>10</w:t>
            </w:r>
          </w:p>
        </w:tc>
        <w:tc>
          <w:tcPr>
            <w:tcW w:type="dxa" w:w="3168"/>
            <w:shd w:fill="F8FAFC"/>
            <w:tcMar>
              <w:top w:w="80" w:type="dxa"/>
              <w:bottom w:w="80" w:type="dxa"/>
              <w:left w:w="120" w:type="dxa"/>
              <w:right w:w="120" w:type="dxa"/>
            </w:tcMar>
          </w:tcPr>
          <w:p>
            <w:pPr>
              <w:spacing w:before="0" w:after="0"/>
              <w:jc w:val="left"/>
            </w:pPr>
            <w:r>
              <w:rPr>
                <w:rFonts w:ascii="Calibri" w:hAnsi="Calibri"/>
                <w:color w:val="2B2B2B"/>
                <w:sz w:val="18"/>
              </w:rPr>
              <w:t>LegalForm=G</w:t>
            </w:r>
          </w:p>
        </w:tc>
        <w:tc>
          <w:tcPr>
            <w:tcW w:type="dxa" w:w="1440"/>
            <w:shd w:fill="F8FAFC"/>
            <w:tcMar>
              <w:top w:w="80" w:type="dxa"/>
              <w:bottom w:w="80" w:type="dxa"/>
              <w:left w:w="120" w:type="dxa"/>
              <w:right w:w="120" w:type="dxa"/>
            </w:tcMar>
          </w:tcPr>
          <w:p>
            <w:pPr>
              <w:spacing w:before="0" w:after="0"/>
              <w:jc w:val="right"/>
            </w:pPr>
            <w:r>
              <w:rPr>
                <w:rFonts w:ascii="Calibri" w:hAnsi="Calibri"/>
                <w:color w:val="2B2B2B"/>
                <w:sz w:val="18"/>
              </w:rPr>
              <w:t>0.300892</w:t>
            </w:r>
          </w:p>
        </w:tc>
        <w:tc>
          <w:tcPr>
            <w:tcW w:type="dxa" w:w="1584"/>
            <w:shd w:fill="F8FAFC"/>
            <w:tcMar>
              <w:top w:w="80" w:type="dxa"/>
              <w:bottom w:w="80" w:type="dxa"/>
              <w:left w:w="120" w:type="dxa"/>
              <w:right w:w="120" w:type="dxa"/>
            </w:tcMar>
          </w:tcPr>
          <w:p>
            <w:pPr>
              <w:spacing w:before="0" w:after="0"/>
              <w:jc w:val="left"/>
            </w:pPr>
            <w:r>
              <w:rPr>
                <w:rFonts w:ascii="Calibri" w:hAnsi="Calibri"/>
                <w:color w:val="2B2B2B"/>
                <w:sz w:val="18"/>
              </w:rPr>
              <w:t>Facility Ownership</w:t>
            </w:r>
          </w:p>
        </w:tc>
        <w:tc>
          <w:tcPr>
            <w:tcW w:type="dxa" w:w="2304"/>
            <w:shd w:fill="F8FAFC"/>
            <w:tcMar>
              <w:top w:w="80" w:type="dxa"/>
              <w:bottom w:w="80" w:type="dxa"/>
              <w:left w:w="120" w:type="dxa"/>
              <w:right w:w="120" w:type="dxa"/>
            </w:tcMar>
          </w:tcPr>
          <w:p>
            <w:pPr>
              <w:spacing w:before="0" w:after="0"/>
              <w:jc w:val="left"/>
            </w:pPr>
            <w:r>
              <w:rPr>
                <w:rFonts w:ascii="Calibri" w:hAnsi="Calibri"/>
                <w:color w:val="2B2B2B"/>
                <w:sz w:val="18"/>
              </w:rPr>
              <w:t>Government-administered facility operational variance.</w:t>
            </w:r>
          </w:p>
        </w:tc>
      </w:tr>
      <w:tr>
        <w:tc>
          <w:tcPr>
            <w:tcW w:type="dxa" w:w="864"/>
            <w:shd w:fill="FFFFFF"/>
            <w:tcMar>
              <w:top w:w="80" w:type="dxa"/>
              <w:bottom w:w="80" w:type="dxa"/>
              <w:left w:w="120" w:type="dxa"/>
              <w:right w:w="120" w:type="dxa"/>
            </w:tcMar>
          </w:tcPr>
          <w:p>
            <w:pPr>
              <w:spacing w:before="0" w:after="0"/>
              <w:jc w:val="center"/>
            </w:pPr>
            <w:r>
              <w:rPr>
                <w:rFonts w:ascii="Calibri" w:hAnsi="Calibri"/>
                <w:color w:val="2B2B2B"/>
                <w:sz w:val="18"/>
              </w:rPr>
              <w:t>11</w:t>
            </w:r>
          </w:p>
        </w:tc>
        <w:tc>
          <w:tcPr>
            <w:tcW w:type="dxa" w:w="3168"/>
            <w:shd w:fill="FFFFFF"/>
            <w:tcMar>
              <w:top w:w="80" w:type="dxa"/>
              <w:bottom w:w="80" w:type="dxa"/>
              <w:left w:w="120" w:type="dxa"/>
              <w:right w:w="120" w:type="dxa"/>
            </w:tcMar>
          </w:tcPr>
          <w:p>
            <w:pPr>
              <w:spacing w:before="0" w:after="0"/>
              <w:jc w:val="left"/>
            </w:pPr>
            <w:r>
              <w:rPr>
                <w:rFonts w:ascii="Calibri" w:hAnsi="Calibri"/>
                <w:color w:val="2B2B2B"/>
                <w:sz w:val="18"/>
              </w:rPr>
              <w:t>LegalForm=P</w:t>
            </w:r>
          </w:p>
        </w:tc>
        <w:tc>
          <w:tcPr>
            <w:tcW w:type="dxa" w:w="1440"/>
            <w:shd w:fill="FFFFFF"/>
            <w:tcMar>
              <w:top w:w="80" w:type="dxa"/>
              <w:bottom w:w="80" w:type="dxa"/>
              <w:left w:w="120" w:type="dxa"/>
              <w:right w:w="120" w:type="dxa"/>
            </w:tcMar>
          </w:tcPr>
          <w:p>
            <w:pPr>
              <w:spacing w:before="0" w:after="0"/>
              <w:jc w:val="right"/>
            </w:pPr>
            <w:r>
              <w:rPr>
                <w:rFonts w:ascii="Calibri" w:hAnsi="Calibri"/>
                <w:color w:val="2B2B2B"/>
                <w:sz w:val="18"/>
              </w:rPr>
              <w:t>0.258172</w:t>
            </w:r>
          </w:p>
        </w:tc>
        <w:tc>
          <w:tcPr>
            <w:tcW w:type="dxa" w:w="1584"/>
            <w:shd w:fill="FFFFFF"/>
            <w:tcMar>
              <w:top w:w="80" w:type="dxa"/>
              <w:bottom w:w="80" w:type="dxa"/>
              <w:left w:w="120" w:type="dxa"/>
              <w:right w:w="120" w:type="dxa"/>
            </w:tcMar>
          </w:tcPr>
          <w:p>
            <w:pPr>
              <w:spacing w:before="0" w:after="0"/>
              <w:jc w:val="left"/>
            </w:pPr>
            <w:r>
              <w:rPr>
                <w:rFonts w:ascii="Calibri" w:hAnsi="Calibri"/>
                <w:color w:val="2B2B2B"/>
                <w:sz w:val="18"/>
              </w:rPr>
              <w:t>Facility Ownership</w:t>
            </w:r>
          </w:p>
        </w:tc>
        <w:tc>
          <w:tcPr>
            <w:tcW w:type="dxa" w:w="2304"/>
            <w:shd w:fill="FFFFFF"/>
            <w:tcMar>
              <w:top w:w="80" w:type="dxa"/>
              <w:bottom w:w="80" w:type="dxa"/>
              <w:left w:w="120" w:type="dxa"/>
              <w:right w:w="120" w:type="dxa"/>
            </w:tcMar>
          </w:tcPr>
          <w:p>
            <w:pPr>
              <w:spacing w:before="0" w:after="0"/>
              <w:jc w:val="left"/>
            </w:pPr>
            <w:r>
              <w:rPr>
                <w:rFonts w:ascii="Calibri" w:hAnsi="Calibri"/>
                <w:color w:val="2B2B2B"/>
                <w:sz w:val="18"/>
              </w:rPr>
              <w:t>Private provider billing behavior distinctions.</w:t>
            </w:r>
          </w:p>
        </w:tc>
      </w:tr>
      <w:tr>
        <w:tc>
          <w:tcPr>
            <w:tcW w:type="dxa" w:w="864"/>
            <w:shd w:fill="F8FAFC"/>
            <w:tcMar>
              <w:top w:w="80" w:type="dxa"/>
              <w:bottom w:w="80" w:type="dxa"/>
              <w:left w:w="120" w:type="dxa"/>
              <w:right w:w="120" w:type="dxa"/>
            </w:tcMar>
          </w:tcPr>
          <w:p>
            <w:pPr>
              <w:spacing w:before="0" w:after="0"/>
              <w:jc w:val="center"/>
            </w:pPr>
            <w:r>
              <w:rPr>
                <w:rFonts w:ascii="Calibri" w:hAnsi="Calibri"/>
                <w:color w:val="2B2B2B"/>
                <w:sz w:val="18"/>
              </w:rPr>
              <w:t>12</w:t>
            </w:r>
          </w:p>
        </w:tc>
        <w:tc>
          <w:tcPr>
            <w:tcW w:type="dxa" w:w="3168"/>
            <w:shd w:fill="F8FAFC"/>
            <w:tcMar>
              <w:top w:w="80" w:type="dxa"/>
              <w:bottom w:w="80" w:type="dxa"/>
              <w:left w:w="120" w:type="dxa"/>
              <w:right w:w="120" w:type="dxa"/>
            </w:tcMar>
          </w:tcPr>
          <w:p>
            <w:pPr>
              <w:spacing w:before="0" w:after="0"/>
              <w:jc w:val="left"/>
            </w:pPr>
            <w:r>
              <w:rPr>
                <w:rFonts w:ascii="Calibri" w:hAnsi="Calibri"/>
                <w:color w:val="2B2B2B"/>
                <w:sz w:val="18"/>
              </w:rPr>
              <w:t>Icdid__risk</w:t>
            </w:r>
          </w:p>
        </w:tc>
        <w:tc>
          <w:tcPr>
            <w:tcW w:type="dxa" w:w="1440"/>
            <w:shd w:fill="F8FAFC"/>
            <w:tcMar>
              <w:top w:w="80" w:type="dxa"/>
              <w:bottom w:w="80" w:type="dxa"/>
              <w:left w:w="120" w:type="dxa"/>
              <w:right w:w="120" w:type="dxa"/>
            </w:tcMar>
          </w:tcPr>
          <w:p>
            <w:pPr>
              <w:spacing w:before="0" w:after="0"/>
              <w:jc w:val="right"/>
            </w:pPr>
            <w:r>
              <w:rPr>
                <w:rFonts w:ascii="Calibri" w:hAnsi="Calibri"/>
                <w:color w:val="2B2B2B"/>
                <w:sz w:val="18"/>
              </w:rPr>
              <w:t>0.235798</w:t>
            </w:r>
          </w:p>
        </w:tc>
        <w:tc>
          <w:tcPr>
            <w:tcW w:type="dxa" w:w="1584"/>
            <w:shd w:fill="F8FAFC"/>
            <w:tcMar>
              <w:top w:w="80" w:type="dxa"/>
              <w:bottom w:w="80" w:type="dxa"/>
              <w:left w:w="120" w:type="dxa"/>
              <w:right w:w="120" w:type="dxa"/>
            </w:tcMar>
          </w:tcPr>
          <w:p>
            <w:pPr>
              <w:spacing w:before="0" w:after="0"/>
              <w:jc w:val="left"/>
            </w:pPr>
            <w:r>
              <w:rPr>
                <w:rFonts w:ascii="Calibri" w:hAnsi="Calibri"/>
                <w:color w:val="2B2B2B"/>
                <w:sz w:val="18"/>
              </w:rPr>
              <w:t>Diagnostic Risk</w:t>
            </w:r>
          </w:p>
        </w:tc>
        <w:tc>
          <w:tcPr>
            <w:tcW w:type="dxa" w:w="2304"/>
            <w:shd w:fill="F8FAFC"/>
            <w:tcMar>
              <w:top w:w="80" w:type="dxa"/>
              <w:bottom w:w="80" w:type="dxa"/>
              <w:left w:w="120" w:type="dxa"/>
              <w:right w:w="120" w:type="dxa"/>
            </w:tcMar>
          </w:tcPr>
          <w:p>
            <w:pPr>
              <w:spacing w:before="0" w:after="0"/>
              <w:jc w:val="left"/>
            </w:pPr>
            <w:r>
              <w:rPr>
                <w:rFonts w:ascii="Calibri" w:hAnsi="Calibri"/>
                <w:color w:val="2B2B2B"/>
                <w:sz w:val="18"/>
              </w:rPr>
              <w:t>Rejection propensity associated with specific disease diagnostic codes.</w:t>
            </w:r>
          </w:p>
        </w:tc>
      </w:tr>
      <w:tr>
        <w:tc>
          <w:tcPr>
            <w:tcW w:type="dxa" w:w="864"/>
            <w:shd w:fill="FFFFFF"/>
            <w:tcMar>
              <w:top w:w="80" w:type="dxa"/>
              <w:bottom w:w="80" w:type="dxa"/>
              <w:left w:w="120" w:type="dxa"/>
              <w:right w:w="120" w:type="dxa"/>
            </w:tcMar>
          </w:tcPr>
          <w:p>
            <w:pPr>
              <w:spacing w:before="0" w:after="0"/>
              <w:jc w:val="center"/>
            </w:pPr>
            <w:r>
              <w:rPr>
                <w:rFonts w:ascii="Calibri" w:hAnsi="Calibri"/>
                <w:color w:val="2B2B2B"/>
                <w:sz w:val="18"/>
              </w:rPr>
              <w:t>13</w:t>
            </w:r>
          </w:p>
        </w:tc>
        <w:tc>
          <w:tcPr>
            <w:tcW w:type="dxa" w:w="3168"/>
            <w:shd w:fill="FFFFFF"/>
            <w:tcMar>
              <w:top w:w="80" w:type="dxa"/>
              <w:bottom w:w="80" w:type="dxa"/>
              <w:left w:w="120" w:type="dxa"/>
              <w:right w:w="120" w:type="dxa"/>
            </w:tcMar>
          </w:tcPr>
          <w:p>
            <w:pPr>
              <w:spacing w:before="0" w:after="0"/>
              <w:jc w:val="left"/>
            </w:pPr>
            <w:r>
              <w:rPr>
                <w:rFonts w:ascii="Calibri" w:hAnsi="Calibri"/>
                <w:color w:val="2B2B2B"/>
                <w:sz w:val="18"/>
              </w:rPr>
              <w:t>NUM_LengthOfStay</w:t>
            </w:r>
          </w:p>
        </w:tc>
        <w:tc>
          <w:tcPr>
            <w:tcW w:type="dxa" w:w="1440"/>
            <w:shd w:fill="FFFFFF"/>
            <w:tcMar>
              <w:top w:w="80" w:type="dxa"/>
              <w:bottom w:w="80" w:type="dxa"/>
              <w:left w:w="120" w:type="dxa"/>
              <w:right w:w="120" w:type="dxa"/>
            </w:tcMar>
          </w:tcPr>
          <w:p>
            <w:pPr>
              <w:spacing w:before="0" w:after="0"/>
              <w:jc w:val="right"/>
            </w:pPr>
            <w:r>
              <w:rPr>
                <w:rFonts w:ascii="Calibri" w:hAnsi="Calibri"/>
                <w:color w:val="2B2B2B"/>
                <w:sz w:val="18"/>
              </w:rPr>
              <w:t>0.189507</w:t>
            </w:r>
          </w:p>
        </w:tc>
        <w:tc>
          <w:tcPr>
            <w:tcW w:type="dxa" w:w="1584"/>
            <w:shd w:fill="FFFFFF"/>
            <w:tcMar>
              <w:top w:w="80" w:type="dxa"/>
              <w:bottom w:w="80" w:type="dxa"/>
              <w:left w:w="120" w:type="dxa"/>
              <w:right w:w="120" w:type="dxa"/>
            </w:tcMar>
          </w:tcPr>
          <w:p>
            <w:pPr>
              <w:spacing w:before="0" w:after="0"/>
              <w:jc w:val="left"/>
            </w:pPr>
            <w:r>
              <w:rPr>
                <w:rFonts w:ascii="Calibri" w:hAnsi="Calibri"/>
                <w:color w:val="2B2B2B"/>
                <w:sz w:val="18"/>
              </w:rPr>
              <w:t>Hospital Stay</w:t>
            </w:r>
          </w:p>
        </w:tc>
        <w:tc>
          <w:tcPr>
            <w:tcW w:type="dxa" w:w="2304"/>
            <w:shd w:fill="FFFFFF"/>
            <w:tcMar>
              <w:top w:w="80" w:type="dxa"/>
              <w:bottom w:w="80" w:type="dxa"/>
              <w:left w:w="120" w:type="dxa"/>
              <w:right w:w="120" w:type="dxa"/>
            </w:tcMar>
          </w:tcPr>
          <w:p>
            <w:pPr>
              <w:spacing w:before="0" w:after="0"/>
              <w:jc w:val="left"/>
            </w:pPr>
            <w:r>
              <w:rPr>
                <w:rFonts w:ascii="Calibri" w:hAnsi="Calibri"/>
                <w:color w:val="2B2B2B"/>
                <w:sz w:val="18"/>
              </w:rPr>
              <w:t>Extreme inpatient admission durations relative to standard protocols.</w:t>
            </w:r>
          </w:p>
        </w:tc>
      </w:tr>
      <w:tr>
        <w:tc>
          <w:tcPr>
            <w:tcW w:type="dxa" w:w="864"/>
            <w:shd w:fill="F8FAFC"/>
            <w:tcMar>
              <w:top w:w="80" w:type="dxa"/>
              <w:bottom w:w="80" w:type="dxa"/>
              <w:left w:w="120" w:type="dxa"/>
              <w:right w:w="120" w:type="dxa"/>
            </w:tcMar>
          </w:tcPr>
          <w:p>
            <w:pPr>
              <w:spacing w:before="0" w:after="0"/>
              <w:jc w:val="center"/>
            </w:pPr>
            <w:r>
              <w:rPr>
                <w:rFonts w:ascii="Calibri" w:hAnsi="Calibri"/>
                <w:color w:val="2B2B2B"/>
                <w:sz w:val="18"/>
              </w:rPr>
              <w:t>14</w:t>
            </w:r>
          </w:p>
        </w:tc>
        <w:tc>
          <w:tcPr>
            <w:tcW w:type="dxa" w:w="3168"/>
            <w:shd w:fill="F8FAFC"/>
            <w:tcMar>
              <w:top w:w="80" w:type="dxa"/>
              <w:bottom w:w="80" w:type="dxa"/>
              <w:left w:w="120" w:type="dxa"/>
              <w:right w:w="120" w:type="dxa"/>
            </w:tcMar>
          </w:tcPr>
          <w:p>
            <w:pPr>
              <w:spacing w:before="0" w:after="0"/>
              <w:jc w:val="left"/>
            </w:pPr>
            <w:r>
              <w:rPr>
                <w:rFonts w:ascii="Calibri" w:hAnsi="Calibri"/>
                <w:color w:val="2B2B2B"/>
                <w:sz w:val="18"/>
              </w:rPr>
              <w:t>HFLevel=C</w:t>
            </w:r>
          </w:p>
        </w:tc>
        <w:tc>
          <w:tcPr>
            <w:tcW w:type="dxa" w:w="1440"/>
            <w:shd w:fill="F8FAFC"/>
            <w:tcMar>
              <w:top w:w="80" w:type="dxa"/>
              <w:bottom w:w="80" w:type="dxa"/>
              <w:left w:w="120" w:type="dxa"/>
              <w:right w:w="120" w:type="dxa"/>
            </w:tcMar>
          </w:tcPr>
          <w:p>
            <w:pPr>
              <w:spacing w:before="0" w:after="0"/>
              <w:jc w:val="right"/>
            </w:pPr>
            <w:r>
              <w:rPr>
                <w:rFonts w:ascii="Calibri" w:hAnsi="Calibri"/>
                <w:color w:val="2B2B2B"/>
                <w:sz w:val="18"/>
              </w:rPr>
              <w:t>0.177289</w:t>
            </w:r>
          </w:p>
        </w:tc>
        <w:tc>
          <w:tcPr>
            <w:tcW w:type="dxa" w:w="1584"/>
            <w:shd w:fill="F8FAFC"/>
            <w:tcMar>
              <w:top w:w="80" w:type="dxa"/>
              <w:bottom w:w="80" w:type="dxa"/>
              <w:left w:w="120" w:type="dxa"/>
              <w:right w:w="120" w:type="dxa"/>
            </w:tcMar>
          </w:tcPr>
          <w:p>
            <w:pPr>
              <w:spacing w:before="0" w:after="0"/>
              <w:jc w:val="left"/>
            </w:pPr>
            <w:r>
              <w:rPr>
                <w:rFonts w:ascii="Calibri" w:hAnsi="Calibri"/>
                <w:color w:val="2B2B2B"/>
                <w:sz w:val="18"/>
              </w:rPr>
              <w:t>Facility Tier</w:t>
            </w:r>
          </w:p>
        </w:tc>
        <w:tc>
          <w:tcPr>
            <w:tcW w:type="dxa" w:w="2304"/>
            <w:shd w:fill="F8FAFC"/>
            <w:tcMar>
              <w:top w:w="80" w:type="dxa"/>
              <w:bottom w:w="80" w:type="dxa"/>
              <w:left w:w="120" w:type="dxa"/>
              <w:right w:w="120" w:type="dxa"/>
            </w:tcMar>
          </w:tcPr>
          <w:p>
            <w:pPr>
              <w:spacing w:before="0" w:after="0"/>
              <w:jc w:val="left"/>
            </w:pPr>
            <w:r>
              <w:rPr>
                <w:rFonts w:ascii="Calibri" w:hAnsi="Calibri"/>
                <w:color w:val="2B2B2B"/>
                <w:sz w:val="18"/>
              </w:rPr>
              <w:t>Health Center (Level C) procedure scope violations.</w:t>
            </w:r>
          </w:p>
        </w:tc>
      </w:tr>
      <w:tr>
        <w:tc>
          <w:tcPr>
            <w:tcW w:type="dxa" w:w="864"/>
            <w:shd w:fill="FFFFFF"/>
            <w:tcMar>
              <w:top w:w="80" w:type="dxa"/>
              <w:bottom w:w="80" w:type="dxa"/>
              <w:left w:w="120" w:type="dxa"/>
              <w:right w:w="120" w:type="dxa"/>
            </w:tcMar>
          </w:tcPr>
          <w:p>
            <w:pPr>
              <w:spacing w:before="0" w:after="0"/>
              <w:jc w:val="center"/>
            </w:pPr>
            <w:r>
              <w:rPr>
                <w:rFonts w:ascii="Calibri" w:hAnsi="Calibri"/>
                <w:color w:val="2B2B2B"/>
                <w:sz w:val="18"/>
              </w:rPr>
              <w:t>15</w:t>
            </w:r>
          </w:p>
        </w:tc>
        <w:tc>
          <w:tcPr>
            <w:tcW w:type="dxa" w:w="3168"/>
            <w:shd w:fill="FFFFFF"/>
            <w:tcMar>
              <w:top w:w="80" w:type="dxa"/>
              <w:bottom w:w="80" w:type="dxa"/>
              <w:left w:w="120" w:type="dxa"/>
              <w:right w:w="120" w:type="dxa"/>
            </w:tcMar>
          </w:tcPr>
          <w:p>
            <w:pPr>
              <w:spacing w:before="0" w:after="0"/>
              <w:jc w:val="left"/>
            </w:pPr>
            <w:r>
              <w:rPr>
                <w:rFonts w:ascii="Calibri" w:hAnsi="Calibri"/>
                <w:color w:val="2B2B2B"/>
                <w:sz w:val="18"/>
              </w:rPr>
              <w:t>NUM_CostPerDay</w:t>
            </w:r>
          </w:p>
        </w:tc>
        <w:tc>
          <w:tcPr>
            <w:tcW w:type="dxa" w:w="1440"/>
            <w:shd w:fill="FFFFFF"/>
            <w:tcMar>
              <w:top w:w="80" w:type="dxa"/>
              <w:bottom w:w="80" w:type="dxa"/>
              <w:left w:w="120" w:type="dxa"/>
              <w:right w:w="120" w:type="dxa"/>
            </w:tcMar>
          </w:tcPr>
          <w:p>
            <w:pPr>
              <w:spacing w:before="0" w:after="0"/>
              <w:jc w:val="right"/>
            </w:pPr>
            <w:r>
              <w:rPr>
                <w:rFonts w:ascii="Calibri" w:hAnsi="Calibri"/>
                <w:color w:val="2B2B2B"/>
                <w:sz w:val="18"/>
              </w:rPr>
              <w:t>0.145970</w:t>
            </w:r>
          </w:p>
        </w:tc>
        <w:tc>
          <w:tcPr>
            <w:tcW w:type="dxa" w:w="1584"/>
            <w:shd w:fill="FFFFFF"/>
            <w:tcMar>
              <w:top w:w="80" w:type="dxa"/>
              <w:bottom w:w="80" w:type="dxa"/>
              <w:left w:w="120" w:type="dxa"/>
              <w:right w:w="120" w:type="dxa"/>
            </w:tcMar>
          </w:tcPr>
          <w:p>
            <w:pPr>
              <w:spacing w:before="0" w:after="0"/>
              <w:jc w:val="left"/>
            </w:pPr>
            <w:r>
              <w:rPr>
                <w:rFonts w:ascii="Calibri" w:hAnsi="Calibri"/>
                <w:color w:val="2B2B2B"/>
                <w:sz w:val="18"/>
              </w:rPr>
              <w:t>Stay Intensity</w:t>
            </w:r>
          </w:p>
        </w:tc>
        <w:tc>
          <w:tcPr>
            <w:tcW w:type="dxa" w:w="2304"/>
            <w:shd w:fill="FFFFFF"/>
            <w:tcMar>
              <w:top w:w="80" w:type="dxa"/>
              <w:bottom w:w="80" w:type="dxa"/>
              <w:left w:w="120" w:type="dxa"/>
              <w:right w:w="120" w:type="dxa"/>
            </w:tcMar>
          </w:tcPr>
          <w:p>
            <w:pPr>
              <w:spacing w:before="0" w:after="0"/>
              <w:jc w:val="left"/>
            </w:pPr>
            <w:r>
              <w:rPr>
                <w:rFonts w:ascii="Calibri" w:hAnsi="Calibri"/>
                <w:color w:val="2B2B2B"/>
                <w:sz w:val="18"/>
              </w:rPr>
              <w:t>Extreme daily billing run-rates during inpatient admissions.</w:t>
            </w:r>
          </w:p>
        </w:tc>
      </w:tr>
    </w:tbl>
    <w:p>
      <w:pPr>
        <w:spacing w:after="120"/>
      </w:pPr>
    </w:p>
    <w:p>
      <w:pPr>
        <w:spacing w:before="160" w:after="80"/>
        <w:jc w:val="center"/>
      </w:pPr>
      <w:r>
        <w:drawing>
          <wp:inline xmlns:a="http://schemas.openxmlformats.org/drawingml/2006/main" xmlns:pic="http://schemas.openxmlformats.org/drawingml/2006/picture">
            <wp:extent cx="5486400" cy="5145673"/>
            <wp:docPr id="2" name="Picture 2"/>
            <wp:cNvGraphicFramePr>
              <a:graphicFrameLocks noChangeAspect="1"/>
            </wp:cNvGraphicFramePr>
            <a:graphic>
              <a:graphicData uri="http://schemas.openxmlformats.org/drawingml/2006/picture">
                <pic:pic>
                  <pic:nvPicPr>
                    <pic:cNvPr id="0" name="isolation_forest_shap_beeswarm.png"/>
                    <pic:cNvPicPr/>
                  </pic:nvPicPr>
                  <pic:blipFill>
                    <a:blip r:embed="rId10"/>
                    <a:stretch>
                      <a:fillRect/>
                    </a:stretch>
                  </pic:blipFill>
                  <pic:spPr>
                    <a:xfrm>
                      <a:off x="0" y="0"/>
                      <a:ext cx="5486400" cy="5145673"/>
                    </a:xfrm>
                    <a:prstGeom prst="rect"/>
                  </pic:spPr>
                </pic:pic>
              </a:graphicData>
            </a:graphic>
          </wp:inline>
        </w:drawing>
      </w:r>
    </w:p>
    <w:p>
      <w:pPr>
        <w:spacing w:before="0" w:after="200"/>
        <w:jc w:val="center"/>
      </w:pPr>
      <w:r>
        <w:rPr>
          <w:rFonts w:ascii="Calibri" w:hAnsi="Calibri"/>
          <w:i/>
          <w:color w:val="666666"/>
          <w:sz w:val="17"/>
        </w:rPr>
        <w:t>Figure 2: TreeSHAP Beeswarm Summary Plot showing feature impact distribution on anomaly scores across 5,000 claims.</w:t>
      </w:r>
    </w:p>
    <w:p>
      <w:pPr>
        <w:spacing w:before="160" w:after="80"/>
        <w:jc w:val="center"/>
      </w:pPr>
      <w:r>
        <w:drawing>
          <wp:inline xmlns:a="http://schemas.openxmlformats.org/drawingml/2006/main" xmlns:pic="http://schemas.openxmlformats.org/drawingml/2006/picture">
            <wp:extent cx="5486400" cy="2715491"/>
            <wp:docPr id="3" name="Picture 3"/>
            <wp:cNvGraphicFramePr>
              <a:graphicFrameLocks noChangeAspect="1"/>
            </wp:cNvGraphicFramePr>
            <a:graphic>
              <a:graphicData uri="http://schemas.openxmlformats.org/drawingml/2006/picture">
                <pic:pic>
                  <pic:nvPicPr>
                    <pic:cNvPr id="0" name="isolation_forest_shap_global_bar.png"/>
                    <pic:cNvPicPr/>
                  </pic:nvPicPr>
                  <pic:blipFill>
                    <a:blip r:embed="rId11"/>
                    <a:stretch>
                      <a:fillRect/>
                    </a:stretch>
                  </pic:blipFill>
                  <pic:spPr>
                    <a:xfrm>
                      <a:off x="0" y="0"/>
                      <a:ext cx="5486400" cy="2715491"/>
                    </a:xfrm>
                    <a:prstGeom prst="rect"/>
                  </pic:spPr>
                </pic:pic>
              </a:graphicData>
            </a:graphic>
          </wp:inline>
        </w:drawing>
      </w:r>
    </w:p>
    <w:p>
      <w:pPr>
        <w:spacing w:before="0" w:after="200"/>
        <w:jc w:val="center"/>
      </w:pPr>
      <w:r>
        <w:rPr>
          <w:rFonts w:ascii="Calibri" w:hAnsi="Calibri"/>
          <w:i/>
          <w:color w:val="666666"/>
          <w:sz w:val="17"/>
        </w:rPr>
        <w:t>Figure 3: Global Feature Importance (Mean |SHAP|) across top 15 features.</w:t>
      </w:r>
    </w:p>
    <w:p>
      <w:pPr>
        <w:keepNext/>
        <w:spacing w:before="320" w:after="120"/>
      </w:pPr>
      <w:r>
        <w:rPr>
          <w:rFonts w:ascii="Arial" w:hAnsi="Arial"/>
          <w:b/>
          <w:color w:val="1B365D"/>
          <w:sz w:val="28"/>
        </w:rPr>
        <w:t>5. Per-Claim Auditor Explanations: Real-World Case Study</w:t>
      </w:r>
    </w:p>
    <w:p>
      <w:pPr>
        <w:spacing w:before="0" w:after="120" w:line="276" w:lineRule="auto"/>
      </w:pPr>
      <w:r>
        <w:rPr>
          <w:rFonts w:ascii="Calibri" w:hAnsi="Calibri"/>
          <w:color w:val="333333"/>
          <w:sz w:val="20"/>
        </w:rPr>
        <w:t>To operationalize machine learning outputs, alerts must translate into concrete, defensible plain-language explanations that claims auditors can immediately cite in hospital audit letters. The highest-scoring flagged claim from the holdout test set illustrates this capability:</w:t>
      </w:r>
    </w:p>
    <w:tbl>
      <w:tblPr>
        <w:tblW w:type="auto" w:w="0"/>
        <w:jc w:val="center"/>
        <w:tblLayout w:type="fixed"/>
        <w:tblLook w:firstColumn="1" w:firstRow="1" w:lastColumn="0" w:lastRow="0" w:noHBand="0" w:noVBand="1" w:val="04A0"/>
      </w:tblPr>
      <w:tblGrid>
        <w:gridCol w:w="9360"/>
      </w:tblGrid>
      <w:tr>
        <w:tc>
          <w:tcPr>
            <w:tcW w:type="dxa" w:w="9360"/>
            <w:shd w:fill="EBF3FA"/>
            <w:tcBorders>
              <w:top w:val="none" w:sz="0" w:space="0" w:color="auto"/>
              <w:left w:val="single" w:sz="28" w:space="0" w:color="1B365D"/>
              <w:bottom w:val="none" w:sz="0" w:space="0" w:color="auto"/>
              <w:right w:val="none" w:sz="0" w:space="0" w:color="auto"/>
            </w:tcBorders>
            <w:tcMar>
              <w:top w:w="140" w:type="dxa"/>
              <w:bottom w:w="140" w:type="dxa"/>
              <w:left w:w="200" w:type="dxa"/>
              <w:right w:w="180" w:type="dxa"/>
            </w:tcMar>
          </w:tcPr>
          <w:p>
            <w:pPr>
              <w:spacing w:before="0" w:after="0" w:line="276" w:lineRule="auto"/>
            </w:pPr>
            <w:r>
              <w:rPr>
                <w:rFonts w:ascii="Arial" w:hAnsi="Arial"/>
                <w:b/>
                <w:color w:val="1B365D"/>
                <w:sz w:val="20"/>
              </w:rPr>
              <w:t xml:space="preserve">Audit Alert Profile — Claim ID 12144412: </w:t>
            </w:r>
            <w:r>
              <w:rPr>
                <w:rFonts w:ascii="Calibri" w:hAnsi="Calibri"/>
                <w:color w:val="2B2B2B"/>
                <w:sz w:val="20"/>
              </w:rPr>
              <w:t>Health Facility ID: 3898 | Anomaly Score: 0.705189 (99.99th Percentile) | Ground Truth: REJECTED (Code 1 - Non-compliant admission)</w:t>
              <w:br/>
              <w:t>Auditor Plain-Language Root Cause:</w:t>
              <w:br/>
              <w:t>• NUM_LengthOfStay: 414.0 days claimed (+72.8 standard deviations above accepted median of 0.0 days)</w:t>
              <w:br/>
              <w:t>• Hfid__risk: 2.8900 facility risk score (+7.1 standard deviations above accepted median of 0.0982)</w:t>
              <w:br/>
              <w:t>• NUM_ServiceCount__imputed: 1.0 (+2.5 standard deviations above accepted median of 0.0)</w:t>
            </w:r>
          </w:p>
        </w:tc>
      </w:tr>
    </w:tbl>
    <w:p>
      <w:pPr>
        <w:spacing w:after="120"/>
      </w:pPr>
    </w:p>
    <w:tbl>
      <w:tblPr>
        <w:tblW w:type="auto" w:w="0"/>
        <w:jc w:val="center"/>
        <w:tblLayout w:type="fixed"/>
        <w:tblLook w:firstColumn="1" w:firstRow="1" w:lastColumn="0" w:lastRow="0" w:noHBand="0" w:noVBand="1" w:val="04A0"/>
        <w:tblBorders>
          <w:top w:val="single" w:sz="4" w:space="0" w:color="D3D3D3"/>
          <w:bottom w:val="single" w:sz="8" w:space="0" w:color="1B365D"/>
          <w:insideH w:val="single" w:sz="4" w:space="0" w:color="D3D3D3"/>
          <w:insideV w:val="none" w:sz="0" w:space="0" w:color="auto"/>
          <w:left w:val="none" w:sz="0" w:space="0" w:color="auto"/>
          <w:right w:val="none" w:sz="0" w:space="0" w:color="auto"/>
        </w:tblBorders>
      </w:tblPr>
      <w:tblGrid>
        <w:gridCol w:w="1560"/>
        <w:gridCol w:w="1560"/>
        <w:gridCol w:w="1560"/>
        <w:gridCol w:w="1560"/>
        <w:gridCol w:w="1560"/>
        <w:gridCol w:w="1560"/>
      </w:tblGrid>
      <w:tr>
        <w:trPr>
          <w:tblHeader/>
        </w:trPr>
        <w:tc>
          <w:tcPr>
            <w:tcW w:type="dxa" w:w="2592"/>
            <w:shd w:fill="1B365D"/>
            <w:tcMar>
              <w:top w:w="100" w:type="dxa"/>
              <w:bottom w:w="100" w:type="dxa"/>
              <w:left w:w="120" w:type="dxa"/>
              <w:right w:w="120" w:type="dxa"/>
            </w:tcMar>
          </w:tcPr>
          <w:p>
            <w:pPr>
              <w:spacing w:before="0" w:after="0"/>
              <w:jc w:val="left"/>
            </w:pPr>
            <w:r>
              <w:rPr>
                <w:rFonts w:ascii="Arial" w:hAnsi="Arial"/>
                <w:b/>
                <w:color w:val="FFFFFF"/>
                <w:sz w:val="18"/>
              </w:rPr>
              <w:t>Feature Name</w:t>
            </w:r>
          </w:p>
        </w:tc>
        <w:tc>
          <w:tcPr>
            <w:tcW w:type="dxa" w:w="1296"/>
            <w:shd w:fill="1B365D"/>
            <w:tcMar>
              <w:top w:w="100" w:type="dxa"/>
              <w:bottom w:w="100" w:type="dxa"/>
              <w:left w:w="120" w:type="dxa"/>
              <w:right w:w="120" w:type="dxa"/>
            </w:tcMar>
          </w:tcPr>
          <w:p>
            <w:pPr>
              <w:spacing w:before="0" w:after="0"/>
              <w:jc w:val="right"/>
            </w:pPr>
            <w:r>
              <w:rPr>
                <w:rFonts w:ascii="Arial" w:hAnsi="Arial"/>
                <w:b/>
                <w:color w:val="FFFFFF"/>
                <w:sz w:val="18"/>
              </w:rPr>
              <w:t>Claim Value</w:t>
            </w:r>
          </w:p>
        </w:tc>
        <w:tc>
          <w:tcPr>
            <w:tcW w:type="dxa" w:w="1296"/>
            <w:shd w:fill="1B365D"/>
            <w:tcMar>
              <w:top w:w="100" w:type="dxa"/>
              <w:bottom w:w="100" w:type="dxa"/>
              <w:left w:w="120" w:type="dxa"/>
              <w:right w:w="120" w:type="dxa"/>
            </w:tcMar>
          </w:tcPr>
          <w:p>
            <w:pPr>
              <w:spacing w:before="0" w:after="0"/>
              <w:jc w:val="right"/>
            </w:pPr>
            <w:r>
              <w:rPr>
                <w:rFonts w:ascii="Arial" w:hAnsi="Arial"/>
                <w:b/>
                <w:color w:val="FFFFFF"/>
                <w:sz w:val="18"/>
              </w:rPr>
              <w:t>Accepted Median</w:t>
            </w:r>
          </w:p>
        </w:tc>
        <w:tc>
          <w:tcPr>
            <w:tcW w:type="dxa" w:w="1584"/>
            <w:shd w:fill="1B365D"/>
            <w:tcMar>
              <w:top w:w="100" w:type="dxa"/>
              <w:bottom w:w="100" w:type="dxa"/>
              <w:left w:w="120" w:type="dxa"/>
              <w:right w:w="120" w:type="dxa"/>
            </w:tcMar>
          </w:tcPr>
          <w:p>
            <w:pPr>
              <w:spacing w:before="0" w:after="0"/>
              <w:jc w:val="right"/>
            </w:pPr>
            <w:r>
              <w:rPr>
                <w:rFonts w:ascii="Arial" w:hAnsi="Arial"/>
                <w:b/>
                <w:color w:val="FFFFFF"/>
                <w:sz w:val="18"/>
              </w:rPr>
              <w:t>Deviation (SD from Median)</w:t>
            </w:r>
          </w:p>
        </w:tc>
        <w:tc>
          <w:tcPr>
            <w:tcW w:type="dxa" w:w="1152"/>
            <w:shd w:fill="1B365D"/>
            <w:tcMar>
              <w:top w:w="100" w:type="dxa"/>
              <w:bottom w:w="100" w:type="dxa"/>
              <w:left w:w="120" w:type="dxa"/>
              <w:right w:w="120" w:type="dxa"/>
            </w:tcMar>
          </w:tcPr>
          <w:p>
            <w:pPr>
              <w:spacing w:before="0" w:after="0"/>
              <w:jc w:val="right"/>
            </w:pPr>
            <w:r>
              <w:rPr>
                <w:rFonts w:ascii="Arial" w:hAnsi="Arial"/>
                <w:b/>
                <w:color w:val="FFFFFF"/>
                <w:sz w:val="18"/>
              </w:rPr>
              <w:t>SHAP Impact</w:t>
            </w:r>
          </w:p>
        </w:tc>
        <w:tc>
          <w:tcPr>
            <w:tcW w:type="dxa" w:w="1440"/>
            <w:shd w:fill="1B365D"/>
            <w:tcMar>
              <w:top w:w="100" w:type="dxa"/>
              <w:bottom w:w="100" w:type="dxa"/>
              <w:left w:w="120" w:type="dxa"/>
              <w:right w:w="120" w:type="dxa"/>
            </w:tcMar>
          </w:tcPr>
          <w:p>
            <w:pPr>
              <w:spacing w:before="0" w:after="0"/>
              <w:jc w:val="left"/>
            </w:pPr>
            <w:r>
              <w:rPr>
                <w:rFonts w:ascii="Arial" w:hAnsi="Arial"/>
                <w:b/>
                <w:color w:val="FFFFFF"/>
                <w:sz w:val="18"/>
              </w:rPr>
              <w:t>Audit Meaning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B2B2B"/>
                <w:sz w:val="18"/>
              </w:rPr>
              <w:t>NUM_LengthOfStay</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414.0000</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0.0000</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+72.8 SD</w:t>
            </w:r>
          </w:p>
        </w:tc>
        <w:tc>
          <w:tcPr>
            <w:tcW w:type="dxa" w:w="1152"/>
            <w:shd w:fill="FFFFFF"/>
            <w:tcMar>
              <w:top w:w="80" w:type="dxa"/>
              <w:bottom w:w="80" w:type="dxa"/>
              <w:left w:w="120" w:type="dxa"/>
              <w:right w:w="120" w:type="dxa"/>
            </w:tcMar>
          </w:tcPr>
          <w:p>
            <w:pPr>
              <w:spacing w:before="0" w:after="0"/>
              <w:jc w:val="right"/>
            </w:pPr>
            <w:r>
              <w:rPr>
                <w:rFonts w:ascii="Calibri" w:hAnsi="Calibri"/>
                <w:color w:val="2B2B2B"/>
                <w:sz w:val="18"/>
              </w:rPr>
              <w:t>+1.7663</w:t>
            </w:r>
          </w:p>
        </w:tc>
        <w:tc>
          <w:tcPr>
            <w:tcW w:type="dxa" w:w="1440"/>
            <w:shd w:fill="FFFFFF"/>
            <w:tcMar>
              <w:top w:w="80" w:type="dxa"/>
              <w:bottom w:w="80" w:type="dxa"/>
              <w:left w:w="120" w:type="dxa"/>
              <w:right w:w="120" w:type="dxa"/>
            </w:tcMar>
          </w:tcPr>
          <w:p>
            <w:pPr>
              <w:spacing w:before="0" w:after="0"/>
              <w:jc w:val="left"/>
            </w:pPr>
            <w:r>
              <w:rPr>
                <w:rFonts w:ascii="Calibri" w:hAnsi="Calibri"/>
                <w:color w:val="2B2B2B"/>
                <w:sz w:val="18"/>
              </w:rPr>
              <w:t>Improbable 414-day inpatient stay for routine procedure.</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2B2B2B"/>
                <w:sz w:val="18"/>
              </w:rPr>
              <w:t>NUM_ServiceCount__imputed</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1.0000</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0.0000</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+2.5 SD</w:t>
            </w:r>
          </w:p>
        </w:tc>
        <w:tc>
          <w:tcPr>
            <w:tcW w:type="dxa" w:w="1152"/>
            <w:shd w:fill="F8FAFC"/>
            <w:tcMar>
              <w:top w:w="80" w:type="dxa"/>
              <w:bottom w:w="80" w:type="dxa"/>
              <w:left w:w="120" w:type="dxa"/>
              <w:right w:w="120" w:type="dxa"/>
            </w:tcMar>
          </w:tcPr>
          <w:p>
            <w:pPr>
              <w:spacing w:before="0" w:after="0"/>
              <w:jc w:val="right"/>
            </w:pPr>
            <w:r>
              <w:rPr>
                <w:rFonts w:ascii="Calibri" w:hAnsi="Calibri"/>
                <w:color w:val="2B2B2B"/>
                <w:sz w:val="18"/>
              </w:rPr>
              <w:t>+1.1887</w:t>
            </w:r>
          </w:p>
        </w:tc>
        <w:tc>
          <w:tcPr>
            <w:tcW w:type="dxa" w:w="1440"/>
            <w:shd w:fill="F8FAFC"/>
            <w:tcMar>
              <w:top w:w="80" w:type="dxa"/>
              <w:bottom w:w="80" w:type="dxa"/>
              <w:left w:w="120" w:type="dxa"/>
              <w:right w:w="120" w:type="dxa"/>
            </w:tcMar>
          </w:tcPr>
          <w:p>
            <w:pPr>
              <w:spacing w:before="0" w:after="0"/>
              <w:jc w:val="left"/>
            </w:pPr>
            <w:r>
              <w:rPr>
                <w:rFonts w:ascii="Calibri" w:hAnsi="Calibri"/>
                <w:color w:val="2B2B2B"/>
                <w:sz w:val="18"/>
              </w:rPr>
              <w:t>Unusual service line composition.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B2B2B"/>
                <w:sz w:val="18"/>
              </w:rPr>
              <w:t>Hfid__risk</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2.8900</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0.0982</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+7.1 SD</w:t>
            </w:r>
          </w:p>
        </w:tc>
        <w:tc>
          <w:tcPr>
            <w:tcW w:type="dxa" w:w="1152"/>
            <w:shd w:fill="FFFFFF"/>
            <w:tcMar>
              <w:top w:w="80" w:type="dxa"/>
              <w:bottom w:w="80" w:type="dxa"/>
              <w:left w:w="120" w:type="dxa"/>
              <w:right w:w="120" w:type="dxa"/>
            </w:tcMar>
          </w:tcPr>
          <w:p>
            <w:pPr>
              <w:spacing w:before="0" w:after="0"/>
              <w:jc w:val="right"/>
            </w:pPr>
            <w:r>
              <w:rPr>
                <w:rFonts w:ascii="Calibri" w:hAnsi="Calibri"/>
                <w:color w:val="2B2B2B"/>
                <w:sz w:val="18"/>
              </w:rPr>
              <w:t>+1.0950</w:t>
            </w:r>
          </w:p>
        </w:tc>
        <w:tc>
          <w:tcPr>
            <w:tcW w:type="dxa" w:w="1440"/>
            <w:shd w:fill="FFFFFF"/>
            <w:tcMar>
              <w:top w:w="80" w:type="dxa"/>
              <w:bottom w:w="80" w:type="dxa"/>
              <w:left w:w="120" w:type="dxa"/>
              <w:right w:w="120" w:type="dxa"/>
            </w:tcMar>
          </w:tcPr>
          <w:p>
            <w:pPr>
              <w:spacing w:before="0" w:after="0"/>
              <w:jc w:val="left"/>
            </w:pPr>
            <w:r>
              <w:rPr>
                <w:rFonts w:ascii="Calibri" w:hAnsi="Calibri"/>
                <w:color w:val="2B2B2B"/>
                <w:sz w:val="18"/>
              </w:rPr>
              <w:t>Facility has a chronic history of rejected and invalid billing.</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2B2B2B"/>
                <w:sz w:val="18"/>
              </w:rPr>
              <w:t>NUM_ServiceTotalAsked__imputed</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1.0000</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0.0000</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+2.5 SD</w:t>
            </w:r>
          </w:p>
        </w:tc>
        <w:tc>
          <w:tcPr>
            <w:tcW w:type="dxa" w:w="1152"/>
            <w:shd w:fill="F8FAFC"/>
            <w:tcMar>
              <w:top w:w="80" w:type="dxa"/>
              <w:bottom w:w="80" w:type="dxa"/>
              <w:left w:w="120" w:type="dxa"/>
              <w:right w:w="120" w:type="dxa"/>
            </w:tcMar>
          </w:tcPr>
          <w:p>
            <w:pPr>
              <w:spacing w:before="0" w:after="0"/>
              <w:jc w:val="right"/>
            </w:pPr>
            <w:r>
              <w:rPr>
                <w:rFonts w:ascii="Calibri" w:hAnsi="Calibri"/>
                <w:color w:val="2B2B2B"/>
                <w:sz w:val="18"/>
              </w:rPr>
              <w:t>+1.0874</w:t>
            </w:r>
          </w:p>
        </w:tc>
        <w:tc>
          <w:tcPr>
            <w:tcW w:type="dxa" w:w="1440"/>
            <w:shd w:fill="F8FAFC"/>
            <w:tcMar>
              <w:top w:w="80" w:type="dxa"/>
              <w:bottom w:w="80" w:type="dxa"/>
              <w:left w:w="120" w:type="dxa"/>
              <w:right w:w="120" w:type="dxa"/>
            </w:tcMar>
          </w:tcPr>
          <w:p>
            <w:pPr>
              <w:spacing w:before="0" w:after="0"/>
              <w:jc w:val="left"/>
            </w:pPr>
            <w:r>
              <w:rPr>
                <w:rFonts w:ascii="Calibri" w:hAnsi="Calibri"/>
                <w:color w:val="2B2B2B"/>
                <w:sz w:val="18"/>
              </w:rPr>
              <w:t>Monetary discrepancy in line-item aggregation.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B2B2B"/>
                <w:sz w:val="18"/>
              </w:rPr>
              <w:t>NUM_ServiceMaxPrice__imputed</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1.0000</w:t>
            </w:r>
          </w:p>
        </w:tc>
        <w:tc>
          <w:tcPr>
            <w:tcW w:type="dxa" w:w="1296"/>
            <w:shd w:fill="FFFFFF"/>
            <w:tcMar>
              <w:top w:w="80" w:type="dxa"/>
              <w:bottom w:w="80" w:type="dxa"/>
              <w:left w:w="120" w:type="dxa"/>
              <w:right w:w="120" w:type="dxa"/>
            </w:tcMar>
          </w:tcPr>
          <w:p>
            <w:pPr>
              <w:spacing w:before="0" w:after="0"/>
              <w:jc w:val="right"/>
            </w:pPr>
            <w:r>
              <w:rPr>
                <w:rFonts w:ascii="Calibri" w:hAnsi="Calibri"/>
                <w:color w:val="2B2B2B"/>
                <w:sz w:val="18"/>
              </w:rPr>
              <w:t>0.0000</w:t>
            </w:r>
          </w:p>
        </w:tc>
        <w:tc>
          <w:tcPr>
            <w:tcW w:type="dxa" w:w="1584"/>
            <w:shd w:fill="FFFFFF"/>
            <w:tcMar>
              <w:top w:w="80" w:type="dxa"/>
              <w:bottom w:w="80" w:type="dxa"/>
              <w:left w:w="120" w:type="dxa"/>
              <w:right w:w="120" w:type="dxa"/>
            </w:tcMar>
          </w:tcPr>
          <w:p>
            <w:pPr>
              <w:spacing w:before="0" w:after="0"/>
              <w:jc w:val="right"/>
            </w:pPr>
            <w:r>
              <w:rPr>
                <w:rFonts w:ascii="Calibri" w:hAnsi="Calibri"/>
                <w:color w:val="2B2B2B"/>
                <w:sz w:val="18"/>
              </w:rPr>
              <w:t>+2.5 SD</w:t>
            </w:r>
          </w:p>
        </w:tc>
        <w:tc>
          <w:tcPr>
            <w:tcW w:type="dxa" w:w="1152"/>
            <w:shd w:fill="FFFFFF"/>
            <w:tcMar>
              <w:top w:w="80" w:type="dxa"/>
              <w:bottom w:w="80" w:type="dxa"/>
              <w:left w:w="120" w:type="dxa"/>
              <w:right w:w="120" w:type="dxa"/>
            </w:tcMar>
          </w:tcPr>
          <w:p>
            <w:pPr>
              <w:spacing w:before="0" w:after="0"/>
              <w:jc w:val="right"/>
            </w:pPr>
            <w:r>
              <w:rPr>
                <w:rFonts w:ascii="Calibri" w:hAnsi="Calibri"/>
                <w:color w:val="2B2B2B"/>
                <w:sz w:val="18"/>
              </w:rPr>
              <w:t>+0.8812</w:t>
            </w:r>
          </w:p>
        </w:tc>
        <w:tc>
          <w:tcPr>
            <w:tcW w:type="dxa" w:w="1440"/>
            <w:shd w:fill="FFFFFF"/>
            <w:tcMar>
              <w:top w:w="80" w:type="dxa"/>
              <w:bottom w:w="80" w:type="dxa"/>
              <w:left w:w="120" w:type="dxa"/>
              <w:right w:w="120" w:type="dxa"/>
            </w:tcMar>
          </w:tcPr>
          <w:p>
            <w:pPr>
              <w:spacing w:before="0" w:after="0"/>
              <w:jc w:val="left"/>
            </w:pPr>
            <w:r>
              <w:rPr>
                <w:rFonts w:ascii="Calibri" w:hAnsi="Calibri"/>
                <w:color w:val="2B2B2B"/>
                <w:sz w:val="18"/>
              </w:rPr>
              <w:t>Single item price outlier.</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2B2B2B"/>
                <w:sz w:val="18"/>
              </w:rPr>
              <w:t>NUM_CostPerService__imputed</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1.0000</w:t>
            </w:r>
          </w:p>
        </w:tc>
        <w:tc>
          <w:tcPr>
            <w:tcW w:type="dxa" w:w="1296"/>
            <w:shd w:fill="F8FAFC"/>
            <w:tcMar>
              <w:top w:w="80" w:type="dxa"/>
              <w:bottom w:w="80" w:type="dxa"/>
              <w:left w:w="120" w:type="dxa"/>
              <w:right w:w="120" w:type="dxa"/>
            </w:tcMar>
          </w:tcPr>
          <w:p>
            <w:pPr>
              <w:spacing w:before="0" w:after="0"/>
              <w:jc w:val="right"/>
            </w:pPr>
            <w:r>
              <w:rPr>
                <w:rFonts w:ascii="Calibri" w:hAnsi="Calibri"/>
                <w:color w:val="2B2B2B"/>
                <w:sz w:val="18"/>
              </w:rPr>
              <w:t>0.0000</w:t>
            </w:r>
          </w:p>
        </w:tc>
        <w:tc>
          <w:tcPr>
            <w:tcW w:type="dxa" w:w="1584"/>
            <w:shd w:fill="F8FAFC"/>
            <w:tcMar>
              <w:top w:w="80" w:type="dxa"/>
              <w:bottom w:w="80" w:type="dxa"/>
              <w:left w:w="120" w:type="dxa"/>
              <w:right w:w="120" w:type="dxa"/>
            </w:tcMar>
          </w:tcPr>
          <w:p>
            <w:pPr>
              <w:spacing w:before="0" w:after="0"/>
              <w:jc w:val="right"/>
            </w:pPr>
            <w:r>
              <w:rPr>
                <w:rFonts w:ascii="Calibri" w:hAnsi="Calibri"/>
                <w:color w:val="2B2B2B"/>
                <w:sz w:val="18"/>
              </w:rPr>
              <w:t>+2.5 SD</w:t>
            </w:r>
          </w:p>
        </w:tc>
        <w:tc>
          <w:tcPr>
            <w:tcW w:type="dxa" w:w="1152"/>
            <w:shd w:fill="F8FAFC"/>
            <w:tcMar>
              <w:top w:w="80" w:type="dxa"/>
              <w:bottom w:w="80" w:type="dxa"/>
              <w:left w:w="120" w:type="dxa"/>
              <w:right w:w="120" w:type="dxa"/>
            </w:tcMar>
          </w:tcPr>
          <w:p>
            <w:pPr>
              <w:spacing w:before="0" w:after="0"/>
              <w:jc w:val="right"/>
            </w:pPr>
            <w:r>
              <w:rPr>
                <w:rFonts w:ascii="Calibri" w:hAnsi="Calibri"/>
                <w:color w:val="2B2B2B"/>
                <w:sz w:val="18"/>
              </w:rPr>
              <w:t>+0.8600</w:t>
            </w:r>
          </w:p>
        </w:tc>
        <w:tc>
          <w:tcPr>
            <w:tcW w:type="dxa" w:w="1440"/>
            <w:shd w:fill="F8FAFC"/>
            <w:tcMar>
              <w:top w:w="80" w:type="dxa"/>
              <w:bottom w:w="80" w:type="dxa"/>
              <w:left w:w="120" w:type="dxa"/>
              <w:right w:w="120" w:type="dxa"/>
            </w:tcMar>
          </w:tcPr>
          <w:p>
            <w:pPr>
              <w:spacing w:before="0" w:after="0"/>
              <w:jc w:val="left"/>
            </w:pPr>
            <w:r>
              <w:rPr>
                <w:rFonts w:ascii="Calibri" w:hAnsi="Calibri"/>
                <w:color w:val="2B2B2B"/>
                <w:sz w:val="18"/>
              </w:rPr>
              <w:t>Inflated unit cost per delivered treatment.</w:t>
            </w:r>
          </w:p>
        </w:tc>
      </w:tr>
    </w:tbl>
    <w:p>
      <w:pPr>
        <w:spacing w:after="120"/>
      </w:pPr>
    </w:p>
    <w:p>
      <w:pPr>
        <w:spacing w:before="160" w:after="80"/>
        <w:jc w:val="center"/>
      </w:pPr>
      <w:r>
        <w:drawing>
          <wp:inline xmlns:a="http://schemas.openxmlformats.org/drawingml/2006/main" xmlns:pic="http://schemas.openxmlformats.org/drawingml/2006/picture">
            <wp:extent cx="5486400" cy="5049672"/>
            <wp:docPr id="4" name="Picture 4"/>
            <wp:cNvGraphicFramePr>
              <a:graphicFrameLocks noChangeAspect="1"/>
            </wp:cNvGraphicFramePr>
            <a:graphic>
              <a:graphicData uri="http://schemas.openxmlformats.org/drawingml/2006/picture">
                <pic:pic>
                  <pic:nvPicPr>
                    <pic:cNvPr id="0" name="isolation_forest_shap_waterfall.png"/>
                    <pic:cNvPicPr/>
                  </pic:nvPicPr>
                  <pic:blipFill>
                    <a:blip r:embed="rId12"/>
                    <a:stretch>
                      <a:fillRect/>
                    </a:stretch>
                  </pic:blipFill>
                  <pic:spPr>
                    <a:xfrm>
                      <a:off x="0" y="0"/>
                      <a:ext cx="5486400" cy="5049672"/>
                    </a:xfrm>
                    <a:prstGeom prst="rect"/>
                  </pic:spPr>
                </pic:pic>
              </a:graphicData>
            </a:graphic>
          </wp:inline>
        </w:drawing>
      </w:r>
    </w:p>
    <w:p>
      <w:pPr>
        <w:spacing w:before="0" w:after="200"/>
        <w:jc w:val="center"/>
      </w:pPr>
      <w:r>
        <w:rPr>
          <w:rFonts w:ascii="Calibri" w:hAnsi="Calibri"/>
          <w:i/>
          <w:color w:val="666666"/>
          <w:sz w:val="17"/>
        </w:rPr>
        <w:t>Figure 4: Per-Claim TreeSHAP Waterfall Plot for Claim #12144412 demonstrating individual feature contributions to anomaly scoring.</w:t>
      </w:r>
    </w:p>
    <w:p>
      <w:pPr>
        <w:keepNext/>
        <w:spacing w:before="320" w:after="120"/>
      </w:pPr>
      <w:r>
        <w:rPr>
          <w:rFonts w:ascii="Arial" w:hAnsi="Arial"/>
          <w:b/>
          <w:color w:val="1B365D"/>
          <w:sz w:val="28"/>
        </w:rPr>
        <w:t>6. How to Use That (Operational Deployment Guide)</w:t>
      </w:r>
    </w:p>
    <w:p>
      <w:pPr>
        <w:spacing w:before="0" w:after="120" w:line="276" w:lineRule="auto"/>
      </w:pPr>
      <w:r>
        <w:rPr>
          <w:rFonts w:ascii="Calibri" w:hAnsi="Calibri"/>
          <w:color w:val="333333"/>
          <w:sz w:val="20"/>
        </w:rPr>
        <w:t>Based on the empirical findings and explainability infrastructure, Isolation Forest should be deployed across three core operational touchpoints in the openIMIS architecture:</w:t>
      </w:r>
    </w:p>
    <w:p>
      <w:pPr>
        <w:pStyle w:val="ListBullet"/>
        <w:spacing w:before="0" w:after="80" w:line="276" w:lineRule="auto"/>
      </w:pPr>
      <w:r>
        <w:rPr>
          <w:rFonts w:ascii="Calibri" w:hAnsi="Calibri"/>
          <w:b/>
          <w:color w:val="1B365D"/>
          <w:sz w:val="20"/>
        </w:rPr>
        <w:t xml:space="preserve">1. Lightweight Edge Hospital Pre-Screening: </w:t>
      </w:r>
      <w:r>
        <w:rPr>
          <w:rFonts w:ascii="Calibri" w:hAnsi="Calibri"/>
          <w:color w:val="333333"/>
          <w:sz w:val="20"/>
        </w:rPr>
        <w:t>Because the serialized model package (isolation_forest.pkl) is only 4.9MB and runs without GPU libraries or PyTorch dependencies, it can be deployed directly onto district hospital edge intake nodes to pre-score claims before submission.</w:t>
      </w:r>
    </w:p>
    <w:p>
      <w:pPr>
        <w:pStyle w:val="ListBullet"/>
        <w:spacing w:before="0" w:after="80" w:line="276" w:lineRule="auto"/>
      </w:pPr>
      <w:r>
        <w:rPr>
          <w:rFonts w:ascii="Calibri" w:hAnsi="Calibri"/>
          <w:b/>
          <w:color w:val="1B365D"/>
          <w:sz w:val="20"/>
        </w:rPr>
        <w:t xml:space="preserve">2. Automated Layer-1 Reason Code Attachment: </w:t>
      </w:r>
      <w:r>
        <w:rPr>
          <w:rFonts w:ascii="Calibri" w:hAnsi="Calibri"/>
          <w:color w:val="333333"/>
          <w:sz w:val="20"/>
        </w:rPr>
        <w:t>By packaging the TreeExplainer into the adjudication pipeline, any claim scoring above the 0.644 operating threshold automatically receives its top 3 SHAP drivers translated into plain-language audit reasons. This removes investigator guesswork and provides immediate legal justification for dispute resolution.</w:t>
      </w:r>
    </w:p>
    <w:p>
      <w:pPr>
        <w:pStyle w:val="ListBullet"/>
        <w:spacing w:before="0" w:after="80" w:line="276" w:lineRule="auto"/>
      </w:pPr>
      <w:r>
        <w:rPr>
          <w:rFonts w:ascii="Calibri" w:hAnsi="Calibri"/>
          <w:b/>
          <w:color w:val="1B365D"/>
          <w:sz w:val="20"/>
        </w:rPr>
        <w:t xml:space="preserve">3. High-Throughput Tier 1 Filter in Multi-Model Triage: </w:t>
      </w:r>
      <w:r>
        <w:rPr>
          <w:rFonts w:ascii="Calibri" w:hAnsi="Calibri"/>
          <w:color w:val="333333"/>
          <w:sz w:val="20"/>
        </w:rPr>
        <w:t>Because of its 5.9-second execution time across 1.6M rows, Isolation Forest functions as the primary Tier 1 filter. Claims in the top 1% (94.0% precision) can be routed directly to human audit desks, while borderline claims are passed to the Deep Autoencoder and LightGBM models for secondary confirmation.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