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80" w:before="0" w:line="276"/>
      </w:pPr>
      <w:r>
        <w:rPr>
          <w:rFonts w:ascii="Calibri" w:cs="Calibri" w:eastAsia="Calibri" w:hAnsi="Calibri"/>
          <w:b/>
          <w:bCs/>
          <w:color w:val="1F3864"/>
          <w:sz w:val="40"/>
          <w:szCs w:val="40"/>
        </w:rPr>
        <w:t xml:space="preserve">Deep Autoencoder for Healthcare Claim Anomaly Detection</w:t>
      </w:r>
    </w:p>
    <w:p>
      <w:pPr>
        <w:spacing w:after="200" w:before="0" w:line="276"/>
      </w:pPr>
      <w:r>
        <w:rPr>
          <w:rFonts w:ascii="Calibri" w:cs="Calibri" w:eastAsia="Calibri" w:hAnsi="Calibri"/>
          <w:color w:val="444444"/>
          <w:sz w:val="26"/>
          <w:szCs w:val="26"/>
        </w:rPr>
        <w:t xml:space="preserve">Results Report — Cameroon openIMIS National Health Insurance</w:t>
      </w:r>
    </w:p>
    <w:p>
      <w:pPr>
        <w:pBdr>
          <w:bottom w:val="single" w:color="1F3864" w:sz="6"/>
        </w:pBdr>
        <w:spacing w:after="300" w:before="0" w:line="276"/>
      </w:pPr>
      <w:r>
        <w:rPr>
          <w:rFonts w:ascii="Calibri" w:cs="Calibri" w:eastAsia="Calibri" w:hAnsi="Calibri"/>
          <w:i/>
          <w:iCs/>
          <w:color w:val="666666"/>
          <w:sz w:val="20"/>
          <w:szCs w:val="20"/>
        </w:rPr>
        <w:t xml:space="preserve">Corrected pipeline · 14.24 million claims · run of 28 July 2026</w:t>
      </w:r>
    </w:p>
    <w:p>
      <w:pPr>
        <w:spacing w:after="200"/>
      </w:pPr>
    </w:p>
    <w:p>
      <w:pPr>
        <w:pStyle w:val="Heading1"/>
        <w:spacing w:after="130" w:before="320"/>
      </w:pPr>
      <w:r>
        <w:rPr>
          <w:rFonts w:ascii="Calibri" w:cs="Calibri" w:eastAsia="Calibri" w:hAnsi="Calibri"/>
          <w:b/>
          <w:bCs/>
          <w:color w:val="1F3864"/>
          <w:sz w:val="30"/>
          <w:szCs w:val="30"/>
        </w:rPr>
        <w:t xml:space="preserve">1. Executive Summary</w:t>
      </w:r>
    </w:p>
    <w:p>
      <w:pPr>
        <w:spacing w:after="120" w:before="0" w:line="276"/>
      </w:pPr>
      <w:r>
        <w:rPr>
          <w:rFonts w:ascii="Calibri" w:cs="Calibri" w:eastAsia="Calibri" w:hAnsi="Calibri"/>
          <w:sz w:val="21"/>
          <w:szCs w:val="21"/>
        </w:rPr>
        <w:t xml:space="preserve">The autoencoder was rebuilt after a technical review found several defects in the original pipeline, and has now been run on the full openIMIS dataset. The corrected model works considerably better than the original, and the improvement is large enough to be worth acting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8F3EA" w:color="auto" w:val="clear"/>
            <w:tcMar>
              <w:top w:type="dxa" w:w="140"/>
              <w:left w:type="dxa" w:w="160"/>
              <w:bottom w:type="dxa" w:w="140"/>
              <w:right w:type="dxa" w:w="160"/>
            </w:tcMar>
          </w:tcPr>
          <w:p>
            <w:pPr>
              <w:spacing w:after="90"/>
            </w:pPr>
            <w:r>
              <w:rPr>
                <w:rFonts w:ascii="Calibri" w:cs="Calibri" w:eastAsia="Calibri" w:hAnsi="Calibri"/>
                <w:b/>
                <w:bCs/>
                <w:color w:val="1F3864"/>
                <w:sz w:val="21"/>
                <w:szCs w:val="21"/>
              </w:rPr>
              <w:t xml:space="preserve">Headline result</w:t>
            </w:r>
          </w:p>
          <w:p>
            <w:pPr>
              <w:spacing w:after="60" w:line="276"/>
            </w:pPr>
            <w:r>
              <w:rPr>
                <w:rFonts w:ascii="Calibri" w:cs="Calibri" w:eastAsia="Calibri" w:hAnsi="Calibri"/>
                <w:sz w:val="20"/>
                <w:szCs w:val="20"/>
              </w:rPr>
              <w:t xml:space="preserve">The model separates rejected from accepted claims with a ROC-AUC of 0.741, up from 0.666 in the original run.</w:t>
            </w:r>
          </w:p>
          <w:p>
            <w:pPr>
              <w:spacing w:after="60" w:line="276"/>
            </w:pPr>
            <w:r>
              <w:rPr>
                <w:rFonts w:ascii="Calibri" w:cs="Calibri" w:eastAsia="Calibri" w:hAnsi="Calibri"/>
                <w:sz w:val="20"/>
                <w:szCs w:val="20"/>
              </w:rPr>
              <w:t xml:space="preserve">At the recommended operating point it flags 7,364 claims out of 417,814 (1.76%), and 94.4% of those flags are genuine rejections. Only 414 legitimate claims are wrongly flagged.</w:t>
            </w:r>
          </w:p>
          <w:p>
            <w:pPr>
              <w:spacing w:after="60" w:line="276"/>
            </w:pPr>
            <w:r>
              <w:rPr>
                <w:rFonts w:ascii="Calibri" w:cs="Calibri" w:eastAsia="Calibri" w:hAnsi="Calibri"/>
                <w:sz w:val="20"/>
                <w:szCs w:val="20"/>
              </w:rPr>
              <w:t xml:space="preserve">Within the top 1% of the highest-scoring claims, 99.6% are genuine rejections.</w:t>
            </w:r>
          </w:p>
          <w:p>
            <w:pPr>
              <w:spacing w:after="60" w:line="276"/>
            </w:pPr>
            <w:r>
              <w:rPr>
                <w:rFonts w:ascii="Calibri" w:cs="Calibri" w:eastAsia="Calibri" w:hAnsi="Calibri"/>
                <w:sz w:val="20"/>
                <w:szCs w:val="20"/>
              </w:rPr>
              <w:t xml:space="preserve">It beats every baseline tested, including a linear PCA model (+28.7%) and a simple facility-risk lookup (+19.2%).</w:t>
            </w:r>
          </w:p>
        </w:tc>
      </w:tr>
    </w:tbl>
    <w:p>
      <w:pPr>
        <w:spacing w:after="120"/>
      </w:pPr>
    </w:p>
    <w:p>
      <w:pPr>
        <w:spacing w:after="120" w:before="0" w:line="276"/>
      </w:pPr>
      <w:r>
        <w:rPr>
          <w:rFonts w:ascii="Calibri" w:cs="Calibri" w:eastAsia="Calibri" w:hAnsi="Calibri"/>
          <w:sz w:val="21"/>
          <w:szCs w:val="21"/>
        </w:rPr>
        <w:t xml:space="preserve">Three things temper that result, and all three are fixable:</w:t>
      </w:r>
    </w:p>
    <w:p>
      <w:pPr>
        <w:pStyle w:val="ListParagraph"/>
        <w:numPr>
          <w:ilvl w:val="0"/>
          <w:numId w:val="2"/>
        </w:numPr>
        <w:spacing w:after="70" w:line="276"/>
      </w:pPr>
      <w:r>
        <w:rPr>
          <w:rFonts w:ascii="Calibri" w:cs="Calibri" w:eastAsia="Calibri" w:hAnsi="Calibri"/>
          <w:sz w:val="21"/>
          <w:szCs w:val="21"/>
        </w:rPr>
        <w:t xml:space="preserve">Recall is low. The model catches 9.5% of all rejections at the recommended threshold. It is a precision tool, not a catch-everything tool.</w:t>
      </w:r>
    </w:p>
    <w:p>
      <w:pPr>
        <w:pStyle w:val="ListParagraph"/>
        <w:numPr>
          <w:ilvl w:val="0"/>
          <w:numId w:val="2"/>
        </w:numPr>
        <w:spacing w:after="70" w:line="276"/>
      </w:pPr>
      <w:r>
        <w:rPr>
          <w:rFonts w:ascii="Calibri" w:cs="Calibri" w:eastAsia="Calibri" w:hAnsi="Calibri"/>
          <w:sz w:val="21"/>
          <w:szCs w:val="21"/>
        </w:rPr>
        <w:t xml:space="preserve">Performance drops between the validation and test periods (PR-AUC 0.67 → 0.51). The later the data, the worse the model does. That is a drift signal that needs monitoring.</w:t>
      </w:r>
    </w:p>
    <w:p>
      <w:pPr>
        <w:pStyle w:val="ListParagraph"/>
        <w:numPr>
          <w:ilvl w:val="0"/>
          <w:numId w:val="2"/>
        </w:numPr>
        <w:spacing w:after="70" w:line="276"/>
      </w:pPr>
      <w:r>
        <w:rPr>
          <w:rFonts w:ascii="Calibri" w:cs="Calibri" w:eastAsia="Calibri" w:hAnsi="Calibri"/>
          <w:sz w:val="21"/>
          <w:szCs w:val="21"/>
        </w:rPr>
        <w:t xml:space="preserve">Serious data quality problems remain in the source files — corrupted dates spanning 1995 to 2029, and service prices reaching 700 billion XAF. These need fixing before the numbers can be fully trusted.</w:t>
      </w:r>
    </w:p>
    <w:p>
      <w:pPr>
        <w:spacing w:after="120" w:before="0" w:line="276"/>
      </w:pPr>
      <w:r>
        <w:rPr>
          <w:rFonts w:ascii="Calibri" w:cs="Calibri" w:eastAsia="Calibri" w:hAnsi="Calibri"/>
          <w:b/>
          <w:bCs/>
          <w:sz w:val="21"/>
          <w:szCs w:val="21"/>
        </w:rPr>
        <w:t xml:space="preserve">The model is ready for a supervised pilot as an audit-queue triage aid. It is not ready to make decisions on its own, and it should not be described as a fraud detector — it predicts claim rejection, which is a related but different thing.</w:t>
      </w:r>
    </w:p>
    <w:p>
      <w:r>
        <w:br w:type="page"/>
      </w:r>
    </w:p>
    <w:p>
      <w:pPr>
        <w:pStyle w:val="Heading1"/>
        <w:spacing w:after="130" w:before="320"/>
      </w:pPr>
      <w:r>
        <w:rPr>
          <w:rFonts w:ascii="Calibri" w:cs="Calibri" w:eastAsia="Calibri" w:hAnsi="Calibri"/>
          <w:b/>
          <w:bCs/>
          <w:color w:val="1F3864"/>
          <w:sz w:val="30"/>
          <w:szCs w:val="30"/>
        </w:rPr>
        <w:t xml:space="preserve">2. In Plain English — For Non-Technical Readers</w:t>
      </w:r>
    </w:p>
    <w:p>
      <w:pPr>
        <w:pStyle w:val="Heading2"/>
        <w:spacing w:after="130" w:before="240"/>
      </w:pPr>
      <w:r>
        <w:rPr>
          <w:rFonts w:ascii="Calibri" w:cs="Calibri" w:eastAsia="Calibri" w:hAnsi="Calibri"/>
          <w:b/>
          <w:bCs/>
          <w:color w:val="1F3864"/>
          <w:sz w:val="24"/>
          <w:szCs w:val="24"/>
        </w:rPr>
        <w:t xml:space="preserve">What we were trying to do</w:t>
      </w:r>
    </w:p>
    <w:p>
      <w:pPr>
        <w:spacing w:after="120" w:before="0" w:line="276"/>
      </w:pPr>
      <w:r>
        <w:rPr>
          <w:rFonts w:ascii="Calibri" w:cs="Calibri" w:eastAsia="Calibri" w:hAnsi="Calibri"/>
          <w:sz w:val="21"/>
          <w:szCs w:val="21"/>
        </w:rPr>
        <w:t xml:space="preserve">Cameroon's national health insurance system receives millions of medical bills (claims) from hospitals and clinics. Staff have to check them. There are far more claims than there are people to check them, so most get very little scrutiny.</w:t>
      </w:r>
    </w:p>
    <w:p>
      <w:pPr>
        <w:spacing w:after="120" w:before="0" w:line="276"/>
      </w:pPr>
      <w:r>
        <w:rPr>
          <w:rFonts w:ascii="Calibri" w:cs="Calibri" w:eastAsia="Calibri" w:hAnsi="Calibri"/>
          <w:sz w:val="21"/>
          <w:szCs w:val="21"/>
        </w:rPr>
        <w:t xml:space="preserve">The idea is to use a computer model to sort the queue: put the claims most likely to be problematic at the top, so the limited number of auditors spend their time where it matters.</w:t>
      </w:r>
    </w:p>
    <w:p>
      <w:pPr>
        <w:pStyle w:val="Heading2"/>
        <w:spacing w:after="130" w:before="240"/>
      </w:pPr>
      <w:r>
        <w:rPr>
          <w:rFonts w:ascii="Calibri" w:cs="Calibri" w:eastAsia="Calibri" w:hAnsi="Calibri"/>
          <w:b/>
          <w:bCs/>
          <w:color w:val="1F3864"/>
          <w:sz w:val="24"/>
          <w:szCs w:val="24"/>
        </w:rPr>
        <w:t xml:space="preserve">How the model works</w:t>
      </w:r>
    </w:p>
    <w:p>
      <w:pPr>
        <w:spacing w:after="120" w:before="0" w:line="276"/>
      </w:pPr>
      <w:r>
        <w:rPr>
          <w:rFonts w:ascii="Calibri" w:cs="Calibri" w:eastAsia="Calibri" w:hAnsi="Calibri"/>
          <w:sz w:val="21"/>
          <w:szCs w:val="21"/>
        </w:rPr>
        <w:t xml:space="preserve">Think of a bank teller who has processed millions of ordinary cheques. Nobody ever gave them a list of every possible fake. But after enough repetition they develop a feel for what a normal cheque looks like — and when something odd arrives, it just feels wrong.</w:t>
      </w:r>
    </w:p>
    <w:p>
      <w:pPr>
        <w:spacing w:after="120" w:before="0" w:line="276"/>
      </w:pPr>
      <w:r>
        <w:rPr>
          <w:rFonts w:ascii="Calibri" w:cs="Calibri" w:eastAsia="Calibri" w:hAnsi="Calibri"/>
          <w:sz w:val="21"/>
          <w:szCs w:val="21"/>
        </w:rPr>
        <w:t xml:space="preserve">The model does the same thing. It studied 1.67 million claims that were approved and paid, learning what an ordinary claim looks like: typical amounts, typical hospital stays, typical numbers of procedures. Then, for every new claim, it tries to redraw that claim from memory. If it can redraw it easily, the claim is ordinary. If it struggles, the claim is unusual — and unusual claims go to the top of the audit queue.</w:t>
      </w:r>
    </w:p>
    <w:p>
      <w:pPr>
        <w:spacing w:after="120" w:before="0" w:line="276"/>
      </w:pPr>
      <w:r>
        <w:rPr>
          <w:rFonts w:ascii="Calibri" w:cs="Calibri" w:eastAsia="Calibri" w:hAnsi="Calibri"/>
          <w:sz w:val="21"/>
          <w:szCs w:val="21"/>
        </w:rPr>
        <w:t xml:space="preserve">The technical name for "how badly it struggled" is reconstruction error. That number is the claim's risk score.</w:t>
      </w:r>
    </w:p>
    <w:p>
      <w:pPr>
        <w:pStyle w:val="Heading2"/>
        <w:spacing w:after="130" w:before="240"/>
      </w:pPr>
      <w:r>
        <w:rPr>
          <w:rFonts w:ascii="Calibri" w:cs="Calibri" w:eastAsia="Calibri" w:hAnsi="Calibri"/>
          <w:b/>
          <w:bCs/>
          <w:color w:val="1F3864"/>
          <w:sz w:val="24"/>
          <w:szCs w:val="24"/>
        </w:rPr>
        <w:t xml:space="preserve">What we found</w:t>
      </w:r>
    </w:p>
    <w:p>
      <w:pPr>
        <w:spacing w:after="120" w:before="0" w:line="276"/>
      </w:pPr>
      <w:r>
        <w:rPr>
          <w:rFonts w:ascii="Calibri" w:cs="Calibri" w:eastAsia="Calibri" w:hAnsi="Calibri"/>
          <w:sz w:val="21"/>
          <w:szCs w:val="21"/>
        </w:rPr>
        <w:t xml:space="preserve">The model is good at being confident and bad at being thorough. When it points at a claim and says "check this one," it is right about 94 times out of 100. But it only points at about one claim in ten of the ones that turn out to be problematic — so nine out of ten slip past it.</w:t>
      </w:r>
    </w:p>
    <w:p>
      <w:pPr>
        <w:spacing w:after="120" w:before="0" w:line="276"/>
      </w:pPr>
      <w:r>
        <w:rPr>
          <w:rFonts w:ascii="Calibri" w:cs="Calibri" w:eastAsia="Calibri" w:hAnsi="Calibri"/>
          <w:sz w:val="21"/>
          <w:szCs w:val="21"/>
        </w:rPr>
        <w:t xml:space="preserve">For a real audit team, that trade-off is usually the right one. An auditor's time is the scarce resource. A tool that hands them a short list where nearly everything is worth looking at is far more useful than one that hands them a long list where most items are a waste of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3E3" w:color="auto" w:val="clear"/>
            <w:tcMar>
              <w:top w:type="dxa" w:w="140"/>
              <w:left w:type="dxa" w:w="160"/>
              <w:bottom w:type="dxa" w:w="140"/>
              <w:right w:type="dxa" w:w="160"/>
            </w:tcMar>
          </w:tcPr>
          <w:p>
            <w:pPr>
              <w:spacing w:after="90"/>
            </w:pPr>
            <w:r>
              <w:rPr>
                <w:rFonts w:ascii="Calibri" w:cs="Calibri" w:eastAsia="Calibri" w:hAnsi="Calibri"/>
                <w:b/>
                <w:bCs/>
                <w:color w:val="1F3864"/>
                <w:sz w:val="21"/>
                <w:szCs w:val="21"/>
              </w:rPr>
              <w:t xml:space="preserve">The one thing to understand before reading the numbers</w:t>
            </w:r>
          </w:p>
          <w:p>
            <w:pPr>
              <w:spacing w:after="60" w:line="276"/>
            </w:pPr>
            <w:r>
              <w:rPr>
                <w:rFonts w:ascii="Calibri" w:cs="Calibri" w:eastAsia="Calibri" w:hAnsi="Calibri"/>
                <w:sz w:val="20"/>
                <w:szCs w:val="20"/>
              </w:rPr>
              <w:t xml:space="preserve">This model predicts whether a claim will be REJECTED. Rejection is not the same as fraud.</w:t>
            </w:r>
          </w:p>
          <w:p>
            <w:pPr>
              <w:spacing w:after="60" w:line="276"/>
            </w:pPr>
            <w:r>
              <w:rPr>
                <w:rFonts w:ascii="Calibri" w:cs="Calibri" w:eastAsia="Calibri" w:hAnsi="Calibri"/>
                <w:sz w:val="20"/>
                <w:szCs w:val="20"/>
              </w:rPr>
              <w:t xml:space="preserve">Most rejections in this system are administrative: the patient's insurance had expired, the ID number was invalid, a test was billed too many times. The openIMIS system already catches these automatically, using fixed rules, before any model runs.</w:t>
            </w:r>
          </w:p>
          <w:p>
            <w:pPr>
              <w:spacing w:after="60" w:line="276"/>
            </w:pPr>
            <w:r>
              <w:rPr>
                <w:rFonts w:ascii="Calibri" w:cs="Calibri" w:eastAsia="Calibri" w:hAnsi="Calibri"/>
                <w:sz w:val="20"/>
                <w:szCs w:val="20"/>
              </w:rPr>
              <w:t xml:space="preserve">So a good score here means the model is good at predicting the existing rules — not that it has found fraud. Finding real fraud (inflated bills, phantom services) is a separate and more valuable project, discussed in the recommendations.</w:t>
            </w:r>
          </w:p>
        </w:tc>
      </w:tr>
    </w:tbl>
    <w:p>
      <w:r>
        <w:br w:type="page"/>
      </w:r>
    </w:p>
    <w:p>
      <w:pPr>
        <w:pStyle w:val="Heading1"/>
        <w:spacing w:after="130" w:before="320"/>
      </w:pPr>
      <w:r>
        <w:rPr>
          <w:rFonts w:ascii="Calibri" w:cs="Calibri" w:eastAsia="Calibri" w:hAnsi="Calibri"/>
          <w:b/>
          <w:bCs/>
          <w:color w:val="1F3864"/>
          <w:sz w:val="30"/>
          <w:szCs w:val="30"/>
        </w:rPr>
        <w:t xml:space="preserve">3. What Was Fixed Since the Original Run</w:t>
      </w:r>
    </w:p>
    <w:p>
      <w:pPr>
        <w:spacing w:after="120" w:before="0" w:line="276"/>
      </w:pPr>
      <w:r>
        <w:rPr>
          <w:rFonts w:ascii="Calibri" w:cs="Calibri" w:eastAsia="Calibri" w:hAnsi="Calibri"/>
          <w:sz w:val="21"/>
          <w:szCs w:val="21"/>
        </w:rPr>
        <w:t xml:space="preserve">The technical review of the original notebook found around twenty defects. The three most damaging are worth restating, because the run has now confirmed all three were real, and quantified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526"/>
      </w:tblGrid>
      <w:tr>
        <w:trPr>
          <w:tblHeader/>
        </w:trPr>
        <w:tc>
          <w:tcPr>
            <w:tcW w:type="dxa" w:w="2100"/>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Defect</w:t>
            </w:r>
          </w:p>
        </w:tc>
        <w:tc>
          <w:tcPr>
            <w:tcW w:type="dxa" w:w="3400"/>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What was happening</w:t>
            </w:r>
          </w:p>
        </w:tc>
        <w:tc>
          <w:tcPr>
            <w:tcW w:type="dxa" w:w="3526"/>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Confirmed by this run</w:t>
            </w:r>
          </w:p>
        </w:tc>
      </w:tr>
      <w:tr>
        <w:trPr>
          <w:tblHeader w:val="false"/>
        </w:trPr>
        <w:tc>
          <w:tcPr>
            <w:tcW w:type="dxa" w:w="21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Money columns were being wiped out</w:t>
            </w:r>
          </w:p>
        </w:tc>
        <w:tc>
          <w:tcPr>
            <w:tcW w:type="dxa" w:w="34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Amounts are stored as text with spaces in them ("5 020"). The old code could not read them and quietly turned them into zero.</w:t>
            </w:r>
          </w:p>
        </w:tc>
        <w:tc>
          <w:tcPr>
            <w:tcW w:type="dxa" w:w="3526"/>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68.7% of all Claimed amounts and 69.3% of Approved amounts were being turned into zero. Average claim value corrected from 160 XAF to 6,212 XAF.</w:t>
            </w:r>
          </w:p>
        </w:tc>
      </w:tr>
      <w:tr>
        <w:trPr>
          <w:tblHeader w:val="false"/>
        </w:trPr>
        <w:tc>
          <w:tcPr>
            <w:tcW w:type="dxa" w:w="21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Three features were blank</w:t>
            </w:r>
          </w:p>
        </w:tc>
        <w:tc>
          <w:tcPr>
            <w:tcW w:type="dxa" w:w="34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Care type, visit type and facility level are stored as letters (OPD, IPD, O, R, E, C, D, H). The old code expected numbers and produced a column of zeros.</w:t>
            </w:r>
          </w:p>
        </w:tc>
        <w:tc>
          <w:tcPr>
            <w:tcW w:type="dxa" w:w="3526"/>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All three confirmed as 0% numeric. They are now properly encoded and contribute to the model.</w:t>
            </w:r>
          </w:p>
        </w:tc>
      </w:tr>
      <w:tr>
        <w:trPr>
          <w:tblHeader w:val="false"/>
        </w:trPr>
        <w:tc>
          <w:tcPr>
            <w:tcW w:type="dxa" w:w="21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Unfinished claims counted as "good"</w:t>
            </w:r>
          </w:p>
        </w:tc>
        <w:tc>
          <w:tcPr>
            <w:tcW w:type="dxa" w:w="34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Claims still working their way through the system were treated as approved, even though they had not been decided yet.</w:t>
            </w:r>
          </w:p>
        </w:tc>
        <w:tc>
          <w:tcPr>
            <w:tcW w:type="dxa" w:w="3526"/>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11.46 million of 14.24 million claims (80%) were still in progress and are now excluded. The model trains only on claims with a final decision.</w:t>
            </w:r>
          </w:p>
        </w:tc>
      </w:tr>
    </w:tbl>
    <w:p>
      <w:pPr>
        <w:spacing w:after="140"/>
      </w:pPr>
    </w:p>
    <w:p>
      <w:pPr>
        <w:spacing w:after="120" w:before="0" w:line="276"/>
      </w:pPr>
      <w:r>
        <w:rPr>
          <w:rFonts w:ascii="Calibri" w:cs="Calibri" w:eastAsia="Calibri" w:hAnsi="Calibri"/>
          <w:i/>
          <w:iCs/>
          <w:sz w:val="21"/>
          <w:szCs w:val="21"/>
        </w:rPr>
        <w:t xml:space="preserve">Other corrections applied: the data is now split by date so the model is tested on the future rather than a random shuffle; the model checkpoint is chosen by how well it detects, not by how well it copies; all statistics are computed on the training period only; and unusual conditions like backdated claims are now recorded rather than erased.</w:t>
      </w:r>
    </w:p>
    <w:p>
      <w:pPr>
        <w:pStyle w:val="Heading1"/>
        <w:spacing w:after="130" w:before="320"/>
      </w:pPr>
      <w:r>
        <w:rPr>
          <w:rFonts w:ascii="Calibri" w:cs="Calibri" w:eastAsia="Calibri" w:hAnsi="Calibri"/>
          <w:b/>
          <w:bCs/>
          <w:color w:val="1F3864"/>
          <w:sz w:val="30"/>
          <w:szCs w:val="30"/>
        </w:rPr>
        <w:t xml:space="preserve">4. What the Data Looked Like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3726"/>
      </w:tblGrid>
      <w:tr>
        <w:trPr>
          <w:tblHeader/>
        </w:trPr>
        <w:tc>
          <w:tcPr>
            <w:tcW w:type="dxa" w:w="3200"/>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Measure</w:t>
            </w:r>
          </w:p>
        </w:tc>
        <w:tc>
          <w:tcPr>
            <w:tcW w:type="dxa" w:w="2100"/>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Value</w:t>
            </w:r>
          </w:p>
        </w:tc>
        <w:tc>
          <w:tcPr>
            <w:tcW w:type="dxa" w:w="3726"/>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Comment</w:t>
            </w:r>
          </w:p>
        </w:tc>
      </w:tr>
      <w:tr>
        <w:trPr>
          <w:tblHeader w:val="false"/>
        </w:trPr>
        <w:tc>
          <w:tcPr>
            <w:tcW w:type="dxa" w:w="32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Claims in source file</w:t>
            </w:r>
          </w:p>
        </w:tc>
        <w:tc>
          <w:tcPr>
            <w:tcW w:type="dxa" w:w="21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14,242,741</w:t>
            </w:r>
          </w:p>
        </w:tc>
        <w:tc>
          <w:tcPr>
            <w:tcW w:type="dxa" w:w="3726"/>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Full national ledger</w:t>
            </w:r>
          </w:p>
        </w:tc>
      </w:tr>
      <w:tr>
        <w:trPr>
          <w:tblHeader w:val="false"/>
        </w:trPr>
        <w:tc>
          <w:tcPr>
            <w:tcW w:type="dxa" w:w="32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Fully decided claims used</w:t>
            </w:r>
          </w:p>
        </w:tc>
        <w:tc>
          <w:tcPr>
            <w:tcW w:type="dxa" w:w="21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2,785,424</w:t>
            </w:r>
          </w:p>
        </w:tc>
        <w:tc>
          <w:tcPr>
            <w:tcW w:type="dxa" w:w="3726"/>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Only 19.6% — the rest were still in progress</w:t>
            </w:r>
          </w:p>
        </w:tc>
      </w:tr>
      <w:tr>
        <w:trPr>
          <w:tblHeader w:val="false"/>
        </w:trPr>
        <w:tc>
          <w:tcPr>
            <w:tcW w:type="dxa" w:w="32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Rejection rate</w:t>
            </w:r>
          </w:p>
        </w:tc>
        <w:tc>
          <w:tcPr>
            <w:tcW w:type="dxa" w:w="21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15.82%</w:t>
            </w:r>
          </w:p>
        </w:tc>
        <w:tc>
          <w:tcPr>
            <w:tcW w:type="dxa" w:w="3726"/>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Higher than the 2.7% assumed in the original report</w:t>
            </w:r>
          </w:p>
        </w:tc>
      </w:tr>
      <w:tr>
        <w:trPr>
          <w:tblHeader w:val="false"/>
        </w:trPr>
        <w:tc>
          <w:tcPr>
            <w:tcW w:type="dxa" w:w="32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Training set (approved only)</w:t>
            </w:r>
          </w:p>
        </w:tc>
        <w:tc>
          <w:tcPr>
            <w:tcW w:type="dxa" w:w="21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1,667,620</w:t>
            </w:r>
          </w:p>
        </w:tc>
        <w:tc>
          <w:tcPr>
            <w:tcW w:type="dxa" w:w="3726"/>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Oct 2023 – Nov 2025</w:t>
            </w:r>
          </w:p>
        </w:tc>
      </w:tr>
      <w:tr>
        <w:trPr>
          <w:tblHeader w:val="false"/>
        </w:trPr>
        <w:tc>
          <w:tcPr>
            <w:tcW w:type="dxa" w:w="32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Validation set</w:t>
            </w:r>
          </w:p>
        </w:tc>
        <w:tc>
          <w:tcPr>
            <w:tcW w:type="dxa" w:w="21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417,814</w:t>
            </w:r>
          </w:p>
        </w:tc>
        <w:tc>
          <w:tcPr>
            <w:tcW w:type="dxa" w:w="3726"/>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Nov – Dec 2025</w:t>
            </w:r>
          </w:p>
        </w:tc>
      </w:tr>
      <w:tr>
        <w:trPr>
          <w:tblHeader w:val="false"/>
        </w:trPr>
        <w:tc>
          <w:tcPr>
            <w:tcW w:type="dxa" w:w="32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Test set</w:t>
            </w:r>
          </w:p>
        </w:tc>
        <w:tc>
          <w:tcPr>
            <w:tcW w:type="dxa" w:w="21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417,814</w:t>
            </w:r>
          </w:p>
        </w:tc>
        <w:tc>
          <w:tcPr>
            <w:tcW w:type="dxa" w:w="3726"/>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Dec 2025 onward, 17.50% rejection rate</w:t>
            </w:r>
          </w:p>
        </w:tc>
      </w:tr>
      <w:tr>
        <w:trPr>
          <w:tblHeader w:val="false"/>
        </w:trPr>
        <w:tc>
          <w:tcPr>
            <w:tcW w:type="dxa" w:w="32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Features used</w:t>
            </w:r>
          </w:p>
        </w:tc>
        <w:tc>
          <w:tcPr>
            <w:tcW w:type="dxa" w:w="21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42</w:t>
            </w:r>
          </w:p>
        </w:tc>
        <w:tc>
          <w:tcPr>
            <w:tcW w:type="dxa" w:w="3726"/>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Up from 13, of which 3 were blank</w:t>
            </w:r>
          </w:p>
        </w:tc>
      </w:tr>
    </w:tbl>
    <w:p>
      <w:pPr>
        <w:spacing w:after="140"/>
      </w:pPr>
    </w:p>
    <w:p>
      <w:pPr>
        <w:spacing w:after="120" w:before="0" w:line="276"/>
      </w:pPr>
      <w:r>
        <w:rPr>
          <w:rFonts w:ascii="Calibri" w:cs="Calibri" w:eastAsia="Calibri" w:hAnsi="Calibri"/>
          <w:sz w:val="21"/>
          <w:szCs w:val="21"/>
        </w:rPr>
        <w:t xml:space="preserve">Two observations from the data audit are worth flagging to the data team:</w:t>
      </w:r>
    </w:p>
    <w:p>
      <w:pPr>
        <w:pStyle w:val="ListParagraph"/>
        <w:numPr>
          <w:ilvl w:val="0"/>
          <w:numId w:val="2"/>
        </w:numPr>
        <w:spacing w:after="70" w:line="276"/>
      </w:pPr>
      <w:r>
        <w:rPr>
          <w:rFonts w:ascii="Calibri" w:cs="Calibri" w:eastAsia="Calibri" w:hAnsi="Calibri"/>
          <w:sz w:val="21"/>
          <w:szCs w:val="21"/>
        </w:rPr>
        <w:t xml:space="preserve">Care type is 99.55% missing. Only about 1 claim in 220 records whether it was inpatient or outpatient. This is a valuable field and it is essentially empty.</w:t>
      </w:r>
    </w:p>
    <w:p>
      <w:pPr>
        <w:pStyle w:val="ListParagraph"/>
        <w:numPr>
          <w:ilvl w:val="0"/>
          <w:numId w:val="2"/>
        </w:numPr>
        <w:spacing w:after="70" w:line="276"/>
      </w:pPr>
      <w:r>
        <w:rPr>
          <w:rFonts w:ascii="Calibri" w:cs="Calibri" w:eastAsia="Calibri" w:hAnsi="Calibri"/>
          <w:sz w:val="21"/>
          <w:szCs w:val="21"/>
        </w:rPr>
        <w:t xml:space="preserve">11.15% of claims (310,678) have no itemised service lines at all — a bill with no listed treatment. This turned out to be the single strongest signal in the data. It is worth confirming with the openIMIS team whether this reflects genuine facility behaviour or a data export gap.</w:t>
      </w:r>
    </w:p>
    <w:p>
      <w:r>
        <w:br w:type="page"/>
      </w:r>
    </w:p>
    <w:p>
      <w:pPr>
        <w:pStyle w:val="Heading1"/>
        <w:spacing w:after="130" w:before="320"/>
      </w:pPr>
      <w:r>
        <w:rPr>
          <w:rFonts w:ascii="Calibri" w:cs="Calibri" w:eastAsia="Calibri" w:hAnsi="Calibri"/>
          <w:b/>
          <w:bCs/>
          <w:color w:val="1F3864"/>
          <w:sz w:val="30"/>
          <w:szCs w:val="30"/>
        </w:rPr>
        <w:t xml:space="preserve">5. Results</w:t>
      </w:r>
    </w:p>
    <w:p>
      <w:pPr>
        <w:pStyle w:val="Heading2"/>
        <w:spacing w:after="130" w:before="240"/>
      </w:pPr>
      <w:r>
        <w:rPr>
          <w:rFonts w:ascii="Calibri" w:cs="Calibri" w:eastAsia="Calibri" w:hAnsi="Calibri"/>
          <w:b/>
          <w:bCs/>
          <w:color w:val="1F3864"/>
          <w:sz w:val="24"/>
          <w:szCs w:val="24"/>
        </w:rPr>
        <w:t xml:space="preserve">5.1 Overall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26"/>
      </w:tblGrid>
      <w:tr>
        <w:trPr>
          <w:tblHeader/>
        </w:trPr>
        <w:tc>
          <w:tcPr>
            <w:tcW w:type="dxa" w:w="2400"/>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Measure</w:t>
            </w:r>
          </w:p>
        </w:tc>
        <w:tc>
          <w:tcPr>
            <w:tcW w:type="dxa" w:w="1500"/>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Result</w:t>
            </w:r>
          </w:p>
        </w:tc>
        <w:tc>
          <w:tcPr>
            <w:tcW w:type="dxa" w:w="5126"/>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What it means in plain terms</w:t>
            </w:r>
          </w:p>
        </w:tc>
      </w:tr>
      <w:tr>
        <w:trPr>
          <w:tblHeader w:val="false"/>
        </w:trPr>
        <w:tc>
          <w:tcPr>
            <w:tcW w:type="dxa" w:w="24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ROC-AUC</w:t>
            </w:r>
          </w:p>
        </w:tc>
        <w:tc>
          <w:tcPr>
            <w:tcW w:type="dxa" w:w="15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0.741</w:t>
            </w:r>
          </w:p>
        </w:tc>
        <w:tc>
          <w:tcPr>
            <w:tcW w:type="dxa" w:w="5126"/>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Pick one rejected and one approved claim at random: the model ranks the rejected one higher 74% of the time. 50% would be a coin flip. This is a moderate, usable result — the original was 0.666.</w:t>
            </w:r>
          </w:p>
        </w:tc>
      </w:tr>
      <w:tr>
        <w:trPr>
          <w:tblHeader w:val="false"/>
        </w:trPr>
        <w:tc>
          <w:tcPr>
            <w:tcW w:type="dxa" w:w="24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PR-AUC</w:t>
            </w:r>
          </w:p>
        </w:tc>
        <w:tc>
          <w:tcPr>
            <w:tcW w:type="dxa" w:w="15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0.507</w:t>
            </w:r>
          </w:p>
        </w:tc>
        <w:tc>
          <w:tcPr>
            <w:tcW w:type="dxa" w:w="5126"/>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2.9 times better than random guessing at this rejection rate. This is the more honest headline for an imbalanced problem.</w:t>
            </w:r>
          </w:p>
        </w:tc>
      </w:tr>
      <w:tr>
        <w:trPr>
          <w:tblHeader w:val="false"/>
        </w:trPr>
        <w:tc>
          <w:tcPr>
            <w:tcW w:type="dxa" w:w="24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Stability</w:t>
            </w:r>
          </w:p>
        </w:tc>
        <w:tc>
          <w:tcPr>
            <w:tcW w:type="dxa" w:w="15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±0.005</w:t>
            </w:r>
          </w:p>
        </w:tc>
        <w:tc>
          <w:tcPr>
            <w:tcW w:type="dxa" w:w="5126"/>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Rerunning with different random starts moves the score by half a percentage point. The result is stable, not a fluke.</w:t>
            </w:r>
          </w:p>
        </w:tc>
      </w:tr>
      <w:tr>
        <w:trPr>
          <w:tblHeader w:val="false"/>
        </w:trPr>
        <w:tc>
          <w:tcPr>
            <w:tcW w:type="dxa" w:w="24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Effect size</w:t>
            </w:r>
          </w:p>
        </w:tc>
        <w:tc>
          <w:tcPr>
            <w:tcW w:type="dxa" w:w="15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0.482</w:t>
            </w:r>
          </w:p>
        </w:tc>
        <w:tc>
          <w:tcPr>
            <w:tcW w:type="dxa" w:w="5126"/>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A moderate real effect. The score genuinely carries information about rejection.</w:t>
            </w:r>
          </w:p>
        </w:tc>
      </w:tr>
    </w:tbl>
    <w:p>
      <w:pPr>
        <w:spacing w:after="160"/>
      </w:pPr>
    </w:p>
    <w:p>
      <w:pPr>
        <w:pStyle w:val="Heading2"/>
        <w:spacing w:after="130" w:before="240"/>
      </w:pPr>
      <w:r>
        <w:rPr>
          <w:rFonts w:ascii="Calibri" w:cs="Calibri" w:eastAsia="Calibri" w:hAnsi="Calibri"/>
          <w:b/>
          <w:bCs/>
          <w:color w:val="1F3864"/>
          <w:sz w:val="24"/>
          <w:szCs w:val="24"/>
        </w:rPr>
        <w:t xml:space="preserve">5.2 The recommended operating point</w:t>
      </w:r>
    </w:p>
    <w:p>
      <w:pPr>
        <w:spacing w:after="120" w:before="0" w:line="276"/>
      </w:pPr>
      <w:r>
        <w:rPr>
          <w:rFonts w:ascii="Calibri" w:cs="Calibri" w:eastAsia="Calibri" w:hAnsi="Calibri"/>
          <w:sz w:val="21"/>
          <w:szCs w:val="21"/>
        </w:rPr>
        <w:t xml:space="preserve">The threshold was set to match a realistic audit capacity of 500 claims a day rather than to maximise a statistic. At that setting, applied to the 417,814 test claims: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626"/>
      </w:tblGrid>
      <w:tr>
        <w:trPr>
          <w:tblHeader/>
        </w:trPr>
        <w:tc>
          <w:tcPr>
            <w:tcW w:type="dxa" w:w="2900"/>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Measure</w:t>
            </w:r>
          </w:p>
        </w:tc>
        <w:tc>
          <w:tcPr>
            <w:tcW w:type="dxa" w:w="1500"/>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Result</w:t>
            </w:r>
          </w:p>
        </w:tc>
        <w:tc>
          <w:tcPr>
            <w:tcW w:type="dxa" w:w="4626"/>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Good or bad?</w:t>
            </w:r>
          </w:p>
        </w:tc>
      </w:tr>
      <w:tr>
        <w:trPr>
          <w:tblHeader w:val="false"/>
        </w:trPr>
        <w:tc>
          <w:tcPr>
            <w:tcW w:type="dxa" w:w="29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Precision</w:t>
            </w:r>
          </w:p>
        </w:tc>
        <w:tc>
          <w:tcPr>
            <w:tcW w:type="dxa" w:w="15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94.4%</w:t>
            </w:r>
          </w:p>
        </w:tc>
        <w:tc>
          <w:tcPr>
            <w:tcW w:type="dxa" w:w="4626"/>
            <w:shd w:fill="E8F3EA"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Very good. Almost every claim the model flags is genuinely a rejection. Auditors' time is not wasted.</w:t>
            </w:r>
          </w:p>
        </w:tc>
      </w:tr>
      <w:tr>
        <w:trPr>
          <w:tblHeader w:val="false"/>
        </w:trPr>
        <w:tc>
          <w:tcPr>
            <w:tcW w:type="dxa" w:w="29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Recall</w:t>
            </w:r>
          </w:p>
        </w:tc>
        <w:tc>
          <w:tcPr>
            <w:tcW w:type="dxa" w:w="15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9.5%</w:t>
            </w:r>
          </w:p>
        </w:tc>
        <w:tc>
          <w:tcPr>
            <w:tcW w:type="dxa" w:w="4626"/>
            <w:shd w:fill="FBEAEA"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Poor. It only finds about 1 in 10 of the rejections that exist. Most slip through.</w:t>
            </w:r>
          </w:p>
        </w:tc>
      </w:tr>
      <w:tr>
        <w:trPr>
          <w:tblHeader w:val="false"/>
        </w:trPr>
        <w:tc>
          <w:tcPr>
            <w:tcW w:type="dxa" w:w="29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Alert volume</w:t>
            </w:r>
          </w:p>
        </w:tc>
        <w:tc>
          <w:tcPr>
            <w:tcW w:type="dxa" w:w="15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7,364 claims (1.76%)</w:t>
            </w:r>
          </w:p>
        </w:tc>
        <w:tc>
          <w:tcPr>
            <w:tcW w:type="dxa" w:w="4626"/>
            <w:shd w:fill="E8F3EA"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Very manageable. A small team can actually work through this.</w:t>
            </w:r>
          </w:p>
        </w:tc>
      </w:tr>
      <w:tr>
        <w:trPr>
          <w:tblHeader w:val="false"/>
        </w:trPr>
        <w:tc>
          <w:tcPr>
            <w:tcW w:type="dxa" w:w="29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False alarms</w:t>
            </w:r>
          </w:p>
        </w:tc>
        <w:tc>
          <w:tcPr>
            <w:tcW w:type="dxa" w:w="15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414 claims</w:t>
            </w:r>
          </w:p>
        </w:tc>
        <w:tc>
          <w:tcPr>
            <w:tcW w:type="dxa" w:w="4626"/>
            <w:shd w:fill="E8F3EA"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Very low. Only 414 legitimate claims out of 344,698 were wrongly flagged.</w:t>
            </w:r>
          </w:p>
        </w:tc>
      </w:tr>
      <w:tr>
        <w:trPr>
          <w:tblHeader w:val="false"/>
        </w:trPr>
        <w:tc>
          <w:tcPr>
            <w:tcW w:type="dxa" w:w="29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Claims passed automatically</w:t>
            </w:r>
          </w:p>
        </w:tc>
        <w:tc>
          <w:tcPr>
            <w:tcW w:type="dxa" w:w="15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99.88%</w:t>
            </w:r>
          </w:p>
        </w:tc>
        <w:tc>
          <w:tcPr>
            <w:tcW w:type="dxa" w:w="4626"/>
            <w:shd w:fill="E8F3EA"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Almost no disruption to normal processing.</w:t>
            </w:r>
          </w:p>
        </w:tc>
      </w:tr>
    </w:tbl>
    <w:p>
      <w:pPr>
        <w:spacing w:after="140"/>
      </w:pPr>
    </w:p>
    <w:p>
      <w:pPr>
        <w:spacing w:after="120" w:before="0" w:line="276"/>
      </w:pPr>
      <w:r>
        <w:rPr>
          <w:rFonts w:ascii="Calibri" w:cs="Calibri" w:eastAsia="Calibri" w:hAnsi="Calibri"/>
          <w:i/>
          <w:iCs/>
          <w:sz w:val="21"/>
          <w:szCs w:val="21"/>
        </w:rPr>
        <w:t xml:space="preserve">The low recall is a deliberate consequence of the threshold, not a defect. Loosening it trades precision for coverage — the notebook also computed a setting that catches 72.5% of rejections at 45.9% precision, but that flags a third of all claims, which no audit team could absorb.</w:t>
      </w:r>
    </w:p>
    <w:p>
      <w:pPr>
        <w:spacing w:after="120"/>
      </w:pPr>
    </w:p>
    <w:p>
      <w:pPr>
        <w:pStyle w:val="Heading2"/>
        <w:spacing w:after="130" w:before="240"/>
      </w:pPr>
      <w:r>
        <w:rPr>
          <w:rFonts w:ascii="Calibri" w:cs="Calibri" w:eastAsia="Calibri" w:hAnsi="Calibri"/>
          <w:b/>
          <w:bCs/>
          <w:color w:val="1F3864"/>
          <w:sz w:val="24"/>
          <w:szCs w:val="24"/>
        </w:rPr>
        <w:t xml:space="preserve">5.3 How well it sorts the queue</w:t>
      </w:r>
    </w:p>
    <w:p>
      <w:pPr>
        <w:spacing w:after="120" w:before="0" w:line="276"/>
      </w:pPr>
      <w:r>
        <w:rPr>
          <w:rFonts w:ascii="Calibri" w:cs="Calibri" w:eastAsia="Calibri" w:hAnsi="Calibri"/>
          <w:sz w:val="21"/>
          <w:szCs w:val="21"/>
        </w:rPr>
        <w:t xml:space="preserve">This is the most operationally useful table in the report. It answers: if auditors work down the list from the highest-scoring claim, what do they find?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900"/>
        <w:gridCol w:w="3626"/>
      </w:tblGrid>
      <w:tr>
        <w:trPr>
          <w:tblHeader/>
        </w:trPr>
        <w:tc>
          <w:tcPr>
            <w:tcW w:type="dxa" w:w="1800"/>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Audit the top…</w:t>
            </w:r>
          </w:p>
        </w:tc>
        <w:tc>
          <w:tcPr>
            <w:tcW w:type="dxa" w:w="1700"/>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Claims</w:t>
            </w:r>
          </w:p>
        </w:tc>
        <w:tc>
          <w:tcPr>
            <w:tcW w:type="dxa" w:w="1900"/>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 genuine</w:t>
            </w:r>
          </w:p>
        </w:tc>
        <w:tc>
          <w:tcPr>
            <w:tcW w:type="dxa" w:w="3626"/>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Interpretation</w:t>
            </w:r>
          </w:p>
        </w:tc>
      </w:tr>
      <w:tr>
        <w:trPr>
          <w:tblHeader w:val="false"/>
        </w:trPr>
        <w:tc>
          <w:tcPr>
            <w:tcW w:type="dxa" w:w="18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0.5%</w:t>
            </w:r>
          </w:p>
        </w:tc>
        <w:tc>
          <w:tcPr>
            <w:tcW w:type="dxa" w:w="17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2,089</w:t>
            </w:r>
          </w:p>
        </w:tc>
        <w:tc>
          <w:tcPr>
            <w:tcW w:type="dxa" w:w="1900"/>
            <w:tcMar>
              <w:top w:type="dxa" w:w="70"/>
              <w:left w:type="dxa" w:w="100"/>
              <w:bottom w:type="dxa" w:w="70"/>
              <w:right w:type="dxa" w:w="100"/>
            </w:tcMar>
          </w:tcPr>
          <w:p>
            <w:pPr>
              <w:spacing w:after="0" w:line="250"/>
            </w:pPr>
            <w:r>
              <w:rPr>
                <w:rFonts w:ascii="Calibri" w:cs="Calibri" w:eastAsia="Calibri" w:hAnsi="Calibri"/>
                <w:b/>
                <w:bCs/>
                <w:sz w:val="19"/>
                <w:szCs w:val="19"/>
              </w:rPr>
              <w:t xml:space="preserve">99.6%</w:t>
            </w:r>
          </w:p>
        </w:tc>
        <w:tc>
          <w:tcPr>
            <w:tcW w:type="dxa" w:w="3626"/>
            <w:shd w:fill="E8F3EA"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Near-perfect. Effectively every claim in this band is a real rejection.</w:t>
            </w:r>
          </w:p>
        </w:tc>
      </w:tr>
      <w:tr>
        <w:trPr>
          <w:tblHeader w:val="false"/>
        </w:trPr>
        <w:tc>
          <w:tcPr>
            <w:tcW w:type="dxa" w:w="18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1%</w:t>
            </w:r>
          </w:p>
        </w:tc>
        <w:tc>
          <w:tcPr>
            <w:tcW w:type="dxa" w:w="17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4,178</w:t>
            </w:r>
          </w:p>
        </w:tc>
        <w:tc>
          <w:tcPr>
            <w:tcW w:type="dxa" w:w="1900"/>
            <w:shd w:fill="F2F2F2" w:color="auto" w:val="clear"/>
            <w:tcMar>
              <w:top w:type="dxa" w:w="70"/>
              <w:left w:type="dxa" w:w="100"/>
              <w:bottom w:type="dxa" w:w="70"/>
              <w:right w:type="dxa" w:w="100"/>
            </w:tcMar>
          </w:tcPr>
          <w:p>
            <w:pPr>
              <w:spacing w:after="0" w:line="250"/>
            </w:pPr>
            <w:r>
              <w:rPr>
                <w:rFonts w:ascii="Calibri" w:cs="Calibri" w:eastAsia="Calibri" w:hAnsi="Calibri"/>
                <w:b/>
                <w:bCs/>
                <w:sz w:val="19"/>
                <w:szCs w:val="19"/>
              </w:rPr>
              <w:t xml:space="preserve">99.6%</w:t>
            </w:r>
          </w:p>
        </w:tc>
        <w:tc>
          <w:tcPr>
            <w:tcW w:type="dxa" w:w="3626"/>
            <w:shd w:fill="E8F3EA"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Still near-perfect. This is the sweet spot.</w:t>
            </w:r>
          </w:p>
        </w:tc>
      </w:tr>
      <w:tr>
        <w:trPr>
          <w:tblHeader w:val="false"/>
        </w:trPr>
        <w:tc>
          <w:tcPr>
            <w:tcW w:type="dxa" w:w="18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2%</w:t>
            </w:r>
          </w:p>
        </w:tc>
        <w:tc>
          <w:tcPr>
            <w:tcW w:type="dxa" w:w="17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8,356</w:t>
            </w:r>
          </w:p>
        </w:tc>
        <w:tc>
          <w:tcPr>
            <w:tcW w:type="dxa" w:w="19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88.0%</w:t>
            </w:r>
          </w:p>
        </w:tc>
        <w:tc>
          <w:tcPr>
            <w:tcW w:type="dxa" w:w="3626"/>
            <w:shd w:fill="E8F3EA"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Still excellent value.</w:t>
            </w:r>
          </w:p>
        </w:tc>
      </w:tr>
      <w:tr>
        <w:trPr>
          <w:tblHeader w:val="false"/>
        </w:trPr>
        <w:tc>
          <w:tcPr>
            <w:tcW w:type="dxa" w:w="18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5%</w:t>
            </w:r>
          </w:p>
        </w:tc>
        <w:tc>
          <w:tcPr>
            <w:tcW w:type="dxa" w:w="17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20,890</w:t>
            </w:r>
          </w:p>
        </w:tc>
        <w:tc>
          <w:tcPr>
            <w:tcW w:type="dxa" w:w="19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79.9%</w:t>
            </w:r>
          </w:p>
        </w:tc>
        <w:tc>
          <w:tcPr>
            <w:tcW w:type="dxa" w:w="3626"/>
            <w:shd w:fill="E8F3EA"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Good. Four in five are worth reviewing.</w:t>
            </w:r>
          </w:p>
        </w:tc>
      </w:tr>
      <w:tr>
        <w:trPr>
          <w:tblHeader w:val="false"/>
        </w:trPr>
        <w:tc>
          <w:tcPr>
            <w:tcW w:type="dxa" w:w="18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10%</w:t>
            </w:r>
          </w:p>
        </w:tc>
        <w:tc>
          <w:tcPr>
            <w:tcW w:type="dxa" w:w="17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41,781</w:t>
            </w:r>
          </w:p>
        </w:tc>
        <w:tc>
          <w:tcPr>
            <w:tcW w:type="dxa" w:w="19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64.1%</w:t>
            </w:r>
          </w:p>
        </w:tc>
        <w:tc>
          <w:tcPr>
            <w:tcW w:type="dxa" w:w="3626"/>
            <w:shd w:fill="FDF3E3"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Declining but still 3.7× better than random.</w:t>
            </w:r>
          </w:p>
        </w:tc>
      </w:tr>
      <w:tr>
        <w:trPr>
          <w:tblHeader w:val="false"/>
        </w:trPr>
        <w:tc>
          <w:tcPr>
            <w:tcW w:type="dxa" w:w="18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20%</w:t>
            </w:r>
          </w:p>
        </w:tc>
        <w:tc>
          <w:tcPr>
            <w:tcW w:type="dxa" w:w="17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83,562</w:t>
            </w:r>
          </w:p>
        </w:tc>
        <w:tc>
          <w:tcPr>
            <w:tcW w:type="dxa" w:w="19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42.7%</w:t>
            </w:r>
          </w:p>
        </w:tc>
        <w:tc>
          <w:tcPr>
            <w:tcW w:type="dxa" w:w="3626"/>
            <w:shd w:fill="FDF3E3"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Diminishing returns. Not worth the workload.</w:t>
            </w:r>
          </w:p>
        </w:tc>
      </w:tr>
    </w:tbl>
    <w:p>
      <w:pPr>
        <w:spacing w:after="140"/>
      </w:pPr>
    </w:p>
    <w:p>
      <w:pPr>
        <w:spacing w:after="120" w:before="0" w:line="276"/>
      </w:pPr>
      <w:r>
        <w:rPr>
          <w:rFonts w:ascii="Calibri" w:cs="Calibri" w:eastAsia="Calibri" w:hAnsi="Calibri"/>
          <w:b/>
          <w:bCs/>
          <w:sz w:val="21"/>
          <w:szCs w:val="21"/>
        </w:rPr>
        <w:t xml:space="preserve">Practical reading: the first 1% of the queue is where nearly all the value sits. Beyond about 5%, each extra hour of audit time buys less and less.</w:t>
      </w:r>
    </w:p>
    <w:p>
      <w:pPr>
        <w:spacing w:after="120"/>
      </w:pPr>
    </w:p>
    <w:p>
      <w:pPr>
        <w:pStyle w:val="Heading2"/>
        <w:spacing w:after="130" w:before="240"/>
      </w:pPr>
      <w:r>
        <w:rPr>
          <w:rFonts w:ascii="Calibri" w:cs="Calibri" w:eastAsia="Calibri" w:hAnsi="Calibri"/>
          <w:b/>
          <w:bCs/>
          <w:color w:val="1F3864"/>
          <w:sz w:val="24"/>
          <w:szCs w:val="24"/>
        </w:rPr>
        <w:t xml:space="preserve">5.4 Is the complexity justified?</w:t>
      </w:r>
    </w:p>
    <w:p>
      <w:pPr>
        <w:spacing w:after="120" w:before="0" w:line="276"/>
      </w:pPr>
      <w:r>
        <w:rPr>
          <w:rFonts w:ascii="Calibri" w:cs="Calibri" w:eastAsia="Calibri" w:hAnsi="Calibri"/>
          <w:sz w:val="21"/>
          <w:szCs w:val="21"/>
        </w:rPr>
        <w:t xml:space="preserve">The original report had no baseline at all, so there was no way to tell whether the neural network was doing anything a simpler method could not. This run tested three alternatives on identical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2826"/>
      </w:tblGrid>
      <w:tr>
        <w:trPr>
          <w:tblHeader/>
        </w:trPr>
        <w:tc>
          <w:tcPr>
            <w:tcW w:type="dxa" w:w="3200"/>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Method</w:t>
            </w:r>
          </w:p>
        </w:tc>
        <w:tc>
          <w:tcPr>
            <w:tcW w:type="dxa" w:w="1500"/>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ROC-AUC</w:t>
            </w:r>
          </w:p>
        </w:tc>
        <w:tc>
          <w:tcPr>
            <w:tcW w:type="dxa" w:w="1500"/>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PR-AUC</w:t>
            </w:r>
          </w:p>
        </w:tc>
        <w:tc>
          <w:tcPr>
            <w:tcW w:type="dxa" w:w="2826"/>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Verdict</w:t>
            </w:r>
          </w:p>
        </w:tc>
      </w:tr>
      <w:tr>
        <w:trPr>
          <w:tblHeader w:val="false"/>
        </w:trPr>
        <w:tc>
          <w:tcPr>
            <w:tcW w:type="dxa" w:w="3200"/>
            <w:tcMar>
              <w:top w:type="dxa" w:w="70"/>
              <w:left w:type="dxa" w:w="100"/>
              <w:bottom w:type="dxa" w:w="70"/>
              <w:right w:type="dxa" w:w="100"/>
            </w:tcMar>
          </w:tcPr>
          <w:p>
            <w:pPr>
              <w:spacing w:after="0" w:line="250"/>
            </w:pPr>
            <w:r>
              <w:rPr>
                <w:rFonts w:ascii="Calibri" w:cs="Calibri" w:eastAsia="Calibri" w:hAnsi="Calibri"/>
                <w:b/>
                <w:bCs/>
                <w:sz w:val="19"/>
                <w:szCs w:val="19"/>
              </w:rPr>
              <w:t xml:space="preserve">Autoencoder (this model)</w:t>
            </w:r>
          </w:p>
        </w:tc>
        <w:tc>
          <w:tcPr>
            <w:tcW w:type="dxa" w:w="1500"/>
            <w:tcMar>
              <w:top w:type="dxa" w:w="70"/>
              <w:left w:type="dxa" w:w="100"/>
              <w:bottom w:type="dxa" w:w="70"/>
              <w:right w:type="dxa" w:w="100"/>
            </w:tcMar>
          </w:tcPr>
          <w:p>
            <w:pPr>
              <w:spacing w:after="0" w:line="250"/>
            </w:pPr>
            <w:r>
              <w:rPr>
                <w:rFonts w:ascii="Calibri" w:cs="Calibri" w:eastAsia="Calibri" w:hAnsi="Calibri"/>
                <w:b/>
                <w:bCs/>
                <w:sz w:val="19"/>
                <w:szCs w:val="19"/>
              </w:rPr>
              <w:t xml:space="preserve">0.741</w:t>
            </w:r>
          </w:p>
        </w:tc>
        <w:tc>
          <w:tcPr>
            <w:tcW w:type="dxa" w:w="1500"/>
            <w:tcMar>
              <w:top w:type="dxa" w:w="70"/>
              <w:left w:type="dxa" w:w="100"/>
              <w:bottom w:type="dxa" w:w="70"/>
              <w:right w:type="dxa" w:w="100"/>
            </w:tcMar>
          </w:tcPr>
          <w:p>
            <w:pPr>
              <w:spacing w:after="0" w:line="250"/>
            </w:pPr>
            <w:r>
              <w:rPr>
                <w:rFonts w:ascii="Calibri" w:cs="Calibri" w:eastAsia="Calibri" w:hAnsi="Calibri"/>
                <w:b/>
                <w:bCs/>
                <w:sz w:val="19"/>
                <w:szCs w:val="19"/>
              </w:rPr>
              <w:t xml:space="preserve">0.507</w:t>
            </w:r>
          </w:p>
        </w:tc>
        <w:tc>
          <w:tcPr>
            <w:tcW w:type="dxa" w:w="2826"/>
            <w:shd w:fill="E8F3EA"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Best. The complexity is justified.</w:t>
            </w:r>
          </w:p>
        </w:tc>
      </w:tr>
      <w:tr>
        <w:trPr>
          <w:tblHeader w:val="false"/>
        </w:trPr>
        <w:tc>
          <w:tcPr>
            <w:tcW w:type="dxa" w:w="32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Facility risk score alone</w:t>
            </w:r>
          </w:p>
        </w:tc>
        <w:tc>
          <w:tcPr>
            <w:tcW w:type="dxa" w:w="15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0.654</w:t>
            </w:r>
          </w:p>
        </w:tc>
        <w:tc>
          <w:tcPr>
            <w:tcW w:type="dxa" w:w="15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0.426</w:t>
            </w:r>
          </w:p>
        </w:tc>
        <w:tc>
          <w:tcPr>
            <w:tcW w:type="dxa" w:w="2826"/>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A simple lookup of each hospital's past rejection rate gets 84% of the way there.</w:t>
            </w:r>
          </w:p>
        </w:tc>
      </w:tr>
      <w:tr>
        <w:trPr>
          <w:tblHeader w:val="false"/>
        </w:trPr>
        <w:tc>
          <w:tcPr>
            <w:tcW w:type="dxa" w:w="32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PCA (simple linear method)</w:t>
            </w:r>
          </w:p>
        </w:tc>
        <w:tc>
          <w:tcPr>
            <w:tcW w:type="dxa" w:w="15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0.683</w:t>
            </w:r>
          </w:p>
        </w:tc>
        <w:tc>
          <w:tcPr>
            <w:tcW w:type="dxa" w:w="15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0.394</w:t>
            </w:r>
          </w:p>
        </w:tc>
        <w:tc>
          <w:tcPr>
            <w:tcW w:type="dxa" w:w="2826"/>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The autoencoder beats it by 28.7%.</w:t>
            </w:r>
          </w:p>
        </w:tc>
      </w:tr>
      <w:tr>
        <w:trPr>
          <w:tblHeader w:val="false"/>
        </w:trPr>
        <w:tc>
          <w:tcPr>
            <w:tcW w:type="dxa" w:w="32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Random guessing</w:t>
            </w:r>
          </w:p>
        </w:tc>
        <w:tc>
          <w:tcPr>
            <w:tcW w:type="dxa" w:w="15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0.500</w:t>
            </w:r>
          </w:p>
        </w:tc>
        <w:tc>
          <w:tcPr>
            <w:tcW w:type="dxa" w:w="15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0.175</w:t>
            </w:r>
          </w:p>
        </w:tc>
        <w:tc>
          <w:tcPr>
            <w:tcW w:type="dxa" w:w="2826"/>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The floor.</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3E3" w:color="auto" w:val="clear"/>
            <w:tcMar>
              <w:top w:type="dxa" w:w="140"/>
              <w:left w:type="dxa" w:w="160"/>
              <w:bottom w:type="dxa" w:w="140"/>
              <w:right w:type="dxa" w:w="160"/>
            </w:tcMar>
          </w:tcPr>
          <w:p>
            <w:pPr>
              <w:spacing w:after="90"/>
            </w:pPr>
            <w:r>
              <w:rPr>
                <w:rFonts w:ascii="Calibri" w:cs="Calibri" w:eastAsia="Calibri" w:hAnsi="Calibri"/>
                <w:b/>
                <w:bCs/>
                <w:color w:val="1F3864"/>
                <w:sz w:val="21"/>
                <w:szCs w:val="21"/>
              </w:rPr>
              <w:t xml:space="preserve">An important caveat on this comparison</w:t>
            </w:r>
          </w:p>
          <w:p>
            <w:pPr>
              <w:spacing w:after="60" w:line="276"/>
            </w:pPr>
            <w:r>
              <w:rPr>
                <w:rFonts w:ascii="Calibri" w:cs="Calibri" w:eastAsia="Calibri" w:hAnsi="Calibri"/>
                <w:sz w:val="20"/>
                <w:szCs w:val="20"/>
              </w:rPr>
              <w:t xml:space="preserve">A single feature — each facility's historical rejection rate — reaches PR-AUC 0.426 on its own, against the model's 0.507.</w:t>
            </w:r>
          </w:p>
          <w:p>
            <w:pPr>
              <w:spacing w:after="60" w:line="276"/>
            </w:pPr>
            <w:r>
              <w:rPr>
                <w:rFonts w:ascii="Calibri" w:cs="Calibri" w:eastAsia="Calibri" w:hAnsi="Calibri"/>
                <w:sz w:val="20"/>
                <w:szCs w:val="20"/>
              </w:rPr>
              <w:t xml:space="preserve">This means the model is, to a large extent, learning which hospitals get rejected a lot. The neural network adds about 19% on top of that, which is real and worth having, but it is not discovering something entirely new.</w:t>
            </w:r>
          </w:p>
          <w:p>
            <w:pPr>
              <w:spacing w:after="60" w:line="276"/>
            </w:pPr>
            <w:r>
              <w:rPr>
                <w:rFonts w:ascii="Calibri" w:cs="Calibri" w:eastAsia="Calibri" w:hAnsi="Calibri"/>
                <w:sz w:val="20"/>
                <w:szCs w:val="20"/>
              </w:rPr>
              <w:t xml:space="preserve">Practical consequence: much of the value could be captured by a far simpler facility-level watchlist. That is worth building anyway, because it is cheap, instantly explainable, and easy to defend to a provider who disputes a flag.</w:t>
            </w:r>
          </w:p>
        </w:tc>
      </w:tr>
    </w:tbl>
    <w:p>
      <w:r>
        <w:br w:type="page"/>
      </w:r>
    </w:p>
    <w:p>
      <w:pPr>
        <w:pStyle w:val="Heading1"/>
        <w:spacing w:after="130" w:before="320"/>
      </w:pPr>
      <w:r>
        <w:rPr>
          <w:rFonts w:ascii="Calibri" w:cs="Calibri" w:eastAsia="Calibri" w:hAnsi="Calibri"/>
          <w:b/>
          <w:bCs/>
          <w:color w:val="1F3864"/>
          <w:sz w:val="30"/>
          <w:szCs w:val="30"/>
        </w:rPr>
        <w:t xml:space="preserve">6. Problems Found — Must Be Fixed Before Deployment</w:t>
      </w:r>
    </w:p>
    <w:p>
      <w:pPr>
        <w:spacing w:after="120" w:before="0" w:line="276"/>
      </w:pPr>
      <w:r>
        <w:rPr>
          <w:rFonts w:ascii="Calibri" w:cs="Calibri" w:eastAsia="Calibri" w:hAnsi="Calibri"/>
          <w:sz w:val="21"/>
          <w:szCs w:val="21"/>
        </w:rPr>
        <w:t xml:space="preserve">The corrected pipeline surfaced four issues the original run hid. None invalidate the results, but all three of the first ones weaken confidence in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Issue</w:t>
            </w:r>
          </w:p>
        </w:tc>
        <w:tc>
          <w:tcPr>
            <w:tcW w:type="dxa" w:w="6526"/>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Detail and what to do</w:t>
            </w:r>
          </w:p>
        </w:tc>
      </w:tr>
      <w:tr>
        <w:trPr>
          <w:tblHeader w:val="false"/>
        </w:trPr>
        <w:tc>
          <w:tcPr>
            <w:tcW w:type="dxa" w:w="2500"/>
            <w:tcMar>
              <w:top w:type="dxa" w:w="70"/>
              <w:left w:type="dxa" w:w="100"/>
              <w:bottom w:type="dxa" w:w="70"/>
              <w:right w:type="dxa" w:w="100"/>
            </w:tcMar>
          </w:tcPr>
          <w:p>
            <w:pPr>
              <w:spacing w:after="0" w:line="250"/>
            </w:pPr>
            <w:r>
              <w:rPr>
                <w:rFonts w:ascii="Calibri" w:cs="Calibri" w:eastAsia="Calibri" w:hAnsi="Calibri"/>
                <w:b/>
                <w:bCs/>
                <w:sz w:val="19"/>
                <w:szCs w:val="19"/>
              </w:rPr>
              <w:t xml:space="preserve">Corrupted dates</w:t>
            </w:r>
          </w:p>
        </w:tc>
        <w:tc>
          <w:tcPr>
            <w:tcW w:type="dxa" w:w="6526"/>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Claim submission dates span 14 February 1995 to 25 May 2029. Both ends are impossible. Because the data is split by date, part of the test set consists of claims with fictional future dates. Fix: filter to a plausible window (e.g. 2023–2026) and rerun. Expect the headline numbers to shift.</w:t>
            </w:r>
          </w:p>
        </w:tc>
      </w:tr>
      <w:tr>
        <w:trPr>
          <w:tblHeader w:val="false"/>
        </w:trPr>
        <w:tc>
          <w:tcPr>
            <w:tcW w:type="dxa" w:w="2500"/>
            <w:shd w:fill="F2F2F2" w:color="auto" w:val="clear"/>
            <w:tcMar>
              <w:top w:type="dxa" w:w="70"/>
              <w:left w:type="dxa" w:w="100"/>
              <w:bottom w:type="dxa" w:w="70"/>
              <w:right w:type="dxa" w:w="100"/>
            </w:tcMar>
          </w:tcPr>
          <w:p>
            <w:pPr>
              <w:spacing w:after="0" w:line="250"/>
            </w:pPr>
            <w:r>
              <w:rPr>
                <w:rFonts w:ascii="Calibri" w:cs="Calibri" w:eastAsia="Calibri" w:hAnsi="Calibri"/>
                <w:b/>
                <w:bCs/>
                <w:sz w:val="19"/>
                <w:szCs w:val="19"/>
              </w:rPr>
              <w:t xml:space="preserve">Impossible service prices</w:t>
            </w:r>
          </w:p>
        </w:tc>
        <w:tc>
          <w:tcPr>
            <w:tcW w:type="dxa" w:w="6526"/>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The largest single service price reads as 700,070,007,000 XAF — roughly 700 billion, or about a thousand times Cameroon's entire annual health budget. The average service price (225,520 XAF) is 50 times the average claim total (4,389 XAF), which is arithmetically impossible. Either the price field needs a different parsing rule, or the source data contains serious corruption. Investigate before trusting any amount-based feature.</w:t>
            </w:r>
          </w:p>
        </w:tc>
      </w:tr>
      <w:tr>
        <w:trPr>
          <w:tblHeader w:val="false"/>
        </w:trPr>
        <w:tc>
          <w:tcPr>
            <w:tcW w:type="dxa" w:w="2500"/>
            <w:tcMar>
              <w:top w:type="dxa" w:w="70"/>
              <w:left w:type="dxa" w:w="100"/>
              <w:bottom w:type="dxa" w:w="70"/>
              <w:right w:type="dxa" w:w="100"/>
            </w:tcMar>
          </w:tcPr>
          <w:p>
            <w:pPr>
              <w:spacing w:after="0" w:line="250"/>
            </w:pPr>
            <w:r>
              <w:rPr>
                <w:rFonts w:ascii="Calibri" w:cs="Calibri" w:eastAsia="Calibri" w:hAnsi="Calibri"/>
                <w:b/>
                <w:bCs/>
                <w:sz w:val="19"/>
                <w:szCs w:val="19"/>
              </w:rPr>
              <w:t xml:space="preserve">Performance drops over time</w:t>
            </w:r>
          </w:p>
        </w:tc>
        <w:tc>
          <w:tcPr>
            <w:tcW w:type="dxa" w:w="6526"/>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PR-AUC falls from 0.673 on the validation period to 0.507 on the test period — a 25% decline in a few weeks. Claims behaviour is drifting. Fix: retrain on a schedule (monthly or quarterly) and monitor the score distribution for shifts.</w:t>
            </w:r>
          </w:p>
        </w:tc>
      </w:tr>
      <w:tr>
        <w:trPr>
          <w:tblHeader w:val="false"/>
        </w:trPr>
        <w:tc>
          <w:tcPr>
            <w:tcW w:type="dxa" w:w="2500"/>
            <w:shd w:fill="F2F2F2" w:color="auto" w:val="clear"/>
            <w:tcMar>
              <w:top w:type="dxa" w:w="70"/>
              <w:left w:type="dxa" w:w="100"/>
              <w:bottom w:type="dxa" w:w="70"/>
              <w:right w:type="dxa" w:w="100"/>
            </w:tcMar>
          </w:tcPr>
          <w:p>
            <w:pPr>
              <w:spacing w:after="0" w:line="250"/>
            </w:pPr>
            <w:r>
              <w:rPr>
                <w:rFonts w:ascii="Calibri" w:cs="Calibri" w:eastAsia="Calibri" w:hAnsi="Calibri"/>
                <w:b/>
                <w:bCs/>
                <w:sz w:val="19"/>
                <w:szCs w:val="19"/>
              </w:rPr>
              <w:t xml:space="preserve">Duplicate information</w:t>
            </w:r>
          </w:p>
        </w:tc>
        <w:tc>
          <w:tcPr>
            <w:tcW w:type="dxa" w:w="6526"/>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Ten pairs of features are more than 95% correlated (claim amount vs. service total, for example, at 99.4%). The autoencoder counts this information twice. Trimming these should improve the model slightly and make it faster.</w:t>
            </w:r>
          </w:p>
        </w:tc>
      </w:tr>
    </w:tbl>
    <w:p>
      <w:pPr>
        <w:spacing w:after="160"/>
      </w:pPr>
    </w:p>
    <w:p>
      <w:pPr>
        <w:pStyle w:val="Heading2"/>
        <w:spacing w:after="130" w:before="240"/>
      </w:pPr>
      <w:r>
        <w:rPr>
          <w:rFonts w:ascii="Calibri" w:cs="Calibri" w:eastAsia="Calibri" w:hAnsi="Calibri"/>
          <w:b/>
          <w:bCs/>
          <w:color w:val="1F3864"/>
          <w:sz w:val="24"/>
          <w:szCs w:val="24"/>
        </w:rPr>
        <w:t xml:space="preserve">6.1 An operational finding worth immediate action</w:t>
      </w:r>
    </w:p>
    <w:p>
      <w:pPr>
        <w:spacing w:after="120" w:before="0" w:line="276"/>
      </w:pPr>
      <w:r>
        <w:rPr>
          <w:rFonts w:ascii="Calibri" w:cs="Calibri" w:eastAsia="Calibri" w:hAnsi="Calibri"/>
          <w:sz w:val="21"/>
          <w:szCs w:val="21"/>
        </w:rPr>
        <w:t xml:space="preserve">The facility-level analysis surfaced something that needs no model at all. Several health facilities have a 100% rejection rate across large volumes of claims:</w:t>
      </w:r>
    </w:p>
    <w:p>
      <w:pPr>
        <w:pStyle w:val="ListParagraph"/>
        <w:numPr>
          <w:ilvl w:val="0"/>
          <w:numId w:val="2"/>
        </w:numPr>
        <w:spacing w:after="70" w:line="276"/>
      </w:pPr>
      <w:r>
        <w:rPr>
          <w:rFonts w:ascii="Calibri" w:cs="Calibri" w:eastAsia="Calibri" w:hAnsi="Calibri"/>
          <w:sz w:val="21"/>
          <w:szCs w:val="21"/>
        </w:rPr>
        <w:t xml:space="preserve">Facility 2360 — 6,003 claims, every one rejected</w:t>
      </w:r>
    </w:p>
    <w:p>
      <w:pPr>
        <w:pStyle w:val="ListParagraph"/>
        <w:numPr>
          <w:ilvl w:val="0"/>
          <w:numId w:val="2"/>
        </w:numPr>
        <w:spacing w:after="70" w:line="276"/>
      </w:pPr>
      <w:r>
        <w:rPr>
          <w:rFonts w:ascii="Calibri" w:cs="Calibri" w:eastAsia="Calibri" w:hAnsi="Calibri"/>
          <w:sz w:val="21"/>
          <w:szCs w:val="21"/>
        </w:rPr>
        <w:t xml:space="preserve">Facility 836 — 4,514 claims, every one rejected</w:t>
      </w:r>
    </w:p>
    <w:p>
      <w:pPr>
        <w:pStyle w:val="ListParagraph"/>
        <w:numPr>
          <w:ilvl w:val="0"/>
          <w:numId w:val="2"/>
        </w:numPr>
        <w:spacing w:after="70" w:line="276"/>
      </w:pPr>
      <w:r>
        <w:rPr>
          <w:rFonts w:ascii="Calibri" w:cs="Calibri" w:eastAsia="Calibri" w:hAnsi="Calibri"/>
          <w:sz w:val="21"/>
          <w:szCs w:val="21"/>
        </w:rPr>
        <w:t xml:space="preserve">Facility 832 — 1,126 claims, every one rejected</w:t>
      </w:r>
    </w:p>
    <w:p>
      <w:pPr>
        <w:pStyle w:val="ListParagraph"/>
        <w:numPr>
          <w:ilvl w:val="0"/>
          <w:numId w:val="2"/>
        </w:numPr>
        <w:spacing w:after="70" w:line="276"/>
      </w:pPr>
      <w:r>
        <w:rPr>
          <w:rFonts w:ascii="Calibri" w:cs="Calibri" w:eastAsia="Calibri" w:hAnsi="Calibri"/>
          <w:sz w:val="21"/>
          <w:szCs w:val="21"/>
        </w:rPr>
        <w:t xml:space="preserve">Facility 3898 — 907 claims, every one rejected</w:t>
      </w:r>
    </w:p>
    <w:p>
      <w:pPr>
        <w:spacing w:after="120" w:before="0" w:line="276"/>
      </w:pPr>
      <w:r>
        <w:rPr>
          <w:rFonts w:ascii="Calibri" w:cs="Calibri" w:eastAsia="Calibri" w:hAnsi="Calibri"/>
          <w:b/>
          <w:bCs/>
          <w:sz w:val="21"/>
          <w:szCs w:val="21"/>
        </w:rPr>
        <w:t xml:space="preserve">A facility submitting thousands of claims that are all rejected is almost certainly an administrative problem — an expired contract, a lapsed registration, a mis-configured code. It is wasting the facility's time and the insurer's. Notably, the model does not flag these claims at all, because they look perfectly ordinary; only the facility is the problem. A one-line database query would find all of them today.</w:t>
      </w:r>
    </w:p>
    <w:p>
      <w:r>
        <w:br w:type="page"/>
      </w:r>
    </w:p>
    <w:p>
      <w:pPr>
        <w:pStyle w:val="Heading1"/>
        <w:spacing w:after="130" w:before="320"/>
      </w:pPr>
      <w:r>
        <w:rPr>
          <w:rFonts w:ascii="Calibri" w:cs="Calibri" w:eastAsia="Calibri" w:hAnsi="Calibri"/>
          <w:b/>
          <w:bCs/>
          <w:color w:val="1F3864"/>
          <w:sz w:val="30"/>
          <w:szCs w:val="30"/>
        </w:rPr>
        <w:t xml:space="preserve">7. Final Results Table</w:t>
      </w:r>
    </w:p>
    <w:p>
      <w:pPr>
        <w:spacing w:after="120" w:before="0" w:line="276"/>
      </w:pPr>
      <w:r>
        <w:rPr>
          <w:rFonts w:ascii="Calibri" w:cs="Calibri" w:eastAsia="Calibri" w:hAnsi="Calibri"/>
          <w:sz w:val="21"/>
          <w:szCs w:val="21"/>
        </w:rPr>
        <w:t xml:space="preserve">Everything in one place, with what it means and how to use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250"/>
        <w:gridCol w:w="2900"/>
        <w:gridCol w:w="3126"/>
      </w:tblGrid>
      <w:tr>
        <w:trPr>
          <w:tblHeader/>
        </w:trPr>
        <w:tc>
          <w:tcPr>
            <w:tcW w:type="dxa" w:w="1750"/>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What was measured</w:t>
            </w:r>
          </w:p>
        </w:tc>
        <w:tc>
          <w:tcPr>
            <w:tcW w:type="dxa" w:w="1250"/>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Result</w:t>
            </w:r>
          </w:p>
        </w:tc>
        <w:tc>
          <w:tcPr>
            <w:tcW w:type="dxa" w:w="2900"/>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What happened</w:t>
            </w:r>
          </w:p>
        </w:tc>
        <w:tc>
          <w:tcPr>
            <w:tcW w:type="dxa" w:w="3126"/>
            <w:shd w:fill="1F3864"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How to use it</w:t>
            </w:r>
          </w:p>
        </w:tc>
      </w:tr>
      <w:tr>
        <w:trPr>
          <w:tblHeader w:val="false"/>
        </w:trPr>
        <w:tc>
          <w:tcPr>
            <w:tcW w:type="dxa" w:w="1750"/>
            <w:tcMar>
              <w:top w:type="dxa" w:w="70"/>
              <w:left w:type="dxa" w:w="100"/>
              <w:bottom w:type="dxa" w:w="70"/>
              <w:right w:type="dxa" w:w="100"/>
            </w:tcMar>
          </w:tcPr>
          <w:p>
            <w:pPr>
              <w:spacing w:after="0" w:line="250"/>
            </w:pPr>
            <w:r>
              <w:rPr>
                <w:rFonts w:ascii="Calibri" w:cs="Calibri" w:eastAsia="Calibri" w:hAnsi="Calibri"/>
                <w:b/>
                <w:bCs/>
                <w:sz w:val="19"/>
                <w:szCs w:val="19"/>
              </w:rPr>
              <w:t xml:space="preserve">ROC-AUC</w:t>
            </w:r>
          </w:p>
        </w:tc>
        <w:tc>
          <w:tcPr>
            <w:tcW w:type="dxa" w:w="125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0.741</w:t>
            </w:r>
          </w:p>
        </w:tc>
        <w:tc>
          <w:tcPr>
            <w:tcW w:type="dxa" w:w="29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Moderate but real ability to tell rejected from approved claims. Better than the original 0.666.</w:t>
            </w:r>
          </w:p>
        </w:tc>
        <w:tc>
          <w:tcPr>
            <w:tcW w:type="dxa" w:w="3126"/>
            <w:shd w:fill="E8F3EA"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Use as the headline accuracy figure in reports. Do not call it "excellent" — 0.74 is workable, not strong.</w:t>
            </w:r>
          </w:p>
        </w:tc>
      </w:tr>
      <w:tr>
        <w:trPr>
          <w:tblHeader w:val="false"/>
        </w:trPr>
        <w:tc>
          <w:tcPr>
            <w:tcW w:type="dxa" w:w="1750"/>
            <w:shd w:fill="F2F2F2" w:color="auto" w:val="clear"/>
            <w:tcMar>
              <w:top w:type="dxa" w:w="70"/>
              <w:left w:type="dxa" w:w="100"/>
              <w:bottom w:type="dxa" w:w="70"/>
              <w:right w:type="dxa" w:w="100"/>
            </w:tcMar>
          </w:tcPr>
          <w:p>
            <w:pPr>
              <w:spacing w:after="0" w:line="250"/>
            </w:pPr>
            <w:r>
              <w:rPr>
                <w:rFonts w:ascii="Calibri" w:cs="Calibri" w:eastAsia="Calibri" w:hAnsi="Calibri"/>
                <w:b/>
                <w:bCs/>
                <w:sz w:val="19"/>
                <w:szCs w:val="19"/>
              </w:rPr>
              <w:t xml:space="preserve">PR-AUC</w:t>
            </w:r>
          </w:p>
        </w:tc>
        <w:tc>
          <w:tcPr>
            <w:tcW w:type="dxa" w:w="125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0.507</w:t>
            </w:r>
          </w:p>
        </w:tc>
        <w:tc>
          <w:tcPr>
            <w:tcW w:type="dxa" w:w="29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2.9× better than random. The fairer measure when only 1 claim in 6 is rejected.</w:t>
            </w:r>
          </w:p>
        </w:tc>
        <w:tc>
          <w:tcPr>
            <w:tcW w:type="dxa" w:w="3126"/>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Quote this alongside ROC-AUC whenever an outside reviewer is involved.</w:t>
            </w:r>
          </w:p>
        </w:tc>
      </w:tr>
      <w:tr>
        <w:trPr>
          <w:tblHeader w:val="false"/>
        </w:trPr>
        <w:tc>
          <w:tcPr>
            <w:tcW w:type="dxa" w:w="1750"/>
            <w:tcMar>
              <w:top w:type="dxa" w:w="70"/>
              <w:left w:type="dxa" w:w="100"/>
              <w:bottom w:type="dxa" w:w="70"/>
              <w:right w:type="dxa" w:w="100"/>
            </w:tcMar>
          </w:tcPr>
          <w:p>
            <w:pPr>
              <w:spacing w:after="0" w:line="250"/>
            </w:pPr>
            <w:r>
              <w:rPr>
                <w:rFonts w:ascii="Calibri" w:cs="Calibri" w:eastAsia="Calibri" w:hAnsi="Calibri"/>
                <w:b/>
                <w:bCs/>
                <w:sz w:val="19"/>
                <w:szCs w:val="19"/>
              </w:rPr>
              <w:t xml:space="preserve">Precision at threshold</w:t>
            </w:r>
          </w:p>
        </w:tc>
        <w:tc>
          <w:tcPr>
            <w:tcW w:type="dxa" w:w="125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94.4%</w:t>
            </w:r>
          </w:p>
        </w:tc>
        <w:tc>
          <w:tcPr>
            <w:tcW w:type="dxa" w:w="29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Of every 100 claims flagged, about 94 really were rejected.</w:t>
            </w:r>
          </w:p>
        </w:tc>
        <w:tc>
          <w:tcPr>
            <w:tcW w:type="dxa" w:w="3126"/>
            <w:shd w:fill="E8F3EA"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This is the number to give auditors. It tells them their time will not be wasted.</w:t>
            </w:r>
          </w:p>
        </w:tc>
      </w:tr>
      <w:tr>
        <w:trPr>
          <w:tblHeader w:val="false"/>
        </w:trPr>
        <w:tc>
          <w:tcPr>
            <w:tcW w:type="dxa" w:w="1750"/>
            <w:shd w:fill="F2F2F2" w:color="auto" w:val="clear"/>
            <w:tcMar>
              <w:top w:type="dxa" w:w="70"/>
              <w:left w:type="dxa" w:w="100"/>
              <w:bottom w:type="dxa" w:w="70"/>
              <w:right w:type="dxa" w:w="100"/>
            </w:tcMar>
          </w:tcPr>
          <w:p>
            <w:pPr>
              <w:spacing w:after="0" w:line="250"/>
            </w:pPr>
            <w:r>
              <w:rPr>
                <w:rFonts w:ascii="Calibri" w:cs="Calibri" w:eastAsia="Calibri" w:hAnsi="Calibri"/>
                <w:b/>
                <w:bCs/>
                <w:sz w:val="19"/>
                <w:szCs w:val="19"/>
              </w:rPr>
              <w:t xml:space="preserve">Recall at threshold</w:t>
            </w:r>
          </w:p>
        </w:tc>
        <w:tc>
          <w:tcPr>
            <w:tcW w:type="dxa" w:w="125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9.5%</w:t>
            </w:r>
          </w:p>
        </w:tc>
        <w:tc>
          <w:tcPr>
            <w:tcW w:type="dxa" w:w="29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Only about 1 in 10 rejections gets caught.</w:t>
            </w:r>
          </w:p>
        </w:tc>
        <w:tc>
          <w:tcPr>
            <w:tcW w:type="dxa" w:w="3126"/>
            <w:shd w:fill="FBEAEA"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Be upfront about this. The model is an assistant, not a safety net. Keep the existing rules engine running.</w:t>
            </w:r>
          </w:p>
        </w:tc>
      </w:tr>
      <w:tr>
        <w:trPr>
          <w:tblHeader w:val="false"/>
        </w:trPr>
        <w:tc>
          <w:tcPr>
            <w:tcW w:type="dxa" w:w="1750"/>
            <w:tcMar>
              <w:top w:type="dxa" w:w="70"/>
              <w:left w:type="dxa" w:w="100"/>
              <w:bottom w:type="dxa" w:w="70"/>
              <w:right w:type="dxa" w:w="100"/>
            </w:tcMar>
          </w:tcPr>
          <w:p>
            <w:pPr>
              <w:spacing w:after="0" w:line="250"/>
            </w:pPr>
            <w:r>
              <w:rPr>
                <w:rFonts w:ascii="Calibri" w:cs="Calibri" w:eastAsia="Calibri" w:hAnsi="Calibri"/>
                <w:b/>
                <w:bCs/>
                <w:sz w:val="19"/>
                <w:szCs w:val="19"/>
              </w:rPr>
              <w:t xml:space="preserve">Precision in top 1%</w:t>
            </w:r>
          </w:p>
        </w:tc>
        <w:tc>
          <w:tcPr>
            <w:tcW w:type="dxa" w:w="125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99.6%</w:t>
            </w:r>
          </w:p>
        </w:tc>
        <w:tc>
          <w:tcPr>
            <w:tcW w:type="dxa" w:w="29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The very top of the queue is almost pure.</w:t>
            </w:r>
          </w:p>
        </w:tc>
        <w:tc>
          <w:tcPr>
            <w:tcW w:type="dxa" w:w="3126"/>
            <w:shd w:fill="E8F3EA"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Start every audit day with these. Highest return on auditor time by a wide margin.</w:t>
            </w:r>
          </w:p>
        </w:tc>
      </w:tr>
      <w:tr>
        <w:trPr>
          <w:tblHeader w:val="false"/>
        </w:trPr>
        <w:tc>
          <w:tcPr>
            <w:tcW w:type="dxa" w:w="1750"/>
            <w:shd w:fill="F2F2F2" w:color="auto" w:val="clear"/>
            <w:tcMar>
              <w:top w:type="dxa" w:w="70"/>
              <w:left w:type="dxa" w:w="100"/>
              <w:bottom w:type="dxa" w:w="70"/>
              <w:right w:type="dxa" w:w="100"/>
            </w:tcMar>
          </w:tcPr>
          <w:p>
            <w:pPr>
              <w:spacing w:after="0" w:line="250"/>
            </w:pPr>
            <w:r>
              <w:rPr>
                <w:rFonts w:ascii="Calibri" w:cs="Calibri" w:eastAsia="Calibri" w:hAnsi="Calibri"/>
                <w:b/>
                <w:bCs/>
                <w:sz w:val="19"/>
                <w:szCs w:val="19"/>
              </w:rPr>
              <w:t xml:space="preserve">Daily alert volume</w:t>
            </w:r>
          </w:p>
        </w:tc>
        <w:tc>
          <w:tcPr>
            <w:tcW w:type="dxa" w:w="125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~170/day</w:t>
            </w:r>
          </w:p>
        </w:tc>
        <w:tc>
          <w:tcPr>
            <w:tcW w:type="dxa" w:w="29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7,364 flags across the test period — a workload a small team can absorb.</w:t>
            </w:r>
          </w:p>
        </w:tc>
        <w:tc>
          <w:tcPr>
            <w:tcW w:type="dxa" w:w="3126"/>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Set the threshold to your real staffing level, not to the value saved in the config file.</w:t>
            </w:r>
          </w:p>
        </w:tc>
      </w:tr>
      <w:tr>
        <w:trPr>
          <w:tblHeader w:val="false"/>
        </w:trPr>
        <w:tc>
          <w:tcPr>
            <w:tcW w:type="dxa" w:w="1750"/>
            <w:tcMar>
              <w:top w:type="dxa" w:w="70"/>
              <w:left w:type="dxa" w:w="100"/>
              <w:bottom w:type="dxa" w:w="70"/>
              <w:right w:type="dxa" w:w="100"/>
            </w:tcMar>
          </w:tcPr>
          <w:p>
            <w:pPr>
              <w:spacing w:after="0" w:line="250"/>
            </w:pPr>
            <w:r>
              <w:rPr>
                <w:rFonts w:ascii="Calibri" w:cs="Calibri" w:eastAsia="Calibri" w:hAnsi="Calibri"/>
                <w:b/>
                <w:bCs/>
                <w:sz w:val="19"/>
                <w:szCs w:val="19"/>
              </w:rPr>
              <w:t xml:space="preserve">False alarms</w:t>
            </w:r>
          </w:p>
        </w:tc>
        <w:tc>
          <w:tcPr>
            <w:tcW w:type="dxa" w:w="125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414</w:t>
            </w:r>
          </w:p>
        </w:tc>
        <w:tc>
          <w:tcPr>
            <w:tcW w:type="dxa" w:w="29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Out of 344,698 legitimate claims, only 414 were wrongly flagged.</w:t>
            </w:r>
          </w:p>
        </w:tc>
        <w:tc>
          <w:tcPr>
            <w:tcW w:type="dxa" w:w="3126"/>
            <w:shd w:fill="E8F3EA"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Low enough that provider complaints should be manageable — but log every one and review monthly.</w:t>
            </w:r>
          </w:p>
        </w:tc>
      </w:tr>
      <w:tr>
        <w:trPr>
          <w:tblHeader w:val="false"/>
        </w:trPr>
        <w:tc>
          <w:tcPr>
            <w:tcW w:type="dxa" w:w="1750"/>
            <w:shd w:fill="F2F2F2" w:color="auto" w:val="clear"/>
            <w:tcMar>
              <w:top w:type="dxa" w:w="70"/>
              <w:left w:type="dxa" w:w="100"/>
              <w:bottom w:type="dxa" w:w="70"/>
              <w:right w:type="dxa" w:w="100"/>
            </w:tcMar>
          </w:tcPr>
          <w:p>
            <w:pPr>
              <w:spacing w:after="0" w:line="250"/>
            </w:pPr>
            <w:r>
              <w:rPr>
                <w:rFonts w:ascii="Calibri" w:cs="Calibri" w:eastAsia="Calibri" w:hAnsi="Calibri"/>
                <w:b/>
                <w:bCs/>
                <w:sz w:val="19"/>
                <w:szCs w:val="19"/>
              </w:rPr>
              <w:t xml:space="preserve">Stability</w:t>
            </w:r>
          </w:p>
        </w:tc>
        <w:tc>
          <w:tcPr>
            <w:tcW w:type="dxa" w:w="125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±0.005</w:t>
            </w:r>
          </w:p>
        </w:tc>
        <w:tc>
          <w:tcPr>
            <w:tcW w:type="dxa" w:w="29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Three separate training runs gave nearly the same answer.</w:t>
            </w:r>
          </w:p>
        </w:tc>
        <w:tc>
          <w:tcPr>
            <w:tcW w:type="dxa" w:w="3126"/>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Safe to treat the result as reproducible.</w:t>
            </w:r>
          </w:p>
        </w:tc>
      </w:tr>
      <w:tr>
        <w:trPr>
          <w:tblHeader w:val="false"/>
        </w:trPr>
        <w:tc>
          <w:tcPr>
            <w:tcW w:type="dxa" w:w="1750"/>
            <w:tcMar>
              <w:top w:type="dxa" w:w="70"/>
              <w:left w:type="dxa" w:w="100"/>
              <w:bottom w:type="dxa" w:w="70"/>
              <w:right w:type="dxa" w:w="100"/>
            </w:tcMar>
          </w:tcPr>
          <w:p>
            <w:pPr>
              <w:spacing w:after="0" w:line="250"/>
            </w:pPr>
            <w:r>
              <w:rPr>
                <w:rFonts w:ascii="Calibri" w:cs="Calibri" w:eastAsia="Calibri" w:hAnsi="Calibri"/>
                <w:b/>
                <w:bCs/>
                <w:sz w:val="19"/>
                <w:szCs w:val="19"/>
              </w:rPr>
              <w:t xml:space="preserve">vs. simple baseline</w:t>
            </w:r>
          </w:p>
        </w:tc>
        <w:tc>
          <w:tcPr>
            <w:tcW w:type="dxa" w:w="125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+19%</w:t>
            </w:r>
          </w:p>
        </w:tc>
        <w:tc>
          <w:tcPr>
            <w:tcW w:type="dxa" w:w="29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Facility risk alone gets most of the way; the network adds about a fifth on top.</w:t>
            </w:r>
          </w:p>
        </w:tc>
        <w:tc>
          <w:tcPr>
            <w:tcW w:type="dxa" w:w="3126"/>
            <w:shd w:fill="FDF3E3"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Build the simple facility watchlist first — it is cheap and explainable. Add the model on top.</w:t>
            </w:r>
          </w:p>
        </w:tc>
      </w:tr>
      <w:tr>
        <w:trPr>
          <w:tblHeader w:val="false"/>
        </w:trPr>
        <w:tc>
          <w:tcPr>
            <w:tcW w:type="dxa" w:w="1750"/>
            <w:shd w:fill="F2F2F2" w:color="auto" w:val="clear"/>
            <w:tcMar>
              <w:top w:type="dxa" w:w="70"/>
              <w:left w:type="dxa" w:w="100"/>
              <w:bottom w:type="dxa" w:w="70"/>
              <w:right w:type="dxa" w:w="100"/>
            </w:tcMar>
          </w:tcPr>
          <w:p>
            <w:pPr>
              <w:spacing w:after="0" w:line="250"/>
            </w:pPr>
            <w:r>
              <w:rPr>
                <w:rFonts w:ascii="Calibri" w:cs="Calibri" w:eastAsia="Calibri" w:hAnsi="Calibri"/>
                <w:b/>
                <w:bCs/>
                <w:sz w:val="19"/>
                <w:szCs w:val="19"/>
              </w:rPr>
              <w:t xml:space="preserve">Drift</w:t>
            </w:r>
          </w:p>
        </w:tc>
        <w:tc>
          <w:tcPr>
            <w:tcW w:type="dxa" w:w="125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−25%</w:t>
            </w:r>
          </w:p>
        </w:tc>
        <w:tc>
          <w:tcPr>
            <w:tcW w:type="dxa" w:w="2900"/>
            <w:shd w:fill="F2F2F2"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Accuracy fell noticeably between the validation and test windows.</w:t>
            </w:r>
          </w:p>
        </w:tc>
        <w:tc>
          <w:tcPr>
            <w:tcW w:type="dxa" w:w="3126"/>
            <w:shd w:fill="FBEAEA"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Retrain monthly or quarterly. Monitor the score distribution and alert when it shifts.</w:t>
            </w:r>
          </w:p>
        </w:tc>
      </w:tr>
    </w:tbl>
    <w:p>
      <w:r>
        <w:br w:type="page"/>
      </w:r>
    </w:p>
    <w:p>
      <w:pPr>
        <w:pStyle w:val="Heading1"/>
        <w:spacing w:after="130" w:before="320"/>
      </w:pPr>
      <w:r>
        <w:rPr>
          <w:rFonts w:ascii="Calibri" w:cs="Calibri" w:eastAsia="Calibri" w:hAnsi="Calibri"/>
          <w:b/>
          <w:bCs/>
          <w:color w:val="1F3864"/>
          <w:sz w:val="30"/>
          <w:szCs w:val="30"/>
        </w:rPr>
        <w:t xml:space="preserve">8. Conclusion</w:t>
      </w:r>
    </w:p>
    <w:p>
      <w:pPr>
        <w:spacing w:after="120" w:before="0" w:line="276"/>
      </w:pPr>
      <w:r>
        <w:rPr>
          <w:rFonts w:ascii="Calibri" w:cs="Calibri" w:eastAsia="Calibri" w:hAnsi="Calibri"/>
          <w:sz w:val="21"/>
          <w:szCs w:val="21"/>
        </w:rPr>
        <w:t xml:space="preserve">The corrected autoencoder is a working, useful model. It is the first version of this system whose numbers can be trusted, because the pipeline that produced them no longer silently destroys two thirds of the financial data and no longer trains on undecided claims.</w:t>
      </w:r>
    </w:p>
    <w:p>
      <w:pPr>
        <w:spacing w:after="120" w:before="0" w:line="276"/>
      </w:pPr>
      <w:r>
        <w:rPr>
          <w:rFonts w:ascii="Calibri" w:cs="Calibri" w:eastAsia="Calibri" w:hAnsi="Calibri"/>
          <w:sz w:val="21"/>
          <w:szCs w:val="21"/>
        </w:rPr>
        <w:t xml:space="preserve">Its strength is precision. Given a short list, it is right almost every time, and the top 1% of its queue is close to pure. That is exactly the shape of tool an under-resourced audit function needs. Its weakness is coverage — it will not find most rejections, and it should never be presented as if it will.</w:t>
      </w:r>
    </w:p>
    <w:p>
      <w:pPr>
        <w:spacing w:after="120" w:before="0" w:line="276"/>
      </w:pPr>
      <w:r>
        <w:rPr>
          <w:rFonts w:ascii="Calibri" w:cs="Calibri" w:eastAsia="Calibri" w:hAnsi="Calibri"/>
          <w:sz w:val="21"/>
          <w:szCs w:val="21"/>
        </w:rPr>
        <w:t xml:space="preserve">Two honest qualifications belong in any onward presentation of these results. First, the model predicts rejection, not fraud, and most rejections are administrative rules the system already enforces automatically. Second, a substantial share of the model's skill comes from knowing which hospitals get rejected often, which is useful but is not a sophisticated discovery.</w:t>
      </w:r>
    </w:p>
    <w:p>
      <w:pPr>
        <w:spacing w:after="120" w:before="0" w:line="276"/>
      </w:pPr>
      <w:r>
        <w:rPr>
          <w:rFonts w:ascii="Calibri" w:cs="Calibri" w:eastAsia="Calibri" w:hAnsi="Calibri"/>
          <w:b/>
          <w:bCs/>
          <w:sz w:val="21"/>
          <w:szCs w:val="21"/>
        </w:rPr>
        <w:t xml:space="preserve">Neither point undermines the work. Both keep it credible with a reviewer or a ministry.</w:t>
      </w:r>
    </w:p>
    <w:p>
      <w:pPr>
        <w:pStyle w:val="Heading1"/>
        <w:spacing w:after="130" w:before="320"/>
      </w:pPr>
      <w:r>
        <w:rPr>
          <w:rFonts w:ascii="Calibri" w:cs="Calibri" w:eastAsia="Calibri" w:hAnsi="Calibri"/>
          <w:b/>
          <w:bCs/>
          <w:color w:val="1F3864"/>
          <w:sz w:val="30"/>
          <w:szCs w:val="30"/>
        </w:rPr>
        <w:t xml:space="preserve">9. Recommendations</w:t>
      </w:r>
    </w:p>
    <w:p>
      <w:pPr>
        <w:pStyle w:val="Heading2"/>
        <w:spacing w:after="130" w:before="240"/>
      </w:pPr>
      <w:r>
        <w:rPr>
          <w:rFonts w:ascii="Calibri" w:cs="Calibri" w:eastAsia="Calibri" w:hAnsi="Calibri"/>
          <w:b/>
          <w:bCs/>
          <w:color w:val="1F3864"/>
          <w:sz w:val="24"/>
          <w:szCs w:val="24"/>
        </w:rPr>
        <w:t xml:space="preserve">Immediate (this week)</w:t>
      </w:r>
    </w:p>
    <w:p>
      <w:pPr>
        <w:pStyle w:val="ListParagraph"/>
        <w:numPr>
          <w:ilvl w:val="0"/>
          <w:numId w:val="2"/>
        </w:numPr>
        <w:spacing w:after="70" w:line="276"/>
      </w:pPr>
      <w:r>
        <w:rPr>
          <w:rFonts w:ascii="Calibri" w:cs="Calibri" w:eastAsia="Calibri" w:hAnsi="Calibri"/>
          <w:sz w:val="21"/>
          <w:szCs w:val="21"/>
        </w:rPr>
        <w:t xml:space="preserve">Query the facilities with 100% rejection rates and resolve them administratively. This is free money and needs no model.</w:t>
      </w:r>
    </w:p>
    <w:p>
      <w:pPr>
        <w:pStyle w:val="ListParagraph"/>
        <w:numPr>
          <w:ilvl w:val="0"/>
          <w:numId w:val="2"/>
        </w:numPr>
        <w:spacing w:after="70" w:line="276"/>
      </w:pPr>
      <w:r>
        <w:rPr>
          <w:rFonts w:ascii="Calibri" w:cs="Calibri" w:eastAsia="Calibri" w:hAnsi="Calibri"/>
          <w:sz w:val="21"/>
          <w:szCs w:val="21"/>
        </w:rPr>
        <w:t xml:space="preserve">Investigate the 700-billion-XAF service price and the average service price exceeding the average claim total. Confirm whether this is a parsing rule or genuine data corruption.</w:t>
      </w:r>
    </w:p>
    <w:p>
      <w:pPr>
        <w:pStyle w:val="ListParagraph"/>
        <w:numPr>
          <w:ilvl w:val="0"/>
          <w:numId w:val="2"/>
        </w:numPr>
        <w:spacing w:after="70" w:line="276"/>
      </w:pPr>
      <w:r>
        <w:rPr>
          <w:rFonts w:ascii="Calibri" w:cs="Calibri" w:eastAsia="Calibri" w:hAnsi="Calibri"/>
          <w:sz w:val="21"/>
          <w:szCs w:val="21"/>
        </w:rPr>
        <w:t xml:space="preserve">Filter claim dates to a plausible window and rerun. The current test set contains claims dated up to 2029.</w:t>
      </w:r>
    </w:p>
    <w:p>
      <w:pPr>
        <w:pStyle w:val="Heading2"/>
        <w:spacing w:after="130" w:before="240"/>
      </w:pPr>
      <w:r>
        <w:rPr>
          <w:rFonts w:ascii="Calibri" w:cs="Calibri" w:eastAsia="Calibri" w:hAnsi="Calibri"/>
          <w:b/>
          <w:bCs/>
          <w:color w:val="1F3864"/>
          <w:sz w:val="24"/>
          <w:szCs w:val="24"/>
        </w:rPr>
        <w:t xml:space="preserve">Short term (one month)</w:t>
      </w:r>
    </w:p>
    <w:p>
      <w:pPr>
        <w:pStyle w:val="ListParagraph"/>
        <w:numPr>
          <w:ilvl w:val="0"/>
          <w:numId w:val="2"/>
        </w:numPr>
        <w:spacing w:after="70" w:line="276"/>
      </w:pPr>
      <w:r>
        <w:rPr>
          <w:rFonts w:ascii="Calibri" w:cs="Calibri" w:eastAsia="Calibri" w:hAnsi="Calibri"/>
          <w:sz w:val="21"/>
          <w:szCs w:val="21"/>
        </w:rPr>
        <w:t xml:space="preserve">Build the simple facility risk watchlist as a standalone tool. It captures most of the value, is instantly explainable to a provider, and can go live long before any model does.</w:t>
      </w:r>
    </w:p>
    <w:p>
      <w:pPr>
        <w:pStyle w:val="ListParagraph"/>
        <w:numPr>
          <w:ilvl w:val="0"/>
          <w:numId w:val="2"/>
        </w:numPr>
        <w:spacing w:after="70" w:line="276"/>
      </w:pPr>
      <w:r>
        <w:rPr>
          <w:rFonts w:ascii="Calibri" w:cs="Calibri" w:eastAsia="Calibri" w:hAnsi="Calibri"/>
          <w:sz w:val="21"/>
          <w:szCs w:val="21"/>
        </w:rPr>
        <w:t xml:space="preserve">Ask the openIMIS team why care type is 99.55% empty and whether the 310,678 claims with no service lines are genuine or an export gap.</w:t>
      </w:r>
    </w:p>
    <w:p>
      <w:pPr>
        <w:pStyle w:val="ListParagraph"/>
        <w:numPr>
          <w:ilvl w:val="0"/>
          <w:numId w:val="2"/>
        </w:numPr>
        <w:spacing w:after="70" w:line="276"/>
      </w:pPr>
      <w:r>
        <w:rPr>
          <w:rFonts w:ascii="Calibri" w:cs="Calibri" w:eastAsia="Calibri" w:hAnsi="Calibri"/>
          <w:sz w:val="21"/>
          <w:szCs w:val="21"/>
        </w:rPr>
        <w:t xml:space="preserve">Remove the redundant correlated features and rerun to confirm the small expected improvement.</w:t>
      </w:r>
    </w:p>
    <w:p>
      <w:pPr>
        <w:pStyle w:val="Heading2"/>
        <w:spacing w:after="130" w:before="240"/>
      </w:pPr>
      <w:r>
        <w:rPr>
          <w:rFonts w:ascii="Calibri" w:cs="Calibri" w:eastAsia="Calibri" w:hAnsi="Calibri"/>
          <w:b/>
          <w:bCs/>
          <w:color w:val="1F3864"/>
          <w:sz w:val="24"/>
          <w:szCs w:val="24"/>
        </w:rPr>
        <w:t xml:space="preserve">Before any live deployment (three months)</w:t>
      </w:r>
    </w:p>
    <w:p>
      <w:pPr>
        <w:pStyle w:val="ListParagraph"/>
        <w:numPr>
          <w:ilvl w:val="0"/>
          <w:numId w:val="2"/>
        </w:numPr>
        <w:spacing w:after="70" w:line="276"/>
      </w:pPr>
      <w:r>
        <w:rPr>
          <w:rFonts w:ascii="Calibri" w:cs="Calibri" w:eastAsia="Calibri" w:hAnsi="Calibri"/>
          <w:sz w:val="21"/>
          <w:szCs w:val="21"/>
        </w:rPr>
        <w:t xml:space="preserve">Run a shadow pilot: score live claims for three months without acting on the scores, and have auditors independently review a sample. Measure precision against what the auditors actually decide, not against the rejection label. This is the only test that measures what matters.</w:t>
      </w:r>
    </w:p>
    <w:p>
      <w:pPr>
        <w:pStyle w:val="ListParagraph"/>
        <w:numPr>
          <w:ilvl w:val="0"/>
          <w:numId w:val="2"/>
        </w:numPr>
        <w:spacing w:after="70" w:line="276"/>
      </w:pPr>
      <w:r>
        <w:rPr>
          <w:rFonts w:ascii="Calibri" w:cs="Calibri" w:eastAsia="Calibri" w:hAnsi="Calibri"/>
          <w:sz w:val="21"/>
          <w:szCs w:val="21"/>
        </w:rPr>
        <w:t xml:space="preserve">Check for fairness. Complex referral hospitals naturally look unusual, and a model that penalises them for treating difficult patients is a political problem as much as a technical one. Compare flag rates across facility levels and regions.</w:t>
      </w:r>
    </w:p>
    <w:p>
      <w:pPr>
        <w:pStyle w:val="ListParagraph"/>
        <w:numPr>
          <w:ilvl w:val="0"/>
          <w:numId w:val="2"/>
        </w:numPr>
        <w:spacing w:after="70" w:line="276"/>
      </w:pPr>
      <w:r>
        <w:rPr>
          <w:rFonts w:ascii="Calibri" w:cs="Calibri" w:eastAsia="Calibri" w:hAnsi="Calibri"/>
          <w:sz w:val="21"/>
          <w:szCs w:val="21"/>
        </w:rPr>
        <w:t xml:space="preserve">Keep the rules engine running underneath. The model is advisory; every decision stays with a human auditor.</w:t>
      </w:r>
    </w:p>
    <w:p>
      <w:pPr>
        <w:pStyle w:val="Heading2"/>
        <w:spacing w:after="130" w:before="240"/>
      </w:pPr>
      <w:r>
        <w:rPr>
          <w:rFonts w:ascii="Calibri" w:cs="Calibri" w:eastAsia="Calibri" w:hAnsi="Calibri"/>
          <w:b/>
          <w:bCs/>
          <w:color w:val="1F3864"/>
          <w:sz w:val="24"/>
          <w:szCs w:val="24"/>
        </w:rPr>
        <w:t xml:space="preserve">The bigger opportunity</w:t>
      </w:r>
    </w:p>
    <w:p>
      <w:pPr>
        <w:spacing w:after="120" w:before="0" w:line="276"/>
      </w:pPr>
      <w:r>
        <w:rPr>
          <w:rFonts w:ascii="Calibri" w:cs="Calibri" w:eastAsia="Calibri" w:hAnsi="Calibri"/>
          <w:sz w:val="21"/>
          <w:szCs w:val="21"/>
        </w:rPr>
        <w:t xml:space="preserve">The most valuable target in this dataset is not rejection at all. The data quality report identified 653 million XAF in deductions across 1.2 million claims that were accepted but trimmed — bills a human reviewer looked at and decided were too high. That is much closer to what the project actually means by fraud, and it is currently unused.</w:t>
      </w:r>
    </w:p>
    <w:p>
      <w:pPr>
        <w:spacing w:after="120" w:before="0" w:line="276"/>
      </w:pPr>
      <w:r>
        <w:rPr>
          <w:rFonts w:ascii="Calibri" w:cs="Calibri" w:eastAsia="Calibri" w:hAnsi="Calibri"/>
          <w:sz w:val="21"/>
          <w:szCs w:val="21"/>
        </w:rPr>
        <w:t xml:space="preserve">Alongside that, healthcare fraud is generally organised at the level of the provider rather than the individual bill. Building facility-level monthly profiles and looking for unusual providers is cheaper than scoring 14 million claims and far more likely to produce findings an audit team can act on.</w:t>
      </w:r>
    </w:p>
    <w:p>
      <w:pPr>
        <w:spacing w:after="200"/>
      </w:pPr>
    </w:p>
    <w:p>
      <w:pPr>
        <w:spacing w:after="120" w:before="0" w:line="276"/>
      </w:pPr>
      <w:r>
        <w:rPr>
          <w:rFonts w:ascii="Calibri" w:cs="Calibri" w:eastAsia="Calibri" w:hAnsi="Calibri"/>
          <w:i/>
          <w:iCs/>
          <w:color w:val="666666"/>
          <w:sz w:val="18"/>
          <w:szCs w:val="18"/>
        </w:rPr>
        <w:t xml:space="preserve">Model artefacts, configuration and model card are saved in the project model directory. All figures in this report are reproducible from the executed notebook.</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2026-07-28T12:16:00.670Z</dcterms:created>
  <dcterms:modified xsi:type="dcterms:W3CDTF">2026-07-28T12:16:00.683Z</dcterms:modified>
</cp:coreProperties>
</file>

<file path=docProps/custom.xml><?xml version="1.0" encoding="utf-8"?>
<Properties xmlns="http://schemas.openxmlformats.org/officeDocument/2006/custom-properties" xmlns:vt="http://schemas.openxmlformats.org/officeDocument/2006/docPropsVTypes"/>
</file>