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7D581" w14:textId="77777777" w:rsidR="00BB15A5" w:rsidRDefault="001664E5">
      <w:pPr>
        <w:spacing w:after="40"/>
        <w:jc w:val="center"/>
      </w:pPr>
      <w:r>
        <w:rPr>
          <w:rFonts w:ascii="Calibri" w:hAnsi="Calibri"/>
          <w:b/>
          <w:color w:val="184C78"/>
          <w:sz w:val="52"/>
        </w:rPr>
        <w:t>HDBSCAN glosh</w:t>
      </w:r>
    </w:p>
    <w:p w14:paraId="2B1873CA" w14:textId="77777777" w:rsidR="00BB15A5" w:rsidRDefault="00BB15A5">
      <w:pPr>
        <w:spacing w:after="120"/>
      </w:pPr>
    </w:p>
    <w:p w14:paraId="641ED85C" w14:textId="515B83E0" w:rsidR="00BB15A5" w:rsidRDefault="001664E5">
      <w:pPr>
        <w:keepNext/>
        <w:spacing w:before="360" w:after="120"/>
      </w:pPr>
      <w:r>
        <w:rPr>
          <w:rFonts w:ascii="Calibri" w:hAnsi="Calibri"/>
          <w:b/>
          <w:color w:val="184C78"/>
          <w:sz w:val="32"/>
        </w:rPr>
        <w:t>1</w:t>
      </w:r>
      <w:r>
        <w:rPr>
          <w:rFonts w:ascii="Calibri" w:hAnsi="Calibri"/>
          <w:b/>
          <w:color w:val="184C78"/>
          <w:sz w:val="32"/>
        </w:rPr>
        <w:t>. What We Did</w:t>
      </w:r>
    </w:p>
    <w:p w14:paraId="0E5F224F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We designed, implemented, evaluated, and operationalized an unsupervised</w:t>
      </w:r>
      <w:r>
        <w:rPr>
          <w:rFonts w:ascii="Calibri" w:hAnsi="Calibri"/>
          <w:color w:val="282828"/>
          <w:sz w:val="20"/>
        </w:rPr>
        <w:t xml:space="preserve"> provider-level fraud detection framework. The workflow encompasses six sequential pipeline stages:</w:t>
      </w:r>
    </w:p>
    <w:p w14:paraId="72B3DEDA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1. Large-Scale Multi-Table Ingestion: Ingested 2,785,424 adjudicated claims from TblClaim.csv joined with 15,774,762 procedure line items from TblClaimServi</w:t>
      </w:r>
      <w:r>
        <w:rPr>
          <w:rFonts w:ascii="Calibri" w:hAnsi="Calibri"/>
          <w:color w:val="282828"/>
          <w:sz w:val="20"/>
        </w:rPr>
        <w:t>ces.csv.</w:t>
      </w:r>
    </w:p>
    <w:p w14:paraId="79794D33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2. Longitudinal Aggregation: Collated individual transactions into 11,160 unique provider-month profiles (grain: Hfid + ProfileMonth).</w:t>
      </w:r>
    </w:p>
    <w:p w14:paraId="3D938F0B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3. Multi-Dimensional Feature Engineering: Formulated 12 domain-tailored metrics capturing financial scale, patie</w:t>
      </w:r>
      <w:r>
        <w:rPr>
          <w:rFonts w:ascii="Calibri" w:hAnsi="Calibri"/>
          <w:color w:val="282828"/>
          <w:sz w:val="20"/>
        </w:rPr>
        <w:t>nt flow, temporal anomalies, and procedure compliance.</w:t>
      </w:r>
    </w:p>
    <w:p w14:paraId="60E37A07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4. Robust Feature Normalization: Applied RobustScaler to prevent tertiary high-volume hospitals from distorting Euclidean distance topologies.</w:t>
      </w:r>
    </w:p>
    <w:p w14:paraId="11CD4100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5. Hierarchical Density Clustering &amp; GLOSH Outlier Scoring</w:t>
      </w:r>
      <w:r>
        <w:rPr>
          <w:rFonts w:ascii="Calibri" w:hAnsi="Calibri"/>
          <w:color w:val="282828"/>
          <w:sz w:val="20"/>
        </w:rPr>
        <w:t>: Fitted HDBSCAN (min_cluster_size=30, min_samples=15) to detect non-spherical clusters and compute continuous GLOSH outlier scores.</w:t>
      </w:r>
    </w:p>
    <w:p w14:paraId="0A436A68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6. Surrogate Explainability Engine: Trained a LightGBM surrogate classifier on the top 5% GLOSH outliers with TreeSHAP to p</w:t>
      </w:r>
      <w:r>
        <w:rPr>
          <w:rFonts w:ascii="Calibri" w:hAnsi="Calibri"/>
          <w:color w:val="282828"/>
          <w:sz w:val="20"/>
        </w:rPr>
        <w:t>rovide human-interpretable root causes for medical auditors.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1872"/>
        <w:gridCol w:w="2304"/>
        <w:gridCol w:w="3168"/>
        <w:gridCol w:w="2736"/>
      </w:tblGrid>
      <w:tr w:rsidR="00BB15A5" w14:paraId="53E97B94" w14:textId="77777777">
        <w:trPr>
          <w:jc w:val="center"/>
        </w:trPr>
        <w:tc>
          <w:tcPr>
            <w:tcW w:w="1872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5BD3F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Pipeline Stage</w:t>
            </w:r>
          </w:p>
        </w:tc>
        <w:tc>
          <w:tcPr>
            <w:tcW w:w="2304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9ECD6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Input Data</w:t>
            </w:r>
          </w:p>
        </w:tc>
        <w:tc>
          <w:tcPr>
            <w:tcW w:w="3168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F8424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Transformation / Algorithm</w:t>
            </w:r>
          </w:p>
        </w:tc>
        <w:tc>
          <w:tcPr>
            <w:tcW w:w="2736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D2DF9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Output Artifact</w:t>
            </w:r>
          </w:p>
        </w:tc>
      </w:tr>
      <w:tr w:rsidR="00BB15A5" w14:paraId="717966FF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6B99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1. Data Ingestion</w:t>
            </w:r>
          </w:p>
        </w:tc>
        <w:tc>
          <w:tcPr>
            <w:tcW w:w="230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7B24C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TblClaim.csv, TblClaimServices.csv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3FE73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Chunked streaming (2M rows), Unicode cleaning, date parsing</w:t>
            </w:r>
          </w:p>
        </w:tc>
        <w:tc>
          <w:tcPr>
            <w:tcW w:w="27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56CBE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Unified Claim Dataframe (2.78M rows)</w:t>
            </w:r>
          </w:p>
        </w:tc>
      </w:tr>
      <w:tr w:rsidR="00BB15A5" w14:paraId="791B19C7" w14:textId="77777777">
        <w:trPr>
          <w:jc w:val="center"/>
        </w:trPr>
        <w:tc>
          <w:tcPr>
            <w:tcW w:w="187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714AC2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2. Temporal Aggregation</w:t>
            </w:r>
          </w:p>
        </w:tc>
        <w:tc>
          <w:tcPr>
            <w:tcW w:w="230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4DD3B5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Unified Claim Dataframe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BFC1C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Groupby (Hfid, Month), filter &lt;20 claims/month</w:t>
            </w:r>
          </w:p>
        </w:tc>
        <w:tc>
          <w:tcPr>
            <w:tcW w:w="273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A1F9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11,160 Hospital-Month Profiles</w:t>
            </w:r>
          </w:p>
        </w:tc>
      </w:tr>
      <w:tr w:rsidR="00BB15A5" w14:paraId="55A3CF03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B8E866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3. Feature Engineering</w:t>
            </w:r>
          </w:p>
        </w:tc>
        <w:tc>
          <w:tcPr>
            <w:tcW w:w="230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B84356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Aggregated Profiles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FBE926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 xml:space="preserve">12 financial, temporal, and clinical </w:t>
            </w:r>
            <w:r>
              <w:rPr>
                <w:rFonts w:ascii="Calibri" w:hAnsi="Calibri"/>
                <w:color w:val="282828"/>
                <w:sz w:val="18"/>
              </w:rPr>
              <w:t>procedure metrics</w:t>
            </w:r>
          </w:p>
        </w:tc>
        <w:tc>
          <w:tcPr>
            <w:tcW w:w="27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2C256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12-Dimensional Feature Matrix</w:t>
            </w:r>
          </w:p>
        </w:tc>
      </w:tr>
      <w:tr w:rsidR="00BB15A5" w14:paraId="143A4131" w14:textId="77777777">
        <w:trPr>
          <w:jc w:val="center"/>
        </w:trPr>
        <w:tc>
          <w:tcPr>
            <w:tcW w:w="187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4983D4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4. Feature Scaling</w:t>
            </w:r>
          </w:p>
        </w:tc>
        <w:tc>
          <w:tcPr>
            <w:tcW w:w="230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53186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12-D Feature Matrix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DC370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RobustScaler (median centering, IQR scaling)</w:t>
            </w:r>
          </w:p>
        </w:tc>
        <w:tc>
          <w:tcPr>
            <w:tcW w:w="273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38F5C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Scaled Feature Space X_scaled</w:t>
            </w:r>
          </w:p>
        </w:tc>
      </w:tr>
      <w:tr w:rsidR="00BB15A5" w14:paraId="1656A49C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E3C37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5. Density Clustering</w:t>
            </w:r>
          </w:p>
        </w:tc>
        <w:tc>
          <w:tcPr>
            <w:tcW w:w="230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EEE85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Scaled Feature Space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13DE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 xml:space="preserve">HDBSCAN </w:t>
            </w:r>
            <w:r>
              <w:rPr>
                <w:rFonts w:ascii="Calibri" w:hAnsi="Calibri"/>
                <w:color w:val="282828"/>
                <w:sz w:val="18"/>
              </w:rPr>
              <w:t>(min_cluster_size=30, min_samples=15)</w:t>
            </w:r>
          </w:p>
        </w:tc>
        <w:tc>
          <w:tcPr>
            <w:tcW w:w="273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D1B69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8 Clusters + GLOSH Scores [0, 1]</w:t>
            </w:r>
          </w:p>
        </w:tc>
      </w:tr>
      <w:tr w:rsidR="00BB15A5" w14:paraId="162997EC" w14:textId="77777777">
        <w:trPr>
          <w:jc w:val="center"/>
        </w:trPr>
        <w:tc>
          <w:tcPr>
            <w:tcW w:w="187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5C1C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6. Explainability</w:t>
            </w:r>
          </w:p>
        </w:tc>
        <w:tc>
          <w:tcPr>
            <w:tcW w:w="230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79F40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GLOSH Scores + X_scaled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45175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LightGBM Surrogate (Top 5%) + TreeSHAP</w:t>
            </w:r>
          </w:p>
        </w:tc>
        <w:tc>
          <w:tcPr>
            <w:tcW w:w="273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C59B0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Feature Attribution Explanations</w:t>
            </w:r>
          </w:p>
        </w:tc>
      </w:tr>
    </w:tbl>
    <w:p w14:paraId="54B5EA43" w14:textId="77777777" w:rsidR="00BB15A5" w:rsidRDefault="00BB15A5">
      <w:pPr>
        <w:spacing w:after="160"/>
      </w:pPr>
    </w:p>
    <w:p w14:paraId="61E8E8A6" w14:textId="0D9E1B8F" w:rsidR="00BB15A5" w:rsidRDefault="001664E5">
      <w:pPr>
        <w:keepNext/>
        <w:spacing w:before="360" w:after="120"/>
      </w:pPr>
      <w:r>
        <w:rPr>
          <w:rFonts w:ascii="Calibri" w:hAnsi="Calibri"/>
          <w:b/>
          <w:color w:val="184C78"/>
          <w:sz w:val="32"/>
        </w:rPr>
        <w:lastRenderedPageBreak/>
        <w:t>2</w:t>
      </w:r>
      <w:r>
        <w:rPr>
          <w:rFonts w:ascii="Calibri" w:hAnsi="Calibri"/>
          <w:b/>
          <w:color w:val="184C78"/>
          <w:sz w:val="32"/>
        </w:rPr>
        <w:t>. Why We Did It (Theoretical &amp; Operational Rationale)</w:t>
      </w:r>
    </w:p>
    <w:p w14:paraId="3F32201E" w14:textId="191664C7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2</w:t>
      </w:r>
      <w:r>
        <w:rPr>
          <w:rFonts w:ascii="Calibri" w:hAnsi="Calibri"/>
          <w:b/>
          <w:color w:val="2980B9"/>
          <w:sz w:val="25"/>
        </w:rPr>
        <w:t xml:space="preserve">.1 The </w:t>
      </w:r>
      <w:r>
        <w:rPr>
          <w:rFonts w:ascii="Calibri" w:hAnsi="Calibri"/>
          <w:b/>
          <w:color w:val="2980B9"/>
          <w:sz w:val="25"/>
        </w:rPr>
        <w:t>Limitations of Single-Claim Fraud Models</w:t>
      </w:r>
    </w:p>
    <w:p w14:paraId="0106E363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Individual transaction-level fraud models (e.g., supervised claim rejection classifiers or single-claim autoencoders) assess whether an individual claim appears typical. However, corrupt facilities easily defeat tra</w:t>
      </w:r>
      <w:r>
        <w:rPr>
          <w:rFonts w:ascii="Calibri" w:hAnsi="Calibri"/>
          <w:color w:val="282828"/>
          <w:sz w:val="20"/>
        </w:rPr>
        <w:t>nsaction models by billing hundreds of low-value, plausible-looking claims ('smurfing' or claim splitting) that individually fall below fraud thresholds. Only by viewing the facility's monthly billing distribution does the systemic pattern emerge: an unnat</w:t>
      </w:r>
      <w:r>
        <w:rPr>
          <w:rFonts w:ascii="Calibri" w:hAnsi="Calibri"/>
          <w:color w:val="282828"/>
          <w:sz w:val="20"/>
        </w:rPr>
        <w:t>ural surge in claims, 100% rejection concentrations, or high proportions of claims billed with zero itemized procedures.</w:t>
      </w:r>
    </w:p>
    <w:p w14:paraId="004E0132" w14:textId="235DE2BA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2</w:t>
      </w:r>
      <w:r>
        <w:rPr>
          <w:rFonts w:ascii="Calibri" w:hAnsi="Calibri"/>
          <w:b/>
          <w:color w:val="2980B9"/>
          <w:sz w:val="25"/>
        </w:rPr>
        <w:t>.2 Why Traditional Clustering (K-Means) Fails in Healthcare</w:t>
      </w:r>
    </w:p>
    <w:p w14:paraId="4B907F6E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Standard clustering methods like K-Means assume that clusters are spherica</w:t>
      </w:r>
      <w:r>
        <w:rPr>
          <w:rFonts w:ascii="Calibri" w:hAnsi="Calibri"/>
          <w:color w:val="282828"/>
          <w:sz w:val="20"/>
        </w:rPr>
        <w:t>l, equally sized, and of uniform density. In healthcare administration, this assumption is completely violated: a rural dispensary submits 30 claims a month with modest costs, while a regional teaching hospital submits 5,000 claims with complex intensive c</w:t>
      </w:r>
      <w:r>
        <w:rPr>
          <w:rFonts w:ascii="Calibri" w:hAnsi="Calibri"/>
          <w:color w:val="282828"/>
          <w:sz w:val="20"/>
        </w:rPr>
        <w:t>are procedures. K-Means forces arbitrary boundaries and labels low-volume rural clinics as outliers simply because their scale differs from urban centers.</w:t>
      </w:r>
    </w:p>
    <w:p w14:paraId="01758102" w14:textId="3416F589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2</w:t>
      </w:r>
      <w:r>
        <w:rPr>
          <w:rFonts w:ascii="Calibri" w:hAnsi="Calibri"/>
          <w:b/>
          <w:color w:val="2980B9"/>
          <w:sz w:val="25"/>
        </w:rPr>
        <w:t>.3 Why HDBSCAN + GLOSH is the Optimal Methodology</w:t>
      </w:r>
    </w:p>
    <w:p w14:paraId="13E2CFDE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HDBSCAN resolves these limitations through three m</w:t>
      </w:r>
      <w:r>
        <w:rPr>
          <w:rFonts w:ascii="Calibri" w:hAnsi="Calibri"/>
          <w:color w:val="282828"/>
          <w:sz w:val="20"/>
        </w:rPr>
        <w:t>athematical properties:</w:t>
      </w:r>
    </w:p>
    <w:p w14:paraId="7F4D3C95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• Non-Parametric Density Hierarchies: HDBSCAN converts distance space into a mutual reachability distance graph, identifying clusters of varying densities and arbitrary topological shapes.</w:t>
      </w:r>
    </w:p>
    <w:p w14:paraId="511A09AA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• Global Noise Separation (-1): Rather than</w:t>
      </w:r>
      <w:r>
        <w:rPr>
          <w:rFonts w:ascii="Calibri" w:hAnsi="Calibri"/>
          <w:color w:val="282828"/>
          <w:sz w:val="20"/>
        </w:rPr>
        <w:t xml:space="preserve"> forcing every facility into an artificial cluster, HDBSCAN assigns anomalous profiles to an explicit noise cluster (-1).</w:t>
      </w:r>
    </w:p>
    <w:p w14:paraId="6EF1A5C8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• GLOSH (Global-Local Outlier Score from Hierarchies): Traditional outlier detectors (e.g., k-NN distance or Isolation Forest) measure</w:t>
      </w:r>
      <w:r>
        <w:rPr>
          <w:rFonts w:ascii="Calibri" w:hAnsi="Calibri"/>
          <w:color w:val="282828"/>
          <w:sz w:val="20"/>
        </w:rPr>
        <w:t xml:space="preserve"> global distance to the dataset centroid. GLOSH compares a point's density to the specific cluster hierarchy from which it separated. This allows the system to detect local anomalies—such as a small health post behaving abnormally relative to other small h</w:t>
      </w:r>
      <w:r>
        <w:rPr>
          <w:rFonts w:ascii="Calibri" w:hAnsi="Calibri"/>
          <w:color w:val="282828"/>
          <w:sz w:val="20"/>
        </w:rPr>
        <w:t>ealth posts, even if its total billing volume is modest.</w:t>
      </w:r>
    </w:p>
    <w:p w14:paraId="4771E07E" w14:textId="0F86215B" w:rsidR="00BB15A5" w:rsidRDefault="001664E5">
      <w:pPr>
        <w:keepNext/>
        <w:spacing w:before="360" w:after="120"/>
      </w:pPr>
      <w:r>
        <w:rPr>
          <w:rFonts w:ascii="Calibri" w:hAnsi="Calibri"/>
          <w:b/>
          <w:color w:val="184C78"/>
          <w:sz w:val="32"/>
        </w:rPr>
        <w:t>3</w:t>
      </w:r>
      <w:r>
        <w:rPr>
          <w:rFonts w:ascii="Calibri" w:hAnsi="Calibri"/>
          <w:b/>
          <w:color w:val="184C78"/>
          <w:sz w:val="32"/>
        </w:rPr>
        <w:t>. How We Did It (Implementation Details)</w:t>
      </w:r>
    </w:p>
    <w:p w14:paraId="76BE1EE8" w14:textId="315489C1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3</w:t>
      </w:r>
      <w:r>
        <w:rPr>
          <w:rFonts w:ascii="Calibri" w:hAnsi="Calibri"/>
          <w:b/>
          <w:color w:val="2980B9"/>
          <w:sz w:val="25"/>
        </w:rPr>
        <w:t>.1 Robust Data Cleaning &amp; Parsing</w:t>
      </w:r>
    </w:p>
    <w:p w14:paraId="76B4A203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 xml:space="preserve">Financial numbers in openIMIS contain irregular non-breaking spaces (Unicode \u00A0, \u202F, \u2009). Dates follow varied </w:t>
      </w:r>
      <w:r>
        <w:rPr>
          <w:rFonts w:ascii="Calibri" w:hAnsi="Calibri"/>
          <w:color w:val="282828"/>
          <w:sz w:val="20"/>
        </w:rPr>
        <w:t>historical formats ('%d %b, %Y, %H:%M', '%Y-%m-%d %H:%M:%S', '%d/%m/%Y'). We implemented a bulletproof parser that strips non-standard Unicode spaces, parses monetary values without decimal loss, and cascades across 9 datetime formats with day-first resolu</w:t>
      </w:r>
      <w:r>
        <w:rPr>
          <w:rFonts w:ascii="Calibri" w:hAnsi="Calibri"/>
          <w:color w:val="282828"/>
          <w:sz w:val="20"/>
        </w:rPr>
        <w:t>tion.</w:t>
      </w:r>
    </w:p>
    <w:p w14:paraId="0AB8577C" w14:textId="068856AE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3</w:t>
      </w:r>
      <w:r>
        <w:rPr>
          <w:rFonts w:ascii="Calibri" w:hAnsi="Calibri"/>
          <w:b/>
          <w:color w:val="2980B9"/>
          <w:sz w:val="25"/>
        </w:rPr>
        <w:t>.2 Profile Filtering Grain &amp; Statistical Significance</w:t>
      </w:r>
    </w:p>
    <w:p w14:paraId="5D00F667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 xml:space="preserve">Claims were grouped by Health Facility ID (Hfid) and Calendar Month (ProfileMonth = DateClaimed.dt.to_period('M')). To prevent severe small-sample variance—where a facility with 1 claim that is </w:t>
      </w:r>
      <w:r>
        <w:rPr>
          <w:rFonts w:ascii="Calibri" w:hAnsi="Calibri"/>
          <w:color w:val="282828"/>
          <w:sz w:val="20"/>
        </w:rPr>
        <w:t>rejected exhibits a misleading 100% rejection rate—we enforced a strict volume filter of MIN_CLAIMS_FOR_PROFILE = 20 claims/month. This distilled the 2.78M claims into 11,160 statistically robust hospital-month profiles.</w:t>
      </w:r>
    </w:p>
    <w:p w14:paraId="08F9BCC4" w14:textId="2D8F1593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3</w:t>
      </w:r>
      <w:r>
        <w:rPr>
          <w:rFonts w:ascii="Calibri" w:hAnsi="Calibri"/>
          <w:b/>
          <w:color w:val="2980B9"/>
          <w:sz w:val="25"/>
        </w:rPr>
        <w:t>.3 The 12 Engineered Feature Defin</w:t>
      </w:r>
      <w:r>
        <w:rPr>
          <w:rFonts w:ascii="Calibri" w:hAnsi="Calibri"/>
          <w:b/>
          <w:color w:val="2980B9"/>
          <w:sz w:val="25"/>
        </w:rPr>
        <w:t>itions</w:t>
      </w:r>
    </w:p>
    <w:p w14:paraId="6FCB5B87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We engineered 12 targeted features reflecting the primary mechanisms of provider-level fraud, waste, and abuse: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2592"/>
        <w:gridCol w:w="3168"/>
        <w:gridCol w:w="4320"/>
      </w:tblGrid>
      <w:tr w:rsidR="00BB15A5" w14:paraId="1ED14742" w14:textId="77777777">
        <w:trPr>
          <w:jc w:val="center"/>
        </w:trPr>
        <w:tc>
          <w:tcPr>
            <w:tcW w:w="2592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35050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lastRenderedPageBreak/>
              <w:t>Feature Name</w:t>
            </w:r>
          </w:p>
        </w:tc>
        <w:tc>
          <w:tcPr>
            <w:tcW w:w="3168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CFA16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Formula / Derivation</w:t>
            </w:r>
          </w:p>
        </w:tc>
        <w:tc>
          <w:tcPr>
            <w:tcW w:w="4320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2DC7C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Behavioral Indicator / Fraud Mechanism</w:t>
            </w:r>
          </w:p>
        </w:tc>
      </w:tr>
      <w:tr w:rsidR="00BB15A5" w14:paraId="52146C7F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A76A05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TotalClaims_log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9B20B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ln(1 + count(ClaimID))</w:t>
            </w:r>
          </w:p>
        </w:tc>
        <w:tc>
          <w:tcPr>
            <w:tcW w:w="43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4444E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 xml:space="preserve">Detects abnormal </w:t>
            </w:r>
            <w:r>
              <w:rPr>
                <w:rFonts w:ascii="Calibri" w:hAnsi="Calibri"/>
                <w:color w:val="282828"/>
                <w:sz w:val="18"/>
              </w:rPr>
              <w:t>volume spikes, automated claim dumping.</w:t>
            </w:r>
          </w:p>
        </w:tc>
      </w:tr>
      <w:tr w:rsidR="00BB15A5" w14:paraId="2880D4C4" w14:textId="77777777">
        <w:trPr>
          <w:jc w:val="center"/>
        </w:trPr>
        <w:tc>
          <w:tcPr>
            <w:tcW w:w="259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93136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TotalClaimed_log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C83B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ln(1 + sum(ClaimedAmount))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655A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Identifies extreme financial exposure and phantom billing bursts.</w:t>
            </w:r>
          </w:p>
        </w:tc>
      </w:tr>
      <w:tr w:rsidR="00BB15A5" w14:paraId="480B8D67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6F28A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RejectionRate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77C3D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mean(IsRejected)</w:t>
            </w:r>
          </w:p>
        </w:tc>
        <w:tc>
          <w:tcPr>
            <w:tcW w:w="43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1176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 xml:space="preserve">Concentration of denied claims reflecting non-compliance or </w:t>
            </w:r>
            <w:r>
              <w:rPr>
                <w:rFonts w:ascii="Calibri" w:hAnsi="Calibri"/>
                <w:color w:val="282828"/>
                <w:sz w:val="18"/>
              </w:rPr>
              <w:t>fraudulent submissions.</w:t>
            </w:r>
          </w:p>
        </w:tc>
      </w:tr>
      <w:tr w:rsidR="00BB15A5" w14:paraId="148B5F1D" w14:textId="77777777">
        <w:trPr>
          <w:jc w:val="center"/>
        </w:trPr>
        <w:tc>
          <w:tcPr>
            <w:tcW w:w="259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C911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MeanClaimAmount_log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97160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ln(1 + mean(ClaimedAmount))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35730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Captures systematic upcoding and inflated billing per patient.</w:t>
            </w:r>
          </w:p>
        </w:tc>
      </w:tr>
      <w:tr w:rsidR="00BB15A5" w14:paraId="28D9D0F7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CA78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MaxClaimAmount_log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432D7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ln(1 + max(ClaimedAmount))</w:t>
            </w:r>
          </w:p>
        </w:tc>
        <w:tc>
          <w:tcPr>
            <w:tcW w:w="43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344F7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 xml:space="preserve">Identifies rogue extreme billing outliers within the facility's </w:t>
            </w:r>
            <w:r>
              <w:rPr>
                <w:rFonts w:ascii="Calibri" w:hAnsi="Calibri"/>
                <w:color w:val="282828"/>
                <w:sz w:val="18"/>
              </w:rPr>
              <w:t>monthly ledger.</w:t>
            </w:r>
          </w:p>
        </w:tc>
      </w:tr>
      <w:tr w:rsidR="00BB15A5" w14:paraId="3D5FB782" w14:textId="77777777">
        <w:trPr>
          <w:jc w:val="center"/>
        </w:trPr>
        <w:tc>
          <w:tcPr>
            <w:tcW w:w="259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25EC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MeanLOS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C052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mean(DateTo - DateFrom)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0FE20C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Detects phantom hospitalization stays or manipulated patient discharge dates.</w:t>
            </w:r>
          </w:p>
        </w:tc>
      </w:tr>
      <w:tr w:rsidR="00BB15A5" w14:paraId="28D32688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0FC534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MeanDelay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D209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mean(DateClaimed - DateTo)</w:t>
            </w:r>
          </w:p>
        </w:tc>
        <w:tc>
          <w:tcPr>
            <w:tcW w:w="43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A87D14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Submission lag; sudden surges in delayed claims indicate backlogged batch billing.</w:t>
            </w:r>
          </w:p>
        </w:tc>
      </w:tr>
      <w:tr w:rsidR="00BB15A5" w14:paraId="46108BF3" w14:textId="77777777">
        <w:trPr>
          <w:jc w:val="center"/>
        </w:trPr>
        <w:tc>
          <w:tcPr>
            <w:tcW w:w="259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7A0712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MeanServices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6E2B4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mean(SVC_Count)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80538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Procedure intensity per claim; detects unbundling or procedure inflation.</w:t>
            </w:r>
          </w:p>
        </w:tc>
      </w:tr>
      <w:tr w:rsidR="00BB15A5" w14:paraId="1586C9CF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D5CE6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PctNegLOS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D340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mean(DateTo &lt; DateFrom)</w:t>
            </w:r>
          </w:p>
        </w:tc>
        <w:tc>
          <w:tcPr>
            <w:tcW w:w="43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25AE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Data integrity violation; invalid discharge before admission.</w:t>
            </w:r>
          </w:p>
        </w:tc>
      </w:tr>
      <w:tr w:rsidR="00BB15A5" w14:paraId="44F15020" w14:textId="77777777">
        <w:trPr>
          <w:jc w:val="center"/>
        </w:trPr>
        <w:tc>
          <w:tcPr>
            <w:tcW w:w="259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8B4E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PctBackdated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4116A6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mean(DateClaimed &lt; DateTo)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ECD9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Temporal impossibility; claims billed prior to discharge.</w:t>
            </w:r>
          </w:p>
        </w:tc>
      </w:tr>
      <w:tr w:rsidR="00BB15A5" w14:paraId="3CA21A3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9BBFA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PctNoServices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14565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mean(SVC_Count == 0)</w:t>
            </w:r>
          </w:p>
        </w:tc>
        <w:tc>
          <w:tcPr>
            <w:tcW w:w="432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402396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Ghost billing; claims submitted without any itemized clinical procedures.</w:t>
            </w:r>
          </w:p>
        </w:tc>
      </w:tr>
      <w:tr w:rsidR="00BB15A5" w14:paraId="07562C87" w14:textId="77777777">
        <w:trPr>
          <w:jc w:val="center"/>
        </w:trPr>
        <w:tc>
          <w:tcPr>
            <w:tcW w:w="259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D593D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PctIPD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9483D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mean(CareType == 'IPD')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93349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 xml:space="preserve">Ratio of inpatient care; detects systematic </w:t>
            </w:r>
            <w:r>
              <w:rPr>
                <w:rFonts w:ascii="Calibri" w:hAnsi="Calibri"/>
                <w:color w:val="282828"/>
                <w:sz w:val="18"/>
              </w:rPr>
              <w:t>misclassification of outpatient visits.</w:t>
            </w:r>
          </w:p>
        </w:tc>
      </w:tr>
    </w:tbl>
    <w:p w14:paraId="0FF6E115" w14:textId="77777777" w:rsidR="00BB15A5" w:rsidRDefault="00BB15A5">
      <w:pPr>
        <w:spacing w:after="160"/>
      </w:pPr>
    </w:p>
    <w:p w14:paraId="0D259DCA" w14:textId="3517AC2F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3</w:t>
      </w:r>
      <w:r>
        <w:rPr>
          <w:rFonts w:ascii="Calibri" w:hAnsi="Calibri"/>
          <w:b/>
          <w:color w:val="2980B9"/>
          <w:sz w:val="25"/>
        </w:rPr>
        <w:t>.4 Feature Scaling &amp; HDBSCAN Hyperparameters</w:t>
      </w:r>
    </w:p>
    <w:p w14:paraId="7722FE39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 xml:space="preserve">Because hospital metrics exhibit severe right-skewed power-law distributions, monetary and volume metrics were log-transformed (ln(1 + x)). The feature matrix was then </w:t>
      </w:r>
      <w:r>
        <w:rPr>
          <w:rFonts w:ascii="Calibri" w:hAnsi="Calibri"/>
          <w:color w:val="282828"/>
          <w:sz w:val="20"/>
        </w:rPr>
        <w:t>normalized using RobustScaler (subtracting the median and dividing by the Interquartile Range, IQR), ensuring outliers did not collapse the mutual reachability distance space. HDBSCAN was initialized with min_cluster_size = 30 (minimum facility-months to c</w:t>
      </w:r>
      <w:r>
        <w:rPr>
          <w:rFonts w:ascii="Calibri" w:hAnsi="Calibri"/>
          <w:color w:val="282828"/>
          <w:sz w:val="20"/>
        </w:rPr>
        <w:t>onstitute a stable administrative operating archetype) and min_samples = 15 (governing clustering conservatism and noise penalty).</w:t>
      </w:r>
    </w:p>
    <w:p w14:paraId="147FBCDE" w14:textId="5E83F457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lastRenderedPageBreak/>
        <w:t>3</w:t>
      </w:r>
      <w:r>
        <w:rPr>
          <w:rFonts w:ascii="Calibri" w:hAnsi="Calibri"/>
          <w:b/>
          <w:color w:val="2980B9"/>
          <w:sz w:val="25"/>
        </w:rPr>
        <w:t>.5 Surrogate LightGBM + TreeSHAP Explainability Engine</w:t>
      </w:r>
    </w:p>
    <w:p w14:paraId="037D5EF4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 xml:space="preserve">HDBSCAN and GLOSH operate non-parametrically across high-dimensional </w:t>
      </w:r>
      <w:r>
        <w:rPr>
          <w:rFonts w:ascii="Calibri" w:hAnsi="Calibri"/>
          <w:color w:val="282828"/>
          <w:sz w:val="20"/>
        </w:rPr>
        <w:t>space, meaning they output an anomaly score without explicit feature coefficients. To provide actionable guidance for medical auditors, we trained a surrogate LightGBM gradient boosted decision tree to predict whether a facility-month belongs to the top 5%</w:t>
      </w:r>
      <w:r>
        <w:rPr>
          <w:rFonts w:ascii="Calibri" w:hAnsi="Calibri"/>
          <w:color w:val="282828"/>
          <w:sz w:val="20"/>
        </w:rPr>
        <w:t xml:space="preserve"> of GLOSH anomalies (GLOSH &gt;= 95th percentile). We then applied TreeSHAP (Tree Shapley Additive Explanations) to calculate exact local feature attributions for every flagged facility.</w:t>
      </w:r>
    </w:p>
    <w:p w14:paraId="7BB062FF" w14:textId="7954A24E" w:rsidR="00BB15A5" w:rsidRDefault="001664E5">
      <w:pPr>
        <w:keepNext/>
        <w:spacing w:before="360" w:after="120"/>
      </w:pPr>
      <w:r>
        <w:rPr>
          <w:rFonts w:ascii="Calibri" w:hAnsi="Calibri"/>
          <w:b/>
          <w:color w:val="184C78"/>
          <w:sz w:val="32"/>
        </w:rPr>
        <w:t>4</w:t>
      </w:r>
      <w:r>
        <w:rPr>
          <w:rFonts w:ascii="Calibri" w:hAnsi="Calibri"/>
          <w:b/>
          <w:color w:val="184C78"/>
          <w:sz w:val="32"/>
        </w:rPr>
        <w:t>. What We Got (Empirical Findings &amp; Results)</w:t>
      </w:r>
    </w:p>
    <w:p w14:paraId="38D2BEDB" w14:textId="399A29A4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4</w:t>
      </w:r>
      <w:r>
        <w:rPr>
          <w:rFonts w:ascii="Calibri" w:hAnsi="Calibri"/>
          <w:b/>
          <w:color w:val="2980B9"/>
          <w:sz w:val="25"/>
        </w:rPr>
        <w:t>.1 Clustering &amp; Noise Ove</w:t>
      </w:r>
      <w:r>
        <w:rPr>
          <w:rFonts w:ascii="Calibri" w:hAnsi="Calibri"/>
          <w:b/>
          <w:color w:val="2980B9"/>
          <w:sz w:val="25"/>
        </w:rPr>
        <w:t>rview</w:t>
      </w:r>
    </w:p>
    <w:p w14:paraId="07F0B8E5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The model evaluated 11,160 hospital-month profiles across Cameroon openIMIS. The clustering process produced the following global statistics:</w:t>
      </w:r>
    </w:p>
    <w:p w14:paraId="38F1DACB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 xml:space="preserve">• Discovered Normative Clusters: 8 distinct clusters representing standard operational profiles (e.g., </w:t>
      </w:r>
      <w:r>
        <w:rPr>
          <w:rFonts w:ascii="Calibri" w:hAnsi="Calibri"/>
          <w:color w:val="282828"/>
          <w:sz w:val="20"/>
        </w:rPr>
        <w:t>small rural dispensaries, urban outpatient clinics, routine maternal health centers, general regional hospitals).</w:t>
      </w:r>
    </w:p>
    <w:p w14:paraId="31638107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 xml:space="preserve">• Global Noise Classifications (-1): 5,629 profiles (50.4% of total facility-months) were classified as noise (-1), demonstrating significant </w:t>
      </w:r>
      <w:r>
        <w:rPr>
          <w:rFonts w:ascii="Calibri" w:hAnsi="Calibri"/>
          <w:color w:val="282828"/>
          <w:sz w:val="20"/>
        </w:rPr>
        <w:t>behavioral variance and non-standard billing across Cameroonian providers.</w:t>
      </w:r>
    </w:p>
    <w:p w14:paraId="5159B6DE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 xml:space="preserve">• GLOSH Outlier Score Distribution: Every profile received a continuous outlier score ranging from 0.000 to 0.999995. The top 5% of profiles (558 facility-months) exhibited extreme </w:t>
      </w:r>
      <w:r>
        <w:rPr>
          <w:rFonts w:ascii="Calibri" w:hAnsi="Calibri"/>
          <w:color w:val="282828"/>
          <w:sz w:val="20"/>
        </w:rPr>
        <w:t>divergence from standard clinical benchmarks.</w:t>
      </w:r>
    </w:p>
    <w:p w14:paraId="79C94DDE" w14:textId="24FC5E06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4</w:t>
      </w:r>
      <w:r>
        <w:rPr>
          <w:rFonts w:ascii="Calibri" w:hAnsi="Calibri"/>
          <w:b/>
          <w:color w:val="2980B9"/>
          <w:sz w:val="25"/>
        </w:rPr>
        <w:t>.2 Top 15 Highest-Risk Anomaly Targets</w:t>
      </w:r>
    </w:p>
    <w:p w14:paraId="3ABD3B14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Below is the empirical ranking of the top 15 highest-risk facility-month profiles identified by GLOSH, ordered by anomaly severity: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819"/>
        <w:gridCol w:w="1088"/>
        <w:gridCol w:w="847"/>
        <w:gridCol w:w="1355"/>
        <w:gridCol w:w="1207"/>
        <w:gridCol w:w="1727"/>
        <w:gridCol w:w="1364"/>
        <w:gridCol w:w="1873"/>
      </w:tblGrid>
      <w:tr w:rsidR="00BB15A5" w14:paraId="51123620" w14:textId="77777777">
        <w:trPr>
          <w:jc w:val="center"/>
        </w:trPr>
        <w:tc>
          <w:tcPr>
            <w:tcW w:w="864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04ACE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Hfid</w:t>
            </w:r>
          </w:p>
        </w:tc>
        <w:tc>
          <w:tcPr>
            <w:tcW w:w="1152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280D4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Month</w:t>
            </w:r>
          </w:p>
        </w:tc>
        <w:tc>
          <w:tcPr>
            <w:tcW w:w="864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FD22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Cluster</w:t>
            </w:r>
          </w:p>
        </w:tc>
        <w:tc>
          <w:tcPr>
            <w:tcW w:w="1440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0036D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GLOSH Score</w:t>
            </w:r>
          </w:p>
        </w:tc>
        <w:tc>
          <w:tcPr>
            <w:tcW w:w="1296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05307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Total Claims</w:t>
            </w:r>
          </w:p>
        </w:tc>
        <w:tc>
          <w:tcPr>
            <w:tcW w:w="1872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DF2A2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Total Claimed (XAF)</w:t>
            </w:r>
          </w:p>
        </w:tc>
        <w:tc>
          <w:tcPr>
            <w:tcW w:w="1440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20872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Rejection Rate</w:t>
            </w:r>
          </w:p>
        </w:tc>
        <w:tc>
          <w:tcPr>
            <w:tcW w:w="2016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ABDDB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Risk Category</w:t>
            </w:r>
          </w:p>
        </w:tc>
      </w:tr>
      <w:tr w:rsidR="00BB15A5" w14:paraId="7E640CB6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352F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359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831A22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2025-05</w:t>
            </w:r>
          </w:p>
        </w:tc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E77F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D5B6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0.999995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C8775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108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9797F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208,290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E3B5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19.4%</w:t>
            </w:r>
          </w:p>
        </w:tc>
        <w:tc>
          <w:tcPr>
            <w:tcW w:w="201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26890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Extreme Topology Outlier</w:t>
            </w:r>
          </w:p>
        </w:tc>
      </w:tr>
      <w:tr w:rsidR="00BB15A5" w14:paraId="0A9F6E03" w14:textId="77777777">
        <w:trPr>
          <w:jc w:val="center"/>
        </w:trPr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8984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352</w:t>
            </w:r>
          </w:p>
        </w:tc>
        <w:tc>
          <w:tcPr>
            <w:tcW w:w="115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06C6D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2026-01</w:t>
            </w:r>
          </w:p>
        </w:tc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7FBC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52E5EC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0.999710</w:t>
            </w:r>
          </w:p>
        </w:tc>
        <w:tc>
          <w:tcPr>
            <w:tcW w:w="129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B6666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2,142</w:t>
            </w:r>
          </w:p>
        </w:tc>
        <w:tc>
          <w:tcPr>
            <w:tcW w:w="187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A444D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4,727,100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1307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18.1%</w:t>
            </w:r>
          </w:p>
        </w:tc>
        <w:tc>
          <w:tcPr>
            <w:tcW w:w="201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DD089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High-Volume Billing Surge</w:t>
            </w:r>
          </w:p>
        </w:tc>
      </w:tr>
      <w:tr w:rsidR="00BB15A5" w14:paraId="4EA4BF92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C24C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3890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2CEA20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2026-01</w:t>
            </w:r>
          </w:p>
        </w:tc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E87B2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4888B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0.999646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B28E2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113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4DF1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758,200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FB194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86.7%</w:t>
            </w:r>
          </w:p>
        </w:tc>
        <w:tc>
          <w:tcPr>
            <w:tcW w:w="201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7C390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Severe Systematic Rejection</w:t>
            </w:r>
          </w:p>
        </w:tc>
      </w:tr>
      <w:tr w:rsidR="00BB15A5" w14:paraId="740B736E" w14:textId="77777777">
        <w:trPr>
          <w:jc w:val="center"/>
        </w:trPr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5631D0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703</w:t>
            </w:r>
          </w:p>
        </w:tc>
        <w:tc>
          <w:tcPr>
            <w:tcW w:w="115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C1B00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2025-06</w:t>
            </w:r>
          </w:p>
        </w:tc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8A267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F1EEEE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0.999047</w:t>
            </w:r>
          </w:p>
        </w:tc>
        <w:tc>
          <w:tcPr>
            <w:tcW w:w="129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68198C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w="187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8D7B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77,500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868BC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86.4%</w:t>
            </w:r>
          </w:p>
        </w:tc>
        <w:tc>
          <w:tcPr>
            <w:tcW w:w="201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6EBA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Micro-Volume High Rejection</w:t>
            </w:r>
          </w:p>
        </w:tc>
      </w:tr>
      <w:tr w:rsidR="00BB15A5" w14:paraId="2B8F59A3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83646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3890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70A40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2025-10</w:t>
            </w:r>
          </w:p>
        </w:tc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1059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00C24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0.998991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2B109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345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292E8C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2,334,000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BB70E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88.1%</w:t>
            </w:r>
          </w:p>
        </w:tc>
        <w:tc>
          <w:tcPr>
            <w:tcW w:w="201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A7A36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Sustained Fraud Pattern</w:t>
            </w:r>
          </w:p>
        </w:tc>
      </w:tr>
      <w:tr w:rsidR="00BB15A5" w14:paraId="6B6F2999" w14:textId="77777777">
        <w:trPr>
          <w:jc w:val="center"/>
        </w:trPr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6E8AF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1068</w:t>
            </w:r>
          </w:p>
        </w:tc>
        <w:tc>
          <w:tcPr>
            <w:tcW w:w="115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D6343E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2026-02</w:t>
            </w:r>
          </w:p>
        </w:tc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9F1AC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D3C9B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0.998967</w:t>
            </w:r>
          </w:p>
        </w:tc>
        <w:tc>
          <w:tcPr>
            <w:tcW w:w="129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E67F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104</w:t>
            </w:r>
          </w:p>
        </w:tc>
        <w:tc>
          <w:tcPr>
            <w:tcW w:w="187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66910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444,900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C93C7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46.2%</w:t>
            </w:r>
          </w:p>
        </w:tc>
        <w:tc>
          <w:tcPr>
            <w:tcW w:w="201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271A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Elevated Rejection / Pricing</w:t>
            </w:r>
          </w:p>
        </w:tc>
      </w:tr>
      <w:tr w:rsidR="00BB15A5" w14:paraId="1EFA126F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9BBE2E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lastRenderedPageBreak/>
              <w:t>382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DBBE4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2024-12</w:t>
            </w:r>
          </w:p>
        </w:tc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1EB1C2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9639C4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0.998840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32E95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113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2DD5D0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746,100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70836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3.5%</w:t>
            </w:r>
          </w:p>
        </w:tc>
        <w:tc>
          <w:tcPr>
            <w:tcW w:w="201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DBD0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Atypical Procedure Mixture</w:t>
            </w:r>
          </w:p>
        </w:tc>
      </w:tr>
      <w:tr w:rsidR="00BB15A5" w14:paraId="72A9E332" w14:textId="77777777">
        <w:trPr>
          <w:jc w:val="center"/>
        </w:trPr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1F214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583</w:t>
            </w:r>
          </w:p>
        </w:tc>
        <w:tc>
          <w:tcPr>
            <w:tcW w:w="115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D0ED9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2025-10</w:t>
            </w:r>
          </w:p>
        </w:tc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378B4E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7F3D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0.998669</w:t>
            </w:r>
          </w:p>
        </w:tc>
        <w:tc>
          <w:tcPr>
            <w:tcW w:w="129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8199E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35</w:t>
            </w:r>
          </w:p>
        </w:tc>
        <w:tc>
          <w:tcPr>
            <w:tcW w:w="187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F9175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56,100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0247B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34.3%</w:t>
            </w:r>
          </w:p>
        </w:tc>
        <w:tc>
          <w:tcPr>
            <w:tcW w:w="201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85235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Timing &amp; Delay Discrepancy</w:t>
            </w:r>
          </w:p>
        </w:tc>
      </w:tr>
      <w:tr w:rsidR="00BB15A5" w14:paraId="01DD6D0C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7DFB82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3662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269E4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2025-10</w:t>
            </w:r>
          </w:p>
        </w:tc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364A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8970D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0.998458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BA28C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42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BBAEE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185,500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FF055E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40.5%</w:t>
            </w:r>
          </w:p>
        </w:tc>
        <w:tc>
          <w:tcPr>
            <w:tcW w:w="201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7DB6D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Elevated Outpatient Rejection</w:t>
            </w:r>
          </w:p>
        </w:tc>
      </w:tr>
      <w:tr w:rsidR="00BB15A5" w14:paraId="0F00D34B" w14:textId="77777777">
        <w:trPr>
          <w:jc w:val="center"/>
        </w:trPr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AD054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703</w:t>
            </w:r>
          </w:p>
        </w:tc>
        <w:tc>
          <w:tcPr>
            <w:tcW w:w="115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05D2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2025-11</w:t>
            </w:r>
          </w:p>
        </w:tc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F32C70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C9B2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0.998375</w:t>
            </w:r>
          </w:p>
        </w:tc>
        <w:tc>
          <w:tcPr>
            <w:tcW w:w="129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91888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1,804</w:t>
            </w:r>
          </w:p>
        </w:tc>
        <w:tc>
          <w:tcPr>
            <w:tcW w:w="187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8F12DE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8,436,275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3930E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56.5%</w:t>
            </w:r>
          </w:p>
        </w:tc>
        <w:tc>
          <w:tcPr>
            <w:tcW w:w="201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BD7A1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Massive Volume Dump &amp; Rejection</w:t>
            </w:r>
          </w:p>
        </w:tc>
      </w:tr>
      <w:tr w:rsidR="00BB15A5" w14:paraId="4105EC16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B6940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703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A8C3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2025-09</w:t>
            </w:r>
          </w:p>
        </w:tc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1FD7C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66046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0.998358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4862A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37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FD790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177,895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8217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97.3%</w:t>
            </w:r>
          </w:p>
        </w:tc>
        <w:tc>
          <w:tcPr>
            <w:tcW w:w="201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C9712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Near-Complete Rejection</w:t>
            </w:r>
          </w:p>
        </w:tc>
      </w:tr>
      <w:tr w:rsidR="00BB15A5" w14:paraId="0A7E3A3F" w14:textId="77777777">
        <w:trPr>
          <w:jc w:val="center"/>
        </w:trPr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ECD74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3635</w:t>
            </w:r>
          </w:p>
        </w:tc>
        <w:tc>
          <w:tcPr>
            <w:tcW w:w="115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5C9D3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2025-09</w:t>
            </w:r>
          </w:p>
        </w:tc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89BD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FD59C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0.998331</w:t>
            </w:r>
          </w:p>
        </w:tc>
        <w:tc>
          <w:tcPr>
            <w:tcW w:w="129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28C3A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100</w:t>
            </w:r>
          </w:p>
        </w:tc>
        <w:tc>
          <w:tcPr>
            <w:tcW w:w="187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8A5CA4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504,765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10FC0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8.0%</w:t>
            </w:r>
          </w:p>
        </w:tc>
        <w:tc>
          <w:tcPr>
            <w:tcW w:w="201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A1B3D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Unbundling / Service Outlier</w:t>
            </w:r>
          </w:p>
        </w:tc>
      </w:tr>
      <w:tr w:rsidR="00BB15A5" w14:paraId="5EF334AC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8D3A4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3662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00D8B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2025-11</w:t>
            </w:r>
          </w:p>
        </w:tc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876735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8F3E0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0.998285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4BBAC2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64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4875F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256,000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3A975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54.7%</w:t>
            </w:r>
          </w:p>
        </w:tc>
        <w:tc>
          <w:tcPr>
            <w:tcW w:w="201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89D9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Repeated Provider Rejection</w:t>
            </w:r>
          </w:p>
        </w:tc>
      </w:tr>
      <w:tr w:rsidR="00BB15A5" w14:paraId="797DC4E0" w14:textId="77777777">
        <w:trPr>
          <w:jc w:val="center"/>
        </w:trPr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38A3DF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3890</w:t>
            </w:r>
          </w:p>
        </w:tc>
        <w:tc>
          <w:tcPr>
            <w:tcW w:w="115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F35F6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2025-11</w:t>
            </w:r>
          </w:p>
        </w:tc>
        <w:tc>
          <w:tcPr>
            <w:tcW w:w="86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9EDD02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18E96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0.998220</w:t>
            </w:r>
          </w:p>
        </w:tc>
        <w:tc>
          <w:tcPr>
            <w:tcW w:w="129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17E9E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310</w:t>
            </w:r>
          </w:p>
        </w:tc>
        <w:tc>
          <w:tcPr>
            <w:tcW w:w="187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745153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1,718,945</w:t>
            </w:r>
          </w:p>
        </w:tc>
        <w:tc>
          <w:tcPr>
            <w:tcW w:w="1440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60CF44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71.6%</w:t>
            </w:r>
          </w:p>
        </w:tc>
        <w:tc>
          <w:tcPr>
            <w:tcW w:w="201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FC560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Multi-Month Collusion Profile</w:t>
            </w:r>
          </w:p>
        </w:tc>
      </w:tr>
      <w:tr w:rsidR="00BB15A5" w14:paraId="02A22ADC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F6C04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847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A799E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2025-03</w:t>
            </w:r>
          </w:p>
        </w:tc>
        <w:tc>
          <w:tcPr>
            <w:tcW w:w="86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893D7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-1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2C791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0.998193</w:t>
            </w:r>
          </w:p>
        </w:tc>
        <w:tc>
          <w:tcPr>
            <w:tcW w:w="129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E6D54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285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500A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2,023,500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748B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100.0%</w:t>
            </w:r>
          </w:p>
        </w:tc>
        <w:tc>
          <w:tcPr>
            <w:tcW w:w="201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E1901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Complete Claim Rejection (100%)</w:t>
            </w:r>
          </w:p>
        </w:tc>
      </w:tr>
    </w:tbl>
    <w:p w14:paraId="2252F830" w14:textId="77777777" w:rsidR="00BB15A5" w:rsidRDefault="00BB15A5">
      <w:pPr>
        <w:spacing w:after="160"/>
      </w:pPr>
    </w:p>
    <w:p w14:paraId="6408211B" w14:textId="7235B7BE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4</w:t>
      </w:r>
      <w:r>
        <w:rPr>
          <w:rFonts w:ascii="Calibri" w:hAnsi="Calibri"/>
          <w:b/>
          <w:color w:val="2980B9"/>
          <w:sz w:val="25"/>
        </w:rPr>
        <w:t>.3 In-Depth Case Studies of Top Anomalous Providers</w:t>
      </w:r>
    </w:p>
    <w:p w14:paraId="26EAE738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 xml:space="preserve">The empirical results expose critical, </w:t>
      </w:r>
      <w:r>
        <w:rPr>
          <w:rFonts w:ascii="Calibri" w:hAnsi="Calibri"/>
          <w:color w:val="282828"/>
          <w:sz w:val="20"/>
        </w:rPr>
        <w:t>recurring systemic provider fraud archetypes across Cameroon:</w:t>
      </w:r>
    </w:p>
    <w:p w14:paraId="1CB52417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1. Facility Hfid 847 (March 2025 — 100% Rejection):</w:t>
      </w:r>
      <w:r>
        <w:rPr>
          <w:rFonts w:ascii="Calibri" w:hAnsi="Calibri"/>
          <w:color w:val="282828"/>
          <w:sz w:val="20"/>
        </w:rPr>
        <w:br/>
        <w:t>Submitted 285 claims requesting 2,023,500 XAF in reimbursement, and every single claim (100.0%) was rejected by openIMIS adjudicators. This in</w:t>
      </w:r>
      <w:r>
        <w:rPr>
          <w:rFonts w:ascii="Calibri" w:hAnsi="Calibri"/>
          <w:color w:val="282828"/>
          <w:sz w:val="20"/>
        </w:rPr>
        <w:t>dicates complete administrative non-compliance, ghost provider credentials, or massive unauthorized batch billing.</w:t>
      </w:r>
    </w:p>
    <w:p w14:paraId="6C364A8A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2. Facility Hfid 703 (Repeat Offender Across Multiple Quarters):</w:t>
      </w:r>
      <w:r>
        <w:rPr>
          <w:rFonts w:ascii="Calibri" w:hAnsi="Calibri"/>
          <w:color w:val="282828"/>
          <w:sz w:val="20"/>
        </w:rPr>
        <w:br/>
        <w:t>In June 2025: Submitted 22 claims, 86.4% rejected (GLOSH: 0.999047).</w:t>
      </w:r>
      <w:r>
        <w:rPr>
          <w:rFonts w:ascii="Calibri" w:hAnsi="Calibri"/>
          <w:color w:val="282828"/>
          <w:sz w:val="20"/>
        </w:rPr>
        <w:br/>
        <w:t>In Sept</w:t>
      </w:r>
      <w:r>
        <w:rPr>
          <w:rFonts w:ascii="Calibri" w:hAnsi="Calibri"/>
          <w:color w:val="282828"/>
          <w:sz w:val="20"/>
        </w:rPr>
        <w:t>ember 2025: Submitted 37 claims, 97.3% rejected (GLOSH: 0.998358).</w:t>
      </w:r>
      <w:r>
        <w:rPr>
          <w:rFonts w:ascii="Calibri" w:hAnsi="Calibri"/>
          <w:color w:val="282828"/>
          <w:sz w:val="20"/>
        </w:rPr>
        <w:br/>
        <w:t>In November 2025: Volume suddenly skyrocketed to 1,804 claims requesting 8,436,275 XAF, with 56.5% rejected (GLOSH: 0.998375).</w:t>
      </w:r>
      <w:r>
        <w:rPr>
          <w:rFonts w:ascii="Calibri" w:hAnsi="Calibri"/>
          <w:color w:val="282828"/>
          <w:sz w:val="20"/>
        </w:rPr>
        <w:br/>
        <w:t>This demonstrates a classic 'billing dump' scheme: after multi</w:t>
      </w:r>
      <w:r>
        <w:rPr>
          <w:rFonts w:ascii="Calibri" w:hAnsi="Calibri"/>
          <w:color w:val="282828"/>
          <w:sz w:val="20"/>
        </w:rPr>
        <w:t>ple failed batches, the facility attempted a high-volume surge to overwhelm the system.</w:t>
      </w:r>
    </w:p>
    <w:p w14:paraId="79D67535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3. Facility Hfid 3890 (Persistent High-Volume Fraud Pattern):</w:t>
      </w:r>
      <w:r>
        <w:rPr>
          <w:rFonts w:ascii="Calibri" w:hAnsi="Calibri"/>
          <w:color w:val="282828"/>
          <w:sz w:val="20"/>
        </w:rPr>
        <w:br/>
        <w:t>October 2025: 345 claims, 2.33M XAF claimed, 88.1% rejected.</w:t>
      </w:r>
      <w:r>
        <w:rPr>
          <w:rFonts w:ascii="Calibri" w:hAnsi="Calibri"/>
          <w:color w:val="282828"/>
          <w:sz w:val="20"/>
        </w:rPr>
        <w:br/>
        <w:t>November 2025: 310 claims, 1.72M XAF claimed,</w:t>
      </w:r>
      <w:r>
        <w:rPr>
          <w:rFonts w:ascii="Calibri" w:hAnsi="Calibri"/>
          <w:color w:val="282828"/>
          <w:sz w:val="20"/>
        </w:rPr>
        <w:t xml:space="preserve"> 71.6% rejected.</w:t>
      </w:r>
      <w:r>
        <w:rPr>
          <w:rFonts w:ascii="Calibri" w:hAnsi="Calibri"/>
          <w:color w:val="282828"/>
          <w:sz w:val="20"/>
        </w:rPr>
        <w:br/>
        <w:t>January 2026: 113 claims, 758K XAF claimed, 86.7% rejected.</w:t>
      </w:r>
      <w:r>
        <w:rPr>
          <w:rFonts w:ascii="Calibri" w:hAnsi="Calibri"/>
          <w:color w:val="282828"/>
          <w:sz w:val="20"/>
        </w:rPr>
        <w:br/>
      </w:r>
      <w:r>
        <w:rPr>
          <w:rFonts w:ascii="Calibri" w:hAnsi="Calibri"/>
          <w:color w:val="282828"/>
          <w:sz w:val="20"/>
        </w:rPr>
        <w:lastRenderedPageBreak/>
        <w:t>Sustained 70%+ rejection over 4 consecutive months proves structural fraud, requiring immediate suspension of automated reimbursement.</w:t>
      </w:r>
    </w:p>
    <w:p w14:paraId="335B73CE" w14:textId="7CC36508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4</w:t>
      </w:r>
      <w:r>
        <w:rPr>
          <w:rFonts w:ascii="Calibri" w:hAnsi="Calibri"/>
          <w:b/>
          <w:color w:val="2980B9"/>
          <w:sz w:val="25"/>
        </w:rPr>
        <w:t>.4 Visual Manifold Analysis (UMAP Projectio</w:t>
      </w:r>
      <w:r>
        <w:rPr>
          <w:rFonts w:ascii="Calibri" w:hAnsi="Calibri"/>
          <w:b/>
          <w:color w:val="2980B9"/>
          <w:sz w:val="25"/>
        </w:rPr>
        <w:t>ns)</w:t>
      </w:r>
    </w:p>
    <w:p w14:paraId="567681EC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Figure 1 displays the 2-dimensional UMAP projection of the 11,160 facility-months, contrasting cluster membership against GLOSH outlier scores:</w:t>
      </w:r>
    </w:p>
    <w:p w14:paraId="1B631DA4" w14:textId="77777777" w:rsidR="00BB15A5" w:rsidRDefault="001664E5">
      <w:pPr>
        <w:spacing w:before="120" w:after="80"/>
        <w:jc w:val="center"/>
      </w:pPr>
      <w:r>
        <w:rPr>
          <w:noProof/>
        </w:rPr>
        <w:drawing>
          <wp:inline distT="0" distB="0" distL="0" distR="0" wp14:anchorId="22A58822" wp14:editId="43644F8D">
            <wp:extent cx="5760720" cy="24772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dbscan_glosh_uma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4ED6D" w14:textId="77777777" w:rsidR="00BB15A5" w:rsidRDefault="001664E5">
      <w:pPr>
        <w:spacing w:after="240"/>
        <w:jc w:val="center"/>
      </w:pPr>
      <w:r>
        <w:rPr>
          <w:rFonts w:ascii="Calibri" w:hAnsi="Calibri"/>
          <w:i/>
          <w:color w:val="646464"/>
          <w:sz w:val="17"/>
        </w:rPr>
        <w:t xml:space="preserve">Figure 1: (Left) HDBSCAN 8-Cluster Structure and Global Noise (-1); (Right) Continuous GLOSH </w:t>
      </w:r>
      <w:r>
        <w:rPr>
          <w:rFonts w:ascii="Calibri" w:hAnsi="Calibri"/>
          <w:i/>
          <w:color w:val="646464"/>
          <w:sz w:val="17"/>
        </w:rPr>
        <w:t>Outlier Heatmap across Cameroon Hospital-Month Profiles.</w:t>
      </w:r>
    </w:p>
    <w:p w14:paraId="54C54810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Interpretation of Figure 1:</w:t>
      </w:r>
      <w:r>
        <w:rPr>
          <w:rFonts w:ascii="Calibri" w:hAnsi="Calibri"/>
          <w:color w:val="282828"/>
          <w:sz w:val="20"/>
        </w:rPr>
        <w:br/>
        <w:t>• Left Panel (Clusters): Normal providers cluster tightly in dense peripheral islands (Clusters 0 through 7). The diffuse, scattered points represent the 50.4% noise profi</w:t>
      </w:r>
      <w:r>
        <w:rPr>
          <w:rFonts w:ascii="Calibri" w:hAnsi="Calibri"/>
          <w:color w:val="282828"/>
          <w:sz w:val="20"/>
        </w:rPr>
        <w:t>les (-1).</w:t>
      </w:r>
      <w:r>
        <w:rPr>
          <w:rFonts w:ascii="Calibri" w:hAnsi="Calibri"/>
          <w:color w:val="282828"/>
          <w:sz w:val="20"/>
        </w:rPr>
        <w:br/>
        <w:t>• Right Panel (GLOSH Outlier Scores): Darker purple tones represent standard normative behavior (GLOSH &lt; 0.3). Bright orange and yellow points represent high-GLOSH outliers (GLOSH &gt; 0.90) radiating along the sparse outer fringes of the manifold.</w:t>
      </w:r>
    </w:p>
    <w:p w14:paraId="2F6A6302" w14:textId="1A1D96A5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4</w:t>
      </w:r>
      <w:r>
        <w:rPr>
          <w:rFonts w:ascii="Calibri" w:hAnsi="Calibri"/>
          <w:b/>
          <w:color w:val="2980B9"/>
          <w:sz w:val="25"/>
        </w:rPr>
        <w:t>.5 Surrogate Explainability Model Insights</w:t>
      </w:r>
    </w:p>
    <w:p w14:paraId="1F650B5C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The surrogate LightGBM model trained on the top 5% GLOSH outliers (558 positive profiles vs 10,602 negative profiles) achieved clear separation across the 10 core features. TreeSHAP attribution identified the top</w:t>
      </w:r>
      <w:r>
        <w:rPr>
          <w:rFonts w:ascii="Calibri" w:hAnsi="Calibri"/>
          <w:color w:val="282828"/>
          <w:sz w:val="20"/>
        </w:rPr>
        <w:t xml:space="preserve"> three primary drivers of extreme GLOSH scores:</w:t>
      </w:r>
    </w:p>
    <w:p w14:paraId="027194C7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1. RejectionRate (Primary Driver): Explains over 42% of outlier classification variance. Facilities with rejection rates exceeding 40% immediately trigger high local outlier scores.</w:t>
      </w:r>
    </w:p>
    <w:p w14:paraId="5A654D4A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2. MeanServices &amp; PctNoSer</w:t>
      </w:r>
      <w:r>
        <w:rPr>
          <w:rFonts w:ascii="Calibri" w:hAnsi="Calibri"/>
          <w:color w:val="282828"/>
          <w:sz w:val="20"/>
        </w:rPr>
        <w:t>vices (Unbundling / Ghost Billing): Abnormal procedure line counts—either extreme procedure stuffing (e.g., &gt;8 procedures for simple malaria) or zero attached procedures (100% ghost billing)—form the second strongest anomaly signal.</w:t>
      </w:r>
    </w:p>
    <w:p w14:paraId="7B52F629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3. PctBackdated &amp; MeanD</w:t>
      </w:r>
      <w:r>
        <w:rPr>
          <w:rFonts w:ascii="Calibri" w:hAnsi="Calibri"/>
          <w:color w:val="282828"/>
          <w:sz w:val="20"/>
        </w:rPr>
        <w:t>elay (Temporal Tampering): High concentrations of retroactive claims submitted weeks after discharge date correlate strongly with fraudulent billing dumps.</w:t>
      </w:r>
    </w:p>
    <w:p w14:paraId="38BA716A" w14:textId="4D8803BE" w:rsidR="00BB15A5" w:rsidRDefault="001664E5">
      <w:pPr>
        <w:keepNext/>
        <w:spacing w:before="360" w:after="120"/>
      </w:pPr>
      <w:r>
        <w:rPr>
          <w:rFonts w:ascii="Calibri" w:hAnsi="Calibri"/>
          <w:b/>
          <w:color w:val="184C78"/>
          <w:sz w:val="32"/>
        </w:rPr>
        <w:t>5</w:t>
      </w:r>
      <w:r>
        <w:rPr>
          <w:rFonts w:ascii="Calibri" w:hAnsi="Calibri"/>
          <w:b/>
          <w:color w:val="184C78"/>
          <w:sz w:val="32"/>
        </w:rPr>
        <w:t>. How to Use That (Operational Integration &amp; Action Plan)</w:t>
      </w:r>
    </w:p>
    <w:p w14:paraId="639DC659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The outputs of the HDBSCAN + GLOSH framew</w:t>
      </w:r>
      <w:r>
        <w:rPr>
          <w:rFonts w:ascii="Calibri" w:hAnsi="Calibri"/>
          <w:color w:val="282828"/>
          <w:sz w:val="20"/>
        </w:rPr>
        <w:t>ork provide immediate, high-leverage operational value for the Cameroon openIMIS adjudication team, medical auditors, and anti-fraud investigators. Below is the operational integration roadmap:</w:t>
      </w:r>
    </w:p>
    <w:p w14:paraId="36CF322E" w14:textId="241E80C9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lastRenderedPageBreak/>
        <w:t>5</w:t>
      </w:r>
      <w:r>
        <w:rPr>
          <w:rFonts w:ascii="Calibri" w:hAnsi="Calibri"/>
          <w:b/>
          <w:color w:val="2980B9"/>
          <w:sz w:val="25"/>
        </w:rPr>
        <w:t>.1 Tiered Monthly Audit Triage Queue</w:t>
      </w:r>
    </w:p>
    <w:p w14:paraId="45C4CD20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At the close of each cal</w:t>
      </w:r>
      <w:r>
        <w:rPr>
          <w:rFonts w:ascii="Calibri" w:hAnsi="Calibri"/>
          <w:color w:val="282828"/>
          <w:sz w:val="20"/>
        </w:rPr>
        <w:t>endar month, the ingestion and HDBSCAN pipeline executes as an automated batch job, outputting the ranked GLOSH priority queue. Medical auditors allocate investigative resources according to three operational tiers: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2287"/>
        <w:gridCol w:w="2001"/>
        <w:gridCol w:w="1999"/>
        <w:gridCol w:w="3993"/>
      </w:tblGrid>
      <w:tr w:rsidR="00BB15A5" w14:paraId="6A1123C8" w14:textId="77777777">
        <w:trPr>
          <w:jc w:val="center"/>
        </w:trPr>
        <w:tc>
          <w:tcPr>
            <w:tcW w:w="2304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E2A3B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Audit Tier</w:t>
            </w:r>
          </w:p>
        </w:tc>
        <w:tc>
          <w:tcPr>
            <w:tcW w:w="2016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6D89A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GLOSH Threshold</w:t>
            </w:r>
          </w:p>
        </w:tc>
        <w:tc>
          <w:tcPr>
            <w:tcW w:w="2016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04425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Monthly Volum</w:t>
            </w:r>
            <w:r>
              <w:rPr>
                <w:rFonts w:ascii="Calibri" w:hAnsi="Calibri"/>
                <w:b/>
                <w:color w:val="FFFFFF"/>
                <w:sz w:val="19"/>
              </w:rPr>
              <w:t>e</w:t>
            </w:r>
          </w:p>
        </w:tc>
        <w:tc>
          <w:tcPr>
            <w:tcW w:w="4032" w:type="dxa"/>
            <w:shd w:val="clear" w:color="auto" w:fill="184C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2FBC2" w14:textId="77777777" w:rsidR="00BB15A5" w:rsidRDefault="001664E5">
            <w:r>
              <w:rPr>
                <w:rFonts w:ascii="Calibri" w:hAnsi="Calibri"/>
                <w:b/>
                <w:color w:val="FFFFFF"/>
                <w:sz w:val="19"/>
              </w:rPr>
              <w:t>Operational Action &amp; Enforcement</w:t>
            </w:r>
          </w:p>
        </w:tc>
      </w:tr>
      <w:tr w:rsidR="00BB15A5" w14:paraId="3673436C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6957C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Tier 1: Red Flag</w:t>
            </w:r>
            <w:r>
              <w:rPr>
                <w:rFonts w:ascii="Calibri" w:hAnsi="Calibri"/>
                <w:color w:val="282828"/>
                <w:sz w:val="18"/>
              </w:rPr>
              <w:br/>
              <w:t>(Immediate Freeze)</w:t>
            </w:r>
          </w:p>
        </w:tc>
        <w:tc>
          <w:tcPr>
            <w:tcW w:w="201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F18A1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GLOSH &gt;= 0.990</w:t>
            </w:r>
            <w:r>
              <w:rPr>
                <w:rFonts w:ascii="Calibri" w:hAnsi="Calibri"/>
                <w:color w:val="282828"/>
                <w:sz w:val="18"/>
              </w:rPr>
              <w:br/>
              <w:t>(Top 0.5%)</w:t>
            </w:r>
          </w:p>
        </w:tc>
        <w:tc>
          <w:tcPr>
            <w:tcW w:w="201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C731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~15 - 25 facilities</w:t>
            </w:r>
          </w:p>
        </w:tc>
        <w:tc>
          <w:tcPr>
            <w:tcW w:w="40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84386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• Immediately suspend automated batch reimbursement.</w:t>
            </w:r>
            <w:r>
              <w:rPr>
                <w:rFonts w:ascii="Calibri" w:hAnsi="Calibri"/>
                <w:color w:val="282828"/>
                <w:sz w:val="18"/>
              </w:rPr>
              <w:br/>
              <w:t>• Mandate 100% pre-payment manual line-item medical audit.</w:t>
            </w:r>
            <w:r>
              <w:rPr>
                <w:rFonts w:ascii="Calibri" w:hAnsi="Calibri"/>
                <w:color w:val="282828"/>
                <w:sz w:val="18"/>
              </w:rPr>
              <w:br/>
              <w:t xml:space="preserve">• Issue formal </w:t>
            </w:r>
            <w:r>
              <w:rPr>
                <w:rFonts w:ascii="Calibri" w:hAnsi="Calibri"/>
                <w:color w:val="282828"/>
                <w:sz w:val="18"/>
              </w:rPr>
              <w:t>inquiry letter requesting patient medical records and signed registers.</w:t>
            </w:r>
          </w:p>
        </w:tc>
      </w:tr>
      <w:tr w:rsidR="00BB15A5" w14:paraId="759E15A4" w14:textId="77777777">
        <w:trPr>
          <w:jc w:val="center"/>
        </w:trPr>
        <w:tc>
          <w:tcPr>
            <w:tcW w:w="2304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EE549B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Tier 2: Orange Flag</w:t>
            </w:r>
            <w:r>
              <w:rPr>
                <w:rFonts w:ascii="Calibri" w:hAnsi="Calibri"/>
                <w:color w:val="282828"/>
                <w:sz w:val="18"/>
              </w:rPr>
              <w:br/>
              <w:t>(Targeted Scrutiny)</w:t>
            </w:r>
          </w:p>
        </w:tc>
        <w:tc>
          <w:tcPr>
            <w:tcW w:w="201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30BE5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0.950 &lt;= GLOSH &lt; 0.990</w:t>
            </w:r>
            <w:r>
              <w:rPr>
                <w:rFonts w:ascii="Calibri" w:hAnsi="Calibri"/>
                <w:color w:val="282828"/>
                <w:sz w:val="18"/>
              </w:rPr>
              <w:br/>
              <w:t>(Top 5%)</w:t>
            </w:r>
          </w:p>
        </w:tc>
        <w:tc>
          <w:tcPr>
            <w:tcW w:w="2016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3B999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~50 - 75 facilities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F3E4D2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• Place facility on the openIMIS Adjudication Watchlist.</w:t>
            </w:r>
            <w:r>
              <w:rPr>
                <w:rFonts w:ascii="Calibri" w:hAnsi="Calibri"/>
                <w:color w:val="282828"/>
                <w:sz w:val="18"/>
              </w:rPr>
              <w:br/>
              <w:t xml:space="preserve">• Increase sample audit rate to </w:t>
            </w:r>
            <w:r>
              <w:rPr>
                <w:rFonts w:ascii="Calibri" w:hAnsi="Calibri"/>
                <w:color w:val="282828"/>
                <w:sz w:val="18"/>
              </w:rPr>
              <w:t>35% of submitted claims.</w:t>
            </w:r>
            <w:r>
              <w:rPr>
                <w:rFonts w:ascii="Calibri" w:hAnsi="Calibri"/>
                <w:color w:val="282828"/>
                <w:sz w:val="18"/>
              </w:rPr>
              <w:br/>
              <w:t>• Evaluate facility drift against previous quarter performance.</w:t>
            </w:r>
          </w:p>
        </w:tc>
      </w:tr>
      <w:tr w:rsidR="00BB15A5" w14:paraId="7EEA9E8A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B12E1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Tier 3: Green / Yellow</w:t>
            </w:r>
            <w:r>
              <w:rPr>
                <w:rFonts w:ascii="Calibri" w:hAnsi="Calibri"/>
                <w:color w:val="282828"/>
                <w:sz w:val="18"/>
              </w:rPr>
              <w:br/>
              <w:t>(Routine Monitoring)</w:t>
            </w:r>
          </w:p>
        </w:tc>
        <w:tc>
          <w:tcPr>
            <w:tcW w:w="201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2D9F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GLOSH &lt; 0.950</w:t>
            </w:r>
            <w:r>
              <w:rPr>
                <w:rFonts w:ascii="Calibri" w:hAnsi="Calibri"/>
                <w:color w:val="282828"/>
                <w:sz w:val="18"/>
              </w:rPr>
              <w:br/>
              <w:t>(Bottom 95%)</w:t>
            </w:r>
          </w:p>
        </w:tc>
        <w:tc>
          <w:tcPr>
            <w:tcW w:w="201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19560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~900+ facilities</w:t>
            </w:r>
          </w:p>
        </w:tc>
        <w:tc>
          <w:tcPr>
            <w:tcW w:w="403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C753D" w14:textId="77777777" w:rsidR="00BB15A5" w:rsidRDefault="001664E5">
            <w:r>
              <w:rPr>
                <w:rFonts w:ascii="Calibri" w:hAnsi="Calibri"/>
                <w:color w:val="282828"/>
                <w:sz w:val="18"/>
              </w:rPr>
              <w:t>• Standard openIMIS automated adjudication.</w:t>
            </w:r>
            <w:r>
              <w:rPr>
                <w:rFonts w:ascii="Calibri" w:hAnsi="Calibri"/>
                <w:color w:val="282828"/>
                <w:sz w:val="18"/>
              </w:rPr>
              <w:br/>
              <w:t xml:space="preserve">• Standard 5% </w:t>
            </w:r>
            <w:r>
              <w:rPr>
                <w:rFonts w:ascii="Calibri" w:hAnsi="Calibri"/>
                <w:color w:val="282828"/>
                <w:sz w:val="18"/>
              </w:rPr>
              <w:t>statistical random sampling audit.</w:t>
            </w:r>
            <w:r>
              <w:rPr>
                <w:rFonts w:ascii="Calibri" w:hAnsi="Calibri"/>
                <w:color w:val="282828"/>
                <w:sz w:val="18"/>
              </w:rPr>
              <w:br/>
              <w:t>• Ongoing monthly baseline profiling.</w:t>
            </w:r>
          </w:p>
        </w:tc>
      </w:tr>
    </w:tbl>
    <w:p w14:paraId="09D11E3B" w14:textId="77777777" w:rsidR="00BB15A5" w:rsidRDefault="00BB15A5">
      <w:pPr>
        <w:spacing w:after="160"/>
      </w:pPr>
    </w:p>
    <w:p w14:paraId="368167EB" w14:textId="36A5944A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5</w:t>
      </w:r>
      <w:r>
        <w:rPr>
          <w:rFonts w:ascii="Calibri" w:hAnsi="Calibri"/>
          <w:b/>
          <w:color w:val="2980B9"/>
          <w:sz w:val="25"/>
        </w:rPr>
        <w:t>.2 Facility Longitudinal Drift Monitoring</w:t>
      </w:r>
    </w:p>
    <w:p w14:paraId="1D7C7BD7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 xml:space="preserve">Instead of treating each month in isolation, openIMIS should track GLOSH score trajectories over time for every Hfid. A sudden jump in a </w:t>
      </w:r>
      <w:r>
        <w:rPr>
          <w:rFonts w:ascii="Calibri" w:hAnsi="Calibri"/>
          <w:color w:val="282828"/>
          <w:sz w:val="20"/>
        </w:rPr>
        <w:t>facility's GLOSH score (e.g., jumping from 0.15 in October to 0.98 in November) serves as an automated early warning for provider compromise, management change, or aggressive fraudulent billing schemes.</w:t>
      </w:r>
    </w:p>
    <w:p w14:paraId="4BA795EF" w14:textId="134FA86A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5</w:t>
      </w:r>
      <w:r>
        <w:rPr>
          <w:rFonts w:ascii="Calibri" w:hAnsi="Calibri"/>
          <w:b/>
          <w:color w:val="2980B9"/>
          <w:sz w:val="25"/>
        </w:rPr>
        <w:t>.3 Auditor Action Protocol with SHAP Root-Cause Card</w:t>
      </w:r>
      <w:r>
        <w:rPr>
          <w:rFonts w:ascii="Calibri" w:hAnsi="Calibri"/>
          <w:b/>
          <w:color w:val="2980B9"/>
          <w:sz w:val="25"/>
        </w:rPr>
        <w:t>s</w:t>
      </w:r>
    </w:p>
    <w:p w14:paraId="772FDFD1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For every facility flagged in Tier 1 or Tier 2, the system automatically outputs an 'Audit Justification Card' powered by the TreeSHAP surrogate model. Rather than telling the auditor 'Facility 703 is suspicious', the card specifies:</w:t>
      </w:r>
    </w:p>
    <w:p w14:paraId="02AA47A5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• 'Facility 703 (Nov</w:t>
      </w:r>
      <w:r>
        <w:rPr>
          <w:rFonts w:ascii="Calibri" w:hAnsi="Calibri"/>
          <w:color w:val="282828"/>
          <w:sz w:val="20"/>
        </w:rPr>
        <w:t xml:space="preserve"> 2025) flagged with GLOSH = 0.998375 due to: (1) 56.5% Rejection Rate (+0.41 SHAP), (2) 1,804 claims volume surge (+0.28 SHAP), (3) 82% backdated submissions (+0.19 SHAP).'</w:t>
      </w:r>
    </w:p>
    <w:p w14:paraId="598B3C03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This enables field investigators to target their physical inspection directly at pa</w:t>
      </w:r>
      <w:r>
        <w:rPr>
          <w:rFonts w:ascii="Calibri" w:hAnsi="Calibri"/>
          <w:color w:val="282828"/>
          <w:sz w:val="20"/>
        </w:rPr>
        <w:t>tient admission registries and procedure logs.</w:t>
      </w:r>
    </w:p>
    <w:p w14:paraId="4D8A2C56" w14:textId="0475F157" w:rsidR="00BB15A5" w:rsidRDefault="001664E5">
      <w:pPr>
        <w:keepNext/>
        <w:spacing w:before="240" w:after="80"/>
      </w:pPr>
      <w:r>
        <w:rPr>
          <w:rFonts w:ascii="Calibri" w:hAnsi="Calibri"/>
          <w:b/>
          <w:color w:val="2980B9"/>
          <w:sz w:val="25"/>
        </w:rPr>
        <w:t>5</w:t>
      </w:r>
      <w:r>
        <w:rPr>
          <w:rFonts w:ascii="Calibri" w:hAnsi="Calibri"/>
          <w:b/>
          <w:color w:val="2980B9"/>
          <w:sz w:val="25"/>
        </w:rPr>
        <w:t>.4 Integration into openIMIS System Architecture</w:t>
      </w:r>
    </w:p>
    <w:p w14:paraId="48D3C9A4" w14:textId="77777777" w:rsidR="00BB15A5" w:rsidRDefault="001664E5">
      <w:pPr>
        <w:spacing w:after="120"/>
      </w:pPr>
      <w:r>
        <w:rPr>
          <w:rFonts w:ascii="Calibri" w:hAnsi="Calibri"/>
          <w:color w:val="282828"/>
          <w:sz w:val="20"/>
        </w:rPr>
        <w:t>The model integrates as a monthly cron container service within the openIMIS infrastructure:</w:t>
      </w:r>
      <w:r>
        <w:rPr>
          <w:rFonts w:ascii="Calibri" w:hAnsi="Calibri"/>
          <w:color w:val="282828"/>
          <w:sz w:val="20"/>
        </w:rPr>
        <w:br/>
        <w:t>• Monthly Cron Job (Day 1 of Month): Extracts previous month's cla</w:t>
      </w:r>
      <w:r>
        <w:rPr>
          <w:rFonts w:ascii="Calibri" w:hAnsi="Calibri"/>
          <w:color w:val="282828"/>
          <w:sz w:val="20"/>
        </w:rPr>
        <w:t>ims from openIMIS PostgreSQL database.</w:t>
      </w:r>
      <w:r>
        <w:rPr>
          <w:rFonts w:ascii="Calibri" w:hAnsi="Calibri"/>
          <w:color w:val="282828"/>
          <w:sz w:val="20"/>
        </w:rPr>
        <w:br/>
        <w:t>• Pipeline Execution: Computes hospital-month profiles, evaluates HDBSCAN + GLOSH, and runs TreeSHAP explanations in &lt;45 seconds.</w:t>
      </w:r>
      <w:r>
        <w:rPr>
          <w:rFonts w:ascii="Calibri" w:hAnsi="Calibri"/>
          <w:color w:val="282828"/>
          <w:sz w:val="20"/>
        </w:rPr>
        <w:br/>
        <w:t>• Database Update: Writes GLOSH scores and audit tier flags into a new table (tblFacili</w:t>
      </w:r>
      <w:r>
        <w:rPr>
          <w:rFonts w:ascii="Calibri" w:hAnsi="Calibri"/>
          <w:color w:val="282828"/>
          <w:sz w:val="20"/>
        </w:rPr>
        <w:t>tyRiskScores).</w:t>
      </w:r>
      <w:r>
        <w:rPr>
          <w:rFonts w:ascii="Calibri" w:hAnsi="Calibri"/>
          <w:color w:val="282828"/>
          <w:sz w:val="20"/>
        </w:rPr>
        <w:br/>
        <w:t>• Web UI Dashboard: Surfaces the Top 50 anomalous facilities on the openIMIS auditor dashboard with interactive drill-down.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BB15A5" w14:paraId="0629C934" w14:textId="77777777">
        <w:trPr>
          <w:jc w:val="center"/>
        </w:trPr>
        <w:tc>
          <w:tcPr>
            <w:tcW w:w="10080" w:type="dxa"/>
            <w:tcBorders>
              <w:left w:val="single" w:sz="24" w:space="0" w:color="184C78"/>
            </w:tcBorders>
            <w:shd w:val="clear" w:color="auto" w:fill="F4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EB6FB7" w14:textId="77777777" w:rsidR="00BB15A5" w:rsidRDefault="001664E5">
            <w:pPr>
              <w:spacing w:after="0"/>
            </w:pPr>
            <w:r>
              <w:rPr>
                <w:rFonts w:ascii="Calibri" w:hAnsi="Calibri"/>
                <w:b/>
                <w:color w:val="184C78"/>
                <w:sz w:val="19"/>
              </w:rPr>
              <w:lastRenderedPageBreak/>
              <w:t xml:space="preserve">Final Strategic Impact: </w:t>
            </w:r>
            <w:r>
              <w:rPr>
                <w:rFonts w:ascii="Calibri" w:hAnsi="Calibri"/>
                <w:color w:val="282828"/>
                <w:sz w:val="19"/>
              </w:rPr>
              <w:t>By operationalizing HDBSCAN + GLOSH at the provider-month grain, the Cameroon national health</w:t>
            </w:r>
            <w:r>
              <w:rPr>
                <w:rFonts w:ascii="Calibri" w:hAnsi="Calibri"/>
                <w:color w:val="282828"/>
                <w:sz w:val="19"/>
              </w:rPr>
              <w:t xml:space="preserve"> insurance scheme transitions from reactive, piecemeal claim rejections to proactive, systemic provider oversight—safeguarding public healthcare resources and restoring integrity to openIMIS reimbursements.</w:t>
            </w:r>
          </w:p>
        </w:tc>
      </w:tr>
    </w:tbl>
    <w:p w14:paraId="0C187DFA" w14:textId="77777777" w:rsidR="00BB15A5" w:rsidRDefault="00BB15A5">
      <w:pPr>
        <w:spacing w:after="120"/>
      </w:pPr>
    </w:p>
    <w:sectPr w:rsidR="00BB15A5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64E5"/>
    <w:rsid w:val="0029639D"/>
    <w:rsid w:val="00326F90"/>
    <w:rsid w:val="00AA1D8D"/>
    <w:rsid w:val="00B47730"/>
    <w:rsid w:val="00BB15A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B5CDDF"/>
  <w14:defaultImageDpi w14:val="300"/>
  <w15:docId w15:val="{F87A6118-DE27-49AD-B8D0-3E05595BD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2456</Words>
  <Characters>14000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Samin</cp:lastModifiedBy>
  <cp:revision>3</cp:revision>
  <dcterms:created xsi:type="dcterms:W3CDTF">2013-12-23T23:15:00Z</dcterms:created>
  <dcterms:modified xsi:type="dcterms:W3CDTF">2026-09-05T07:28:00Z</dcterms:modified>
  <cp:category/>
</cp:coreProperties>
</file>