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184C78"/>
          <w:sz w:val="44"/>
        </w:rPr>
        <w:t>openIMIS Claim Fraud &amp; Rejection Prediction Microservice</w:t>
      </w:r>
    </w:p>
    <w:p>
      <w:pPr>
        <w:spacing w:before="0" w:after="160"/>
      </w:pPr>
      <w:r>
        <w:rPr>
          <w:rFonts w:ascii="Calibri" w:hAnsi="Calibri"/>
          <w:color w:val="666666"/>
          <w:sz w:val="24"/>
        </w:rPr>
        <w:t>System Architecture, Real-Time Adjudication Workflow &amp; Machine Learning Model Card</w:t>
      </w:r>
    </w:p>
    <w:p>
      <w:pPr>
        <w:spacing w:before="0" w:after="280"/>
      </w:pPr>
      <w:r>
        <w:rPr>
          <w:rFonts w:ascii="Calibri" w:hAnsi="Calibri"/>
          <w:i/>
          <w:color w:val="666666"/>
          <w:sz w:val="19"/>
        </w:rPr>
        <w:t>Data and Design Lab  |  Cameroon Healthcare Claims AI Framework  |  September 2026</w:t>
      </w:r>
    </w:p>
    <w:tbl>
      <w:tblPr>
        <w:tblW w:type="auto" w:w="0"/>
        <w:jc w:val="center"/>
        <w:tblLook w:firstColumn="1" w:firstRow="1" w:lastColumn="0" w:lastRow="0" w:noHBand="0" w:noVBand="1" w:val="04A0"/>
      </w:tblPr>
      <w:tblGrid>
        <w:gridCol w:w="10080"/>
      </w:tblGrid>
      <w:tr>
        <w:tc>
          <w:tcPr>
            <w:tcW w:type="dxa" w:w="10080"/>
            <w:shd w:fill="F0F4F8"/>
            <w:tcMar>
              <w:top w:w="140" w:type="dxa"/>
              <w:bottom w:w="140" w:type="dxa"/>
              <w:left w:w="200" w:type="dxa"/>
              <w:right w:w="200" w:type="dxa"/>
            </w:tcMar>
          </w:tcPr>
          <w:p>
            <w:pPr>
              <w:spacing w:before="40" w:after="80"/>
            </w:pPr>
            <w:r>
              <w:rPr>
                <w:rFonts w:ascii="Calibri" w:hAnsi="Calibri"/>
                <w:b/>
                <w:color w:val="184C78"/>
                <w:sz w:val="21"/>
              </w:rPr>
              <w:t xml:space="preserve">System Executive Summary: </w:t>
            </w:r>
            <w:r>
              <w:rPr>
                <w:rFonts w:ascii="Calibri" w:hAnsi="Calibri"/>
                <w:color w:val="333333"/>
                <w:sz w:val="20"/>
              </w:rPr>
              <w:t>This microservice integrates directly with openIMIS, hospital EHRs, and insurance portals to score healthcare claims in real time (&lt; 25 ms). Powered by a calibrated, leakage-free LightGBM gradient boosted ensemble (ROC-AUC 0.8778, PR-AUC 0.7604), it converts complex claim line items and point-in-time policy verifications into an empirical fraud/rejection risk percentage (0.0%–100.0%) accompanied by exact, plain-language TreeSHAP clinical and administrative justifications.</w:t>
            </w:r>
          </w:p>
        </w:tc>
      </w:tr>
    </w:tbl>
    <w:p>
      <w:pPr>
        <w:spacing w:after="120"/>
      </w:pPr>
    </w:p>
    <w:p>
      <w:pPr>
        <w:pStyle w:val="Heading1"/>
        <w:keepNext/>
        <w:spacing w:before="280" w:after="100"/>
      </w:pPr>
      <w:r>
        <w:rPr>
          <w:rFonts w:ascii="Calibri" w:hAnsi="Calibri"/>
          <w:b/>
          <w:color w:val="184C78"/>
          <w:sz w:val="32"/>
        </w:rPr>
        <w:t>1. How We Built the Microservice</w:t>
      </w:r>
    </w:p>
    <w:p>
      <w:pPr>
        <w:spacing w:after="120"/>
      </w:pPr>
      <w:r>
        <w:t>The microservice was engineered from the ground up as a production-grade asynchronous service using FastAPI, Pydantic v2, LightGBM, and Scikit-Learn. The entire system is modularized inside the service/ directory with strict separation of concerns:</w:t>
      </w:r>
    </w:p>
    <w:tbl>
      <w:tblPr>
        <w:tblW w:type="auto" w:w="0"/>
        <w:jc w:val="center"/>
        <w:tblLook w:firstColumn="1" w:firstRow="1" w:lastColumn="0" w:lastRow="0" w:noHBand="0" w:noVBand="1" w:val="04A0"/>
      </w:tblPr>
      <w:tblGrid>
        <w:gridCol w:w="3360"/>
        <w:gridCol w:w="3360"/>
        <w:gridCol w:w="3360"/>
      </w:tblGrid>
      <w:tr>
        <w:trPr>
          <w:tblHeader/>
        </w:trPr>
        <w:tc>
          <w:tcPr>
            <w:tcW w:type="dxa" w:w="2016"/>
            <w:shd w:fill="184C78"/>
            <w:tcMar>
              <w:top w:w="100" w:type="dxa"/>
              <w:bottom w:w="100" w:type="dxa"/>
              <w:left w:w="120" w:type="dxa"/>
              <w:right w:w="120" w:type="dxa"/>
            </w:tcMar>
          </w:tcPr>
          <w:p>
            <w:pPr>
              <w:spacing w:before="40" w:after="40"/>
              <w:jc w:val="left"/>
            </w:pPr>
            <w:r>
              <w:rPr>
                <w:rFonts w:ascii="Calibri" w:hAnsi="Calibri"/>
                <w:b/>
                <w:color w:val="FFFFFF"/>
                <w:sz w:val="19"/>
              </w:rPr>
              <w:t>Component</w:t>
            </w:r>
          </w:p>
        </w:tc>
        <w:tc>
          <w:tcPr>
            <w:tcW w:type="dxa" w:w="2592"/>
            <w:shd w:fill="184C78"/>
            <w:tcMar>
              <w:top w:w="100" w:type="dxa"/>
              <w:bottom w:w="100" w:type="dxa"/>
              <w:left w:w="120" w:type="dxa"/>
              <w:right w:w="120" w:type="dxa"/>
            </w:tcMar>
          </w:tcPr>
          <w:p>
            <w:pPr>
              <w:spacing w:before="40" w:after="40"/>
              <w:jc w:val="left"/>
            </w:pPr>
            <w:r>
              <w:rPr>
                <w:rFonts w:ascii="Calibri" w:hAnsi="Calibri"/>
                <w:b/>
                <w:color w:val="FFFFFF"/>
                <w:sz w:val="19"/>
              </w:rPr>
              <w:t>File</w:t>
            </w:r>
          </w:p>
        </w:tc>
        <w:tc>
          <w:tcPr>
            <w:tcW w:type="dxa" w:w="5472"/>
            <w:shd w:fill="184C78"/>
            <w:tcMar>
              <w:top w:w="100" w:type="dxa"/>
              <w:bottom w:w="100" w:type="dxa"/>
              <w:left w:w="120" w:type="dxa"/>
              <w:right w:w="120" w:type="dxa"/>
            </w:tcMar>
          </w:tcPr>
          <w:p>
            <w:pPr>
              <w:spacing w:before="40" w:after="40"/>
              <w:jc w:val="left"/>
            </w:pPr>
            <w:r>
              <w:rPr>
                <w:rFonts w:ascii="Calibri" w:hAnsi="Calibri"/>
                <w:b/>
                <w:color w:val="FFFFFF"/>
                <w:sz w:val="19"/>
              </w:rPr>
              <w:t>Role &amp; Engineering Implementation</w:t>
            </w:r>
          </w:p>
        </w:tc>
      </w:tr>
      <w:tr>
        <w:tc>
          <w:tcPr>
            <w:tcW w:type="dxa" w:w="2016"/>
            <w:shd w:fill="FFFFFF"/>
            <w:tcMar>
              <w:top w:w="80" w:type="dxa"/>
              <w:bottom w:w="80" w:type="dxa"/>
              <w:left w:w="120" w:type="dxa"/>
              <w:right w:w="120" w:type="dxa"/>
            </w:tcMar>
          </w:tcPr>
          <w:p>
            <w:pPr>
              <w:spacing w:before="20" w:after="20"/>
              <w:jc w:val="left"/>
            </w:pPr>
            <w:r>
              <w:rPr>
                <w:rFonts w:ascii="Calibri" w:hAnsi="Calibri"/>
                <w:color w:val="333333"/>
                <w:sz w:val="18"/>
              </w:rPr>
              <w:t>Configuration</w:t>
            </w:r>
          </w:p>
        </w:tc>
        <w:tc>
          <w:tcPr>
            <w:tcW w:type="dxa" w:w="2592"/>
            <w:shd w:fill="FFFFFF"/>
            <w:tcMar>
              <w:top w:w="80" w:type="dxa"/>
              <w:bottom w:w="80" w:type="dxa"/>
              <w:left w:w="120" w:type="dxa"/>
              <w:right w:w="120" w:type="dxa"/>
            </w:tcMar>
          </w:tcPr>
          <w:p>
            <w:pPr>
              <w:spacing w:before="20" w:after="20"/>
              <w:jc w:val="left"/>
            </w:pPr>
            <w:r>
              <w:rPr>
                <w:rFonts w:ascii="Calibri" w:hAnsi="Calibri"/>
                <w:color w:val="333333"/>
                <w:sz w:val="18"/>
              </w:rPr>
              <w:t>service/config.py</w:t>
            </w:r>
          </w:p>
        </w:tc>
        <w:tc>
          <w:tcPr>
            <w:tcW w:type="dxa" w:w="5472"/>
            <w:shd w:fill="FFFFFF"/>
            <w:tcMar>
              <w:top w:w="80" w:type="dxa"/>
              <w:bottom w:w="80" w:type="dxa"/>
              <w:left w:w="120" w:type="dxa"/>
              <w:right w:w="120" w:type="dxa"/>
            </w:tcMar>
          </w:tcPr>
          <w:p>
            <w:pPr>
              <w:spacing w:before="20" w:after="20"/>
              <w:jc w:val="left"/>
            </w:pPr>
            <w:r>
              <w:rPr>
                <w:rFonts w:ascii="Calibri" w:hAnsi="Calibri"/>
                <w:color w:val="333333"/>
                <w:sz w:val="18"/>
              </w:rPr>
              <w:t>Manages environment variables, model filepaths, and optimal alert thresholds (0.8751).</w:t>
            </w:r>
          </w:p>
        </w:tc>
      </w:tr>
      <w:tr>
        <w:tc>
          <w:tcPr>
            <w:tcW w:type="dxa" w:w="2016"/>
            <w:shd w:fill="F9FAFC"/>
            <w:tcMar>
              <w:top w:w="80" w:type="dxa"/>
              <w:bottom w:w="80" w:type="dxa"/>
              <w:left w:w="120" w:type="dxa"/>
              <w:right w:w="120" w:type="dxa"/>
            </w:tcMar>
          </w:tcPr>
          <w:p>
            <w:pPr>
              <w:spacing w:before="20" w:after="20"/>
              <w:jc w:val="left"/>
            </w:pPr>
            <w:r>
              <w:rPr>
                <w:rFonts w:ascii="Calibri" w:hAnsi="Calibri"/>
                <w:color w:val="333333"/>
                <w:sz w:val="18"/>
              </w:rPr>
              <w:t>Data Validation</w:t>
            </w:r>
          </w:p>
        </w:tc>
        <w:tc>
          <w:tcPr>
            <w:tcW w:type="dxa" w:w="2592"/>
            <w:shd w:fill="F9FAFC"/>
            <w:tcMar>
              <w:top w:w="80" w:type="dxa"/>
              <w:bottom w:w="80" w:type="dxa"/>
              <w:left w:w="120" w:type="dxa"/>
              <w:right w:w="120" w:type="dxa"/>
            </w:tcMar>
          </w:tcPr>
          <w:p>
            <w:pPr>
              <w:spacing w:before="20" w:after="20"/>
              <w:jc w:val="left"/>
            </w:pPr>
            <w:r>
              <w:rPr>
                <w:rFonts w:ascii="Calibri" w:hAnsi="Calibri"/>
                <w:color w:val="333333"/>
                <w:sz w:val="18"/>
              </w:rPr>
              <w:t>service/schemas.py</w:t>
            </w:r>
          </w:p>
        </w:tc>
        <w:tc>
          <w:tcPr>
            <w:tcW w:type="dxa" w:w="5472"/>
            <w:shd w:fill="F9FAFC"/>
            <w:tcMar>
              <w:top w:w="80" w:type="dxa"/>
              <w:bottom w:w="80" w:type="dxa"/>
              <w:left w:w="120" w:type="dxa"/>
              <w:right w:w="120" w:type="dxa"/>
            </w:tcMar>
          </w:tcPr>
          <w:p>
            <w:pPr>
              <w:spacing w:before="20" w:after="20"/>
              <w:jc w:val="left"/>
            </w:pPr>
            <w:r>
              <w:rPr>
                <w:rFonts w:ascii="Calibri" w:hAnsi="Calibri"/>
                <w:color w:val="333333"/>
                <w:sz w:val="18"/>
              </w:rPr>
              <w:t>Pydantic v2 schemas validating openIMIS inputs, triage categories, and TreeSHAP responses.</w:t>
            </w:r>
          </w:p>
        </w:tc>
      </w:tr>
      <w:tr>
        <w:tc>
          <w:tcPr>
            <w:tcW w:type="dxa" w:w="2016"/>
            <w:shd w:fill="FFFFFF"/>
            <w:tcMar>
              <w:top w:w="80" w:type="dxa"/>
              <w:bottom w:w="80" w:type="dxa"/>
              <w:left w:w="120" w:type="dxa"/>
              <w:right w:w="120" w:type="dxa"/>
            </w:tcMar>
          </w:tcPr>
          <w:p>
            <w:pPr>
              <w:spacing w:before="20" w:after="20"/>
              <w:jc w:val="left"/>
            </w:pPr>
            <w:r>
              <w:rPr>
                <w:rFonts w:ascii="Calibri" w:hAnsi="Calibri"/>
                <w:color w:val="333333"/>
                <w:sz w:val="18"/>
              </w:rPr>
              <w:t>Feature Transformer</w:t>
            </w:r>
          </w:p>
        </w:tc>
        <w:tc>
          <w:tcPr>
            <w:tcW w:type="dxa" w:w="2592"/>
            <w:shd w:fill="FFFFFF"/>
            <w:tcMar>
              <w:top w:w="80" w:type="dxa"/>
              <w:bottom w:w="80" w:type="dxa"/>
              <w:left w:w="120" w:type="dxa"/>
              <w:right w:w="120" w:type="dxa"/>
            </w:tcMar>
          </w:tcPr>
          <w:p>
            <w:pPr>
              <w:spacing w:before="20" w:after="20"/>
              <w:jc w:val="left"/>
            </w:pPr>
            <w:r>
              <w:rPr>
                <w:rFonts w:ascii="Calibri" w:hAnsi="Calibri"/>
                <w:color w:val="333333"/>
                <w:sz w:val="18"/>
              </w:rPr>
              <w:t>service/transformer.py</w:t>
            </w:r>
          </w:p>
        </w:tc>
        <w:tc>
          <w:tcPr>
            <w:tcW w:type="dxa" w:w="5472"/>
            <w:shd w:fill="FFFFFF"/>
            <w:tcMar>
              <w:top w:w="80" w:type="dxa"/>
              <w:bottom w:w="80" w:type="dxa"/>
              <w:left w:w="120" w:type="dxa"/>
              <w:right w:w="120" w:type="dxa"/>
            </w:tcMar>
          </w:tcPr>
          <w:p>
            <w:pPr>
              <w:spacing w:before="20" w:after="20"/>
              <w:jc w:val="left"/>
            </w:pPr>
            <w:r>
              <w:rPr>
                <w:rFonts w:ascii="Calibri" w:hAnsi="Calibri"/>
                <w:color w:val="333333"/>
                <w:sz w:val="18"/>
              </w:rPr>
              <w:t>Converts natural openIMIS fields to 51 model features; derives stay length, fee ratios, and flags.</w:t>
            </w:r>
          </w:p>
        </w:tc>
      </w:tr>
      <w:tr>
        <w:tc>
          <w:tcPr>
            <w:tcW w:type="dxa" w:w="2016"/>
            <w:shd w:fill="F9FAFC"/>
            <w:tcMar>
              <w:top w:w="80" w:type="dxa"/>
              <w:bottom w:w="80" w:type="dxa"/>
              <w:left w:w="120" w:type="dxa"/>
              <w:right w:w="120" w:type="dxa"/>
            </w:tcMar>
          </w:tcPr>
          <w:p>
            <w:pPr>
              <w:spacing w:before="20" w:after="20"/>
              <w:jc w:val="left"/>
            </w:pPr>
            <w:r>
              <w:rPr>
                <w:rFonts w:ascii="Calibri" w:hAnsi="Calibri"/>
                <w:color w:val="333333"/>
                <w:sz w:val="18"/>
              </w:rPr>
              <w:t>Model Engine</w:t>
            </w:r>
          </w:p>
        </w:tc>
        <w:tc>
          <w:tcPr>
            <w:tcW w:type="dxa" w:w="2592"/>
            <w:shd w:fill="F9FAFC"/>
            <w:tcMar>
              <w:top w:w="80" w:type="dxa"/>
              <w:bottom w:w="80" w:type="dxa"/>
              <w:left w:w="120" w:type="dxa"/>
              <w:right w:w="120" w:type="dxa"/>
            </w:tcMar>
          </w:tcPr>
          <w:p>
            <w:pPr>
              <w:spacing w:before="20" w:after="20"/>
              <w:jc w:val="left"/>
            </w:pPr>
            <w:r>
              <w:rPr>
                <w:rFonts w:ascii="Calibri" w:hAnsi="Calibri"/>
                <w:color w:val="333333"/>
                <w:sz w:val="18"/>
              </w:rPr>
              <w:t>service/engine.py</w:t>
            </w:r>
          </w:p>
        </w:tc>
        <w:tc>
          <w:tcPr>
            <w:tcW w:type="dxa" w:w="5472"/>
            <w:shd w:fill="F9FAFC"/>
            <w:tcMar>
              <w:top w:w="80" w:type="dxa"/>
              <w:bottom w:w="80" w:type="dxa"/>
              <w:left w:w="120" w:type="dxa"/>
              <w:right w:w="120" w:type="dxa"/>
            </w:tcMar>
          </w:tcPr>
          <w:p>
            <w:pPr>
              <w:spacing w:before="20" w:after="20"/>
              <w:jc w:val="left"/>
            </w:pPr>
            <w:r>
              <w:rPr>
                <w:rFonts w:ascii="Calibri" w:hAnsi="Calibri"/>
                <w:color w:val="333333"/>
                <w:sz w:val="18"/>
              </w:rPr>
              <w:t>Singleton in-memory server for LightGBM Booster, feature schema, and Isotonic Calibrator.</w:t>
            </w:r>
          </w:p>
        </w:tc>
      </w:tr>
      <w:tr>
        <w:tc>
          <w:tcPr>
            <w:tcW w:type="dxa" w:w="2016"/>
            <w:shd w:fill="FFFFFF"/>
            <w:tcMar>
              <w:top w:w="80" w:type="dxa"/>
              <w:bottom w:w="80" w:type="dxa"/>
              <w:left w:w="120" w:type="dxa"/>
              <w:right w:w="120" w:type="dxa"/>
            </w:tcMar>
          </w:tcPr>
          <w:p>
            <w:pPr>
              <w:spacing w:before="20" w:after="20"/>
              <w:jc w:val="left"/>
            </w:pPr>
            <w:r>
              <w:rPr>
                <w:rFonts w:ascii="Calibri" w:hAnsi="Calibri"/>
                <w:color w:val="333333"/>
                <w:sz w:val="18"/>
              </w:rPr>
              <w:t>Explainability</w:t>
            </w:r>
          </w:p>
        </w:tc>
        <w:tc>
          <w:tcPr>
            <w:tcW w:type="dxa" w:w="2592"/>
            <w:shd w:fill="FFFFFF"/>
            <w:tcMar>
              <w:top w:w="80" w:type="dxa"/>
              <w:bottom w:w="80" w:type="dxa"/>
              <w:left w:w="120" w:type="dxa"/>
              <w:right w:w="120" w:type="dxa"/>
            </w:tcMar>
          </w:tcPr>
          <w:p>
            <w:pPr>
              <w:spacing w:before="20" w:after="20"/>
              <w:jc w:val="left"/>
            </w:pPr>
            <w:r>
              <w:rPr>
                <w:rFonts w:ascii="Calibri" w:hAnsi="Calibri"/>
                <w:color w:val="333333"/>
                <w:sz w:val="18"/>
              </w:rPr>
              <w:t>service/explainer.py</w:t>
            </w:r>
          </w:p>
        </w:tc>
        <w:tc>
          <w:tcPr>
            <w:tcW w:type="dxa" w:w="5472"/>
            <w:shd w:fill="FFFFFF"/>
            <w:tcMar>
              <w:top w:w="80" w:type="dxa"/>
              <w:bottom w:w="80" w:type="dxa"/>
              <w:left w:w="120" w:type="dxa"/>
              <w:right w:w="120" w:type="dxa"/>
            </w:tcMar>
          </w:tcPr>
          <w:p>
            <w:pPr>
              <w:spacing w:before="20" w:after="20"/>
              <w:jc w:val="left"/>
            </w:pPr>
            <w:r>
              <w:rPr>
                <w:rFonts w:ascii="Calibri" w:hAnsi="Calibri"/>
                <w:color w:val="333333"/>
                <w:sz w:val="18"/>
              </w:rPr>
              <w:t>Translates exact TreeSHAP math into actionable clinical and administrative rationale.</w:t>
            </w:r>
          </w:p>
        </w:tc>
      </w:tr>
      <w:tr>
        <w:tc>
          <w:tcPr>
            <w:tcW w:type="dxa" w:w="2016"/>
            <w:shd w:fill="F9FAFC"/>
            <w:tcMar>
              <w:top w:w="80" w:type="dxa"/>
              <w:bottom w:w="80" w:type="dxa"/>
              <w:left w:w="120" w:type="dxa"/>
              <w:right w:w="120" w:type="dxa"/>
            </w:tcMar>
          </w:tcPr>
          <w:p>
            <w:pPr>
              <w:spacing w:before="20" w:after="20"/>
              <w:jc w:val="left"/>
            </w:pPr>
            <w:r>
              <w:rPr>
                <w:rFonts w:ascii="Calibri" w:hAnsi="Calibri"/>
                <w:color w:val="333333"/>
                <w:sz w:val="18"/>
              </w:rPr>
              <w:t>FastAPI Application</w:t>
            </w:r>
          </w:p>
        </w:tc>
        <w:tc>
          <w:tcPr>
            <w:tcW w:type="dxa" w:w="2592"/>
            <w:shd w:fill="F9FAFC"/>
            <w:tcMar>
              <w:top w:w="80" w:type="dxa"/>
              <w:bottom w:w="80" w:type="dxa"/>
              <w:left w:w="120" w:type="dxa"/>
              <w:right w:w="120" w:type="dxa"/>
            </w:tcMar>
          </w:tcPr>
          <w:p>
            <w:pPr>
              <w:spacing w:before="20" w:after="20"/>
              <w:jc w:val="left"/>
            </w:pPr>
            <w:r>
              <w:rPr>
                <w:rFonts w:ascii="Calibri" w:hAnsi="Calibri"/>
                <w:color w:val="333333"/>
                <w:sz w:val="18"/>
              </w:rPr>
              <w:t>service/app.py</w:t>
            </w:r>
          </w:p>
        </w:tc>
        <w:tc>
          <w:tcPr>
            <w:tcW w:type="dxa" w:w="5472"/>
            <w:shd w:fill="F9FAFC"/>
            <w:tcMar>
              <w:top w:w="80" w:type="dxa"/>
              <w:bottom w:w="80" w:type="dxa"/>
              <w:left w:w="120" w:type="dxa"/>
              <w:right w:w="120" w:type="dxa"/>
            </w:tcMar>
          </w:tcPr>
          <w:p>
            <w:pPr>
              <w:spacing w:before="20" w:after="20"/>
              <w:jc w:val="left"/>
            </w:pPr>
            <w:r>
              <w:rPr>
                <w:rFonts w:ascii="Calibri" w:hAnsi="Calibri"/>
                <w:color w:val="333333"/>
                <w:sz w:val="18"/>
              </w:rPr>
              <w:t>Exposes REST endpoints (/predict/claim, /predict/features, /predict/batch, /health, /docs).</w:t>
            </w:r>
          </w:p>
        </w:tc>
      </w:tr>
      <w:tr>
        <w:tc>
          <w:tcPr>
            <w:tcW w:type="dxa" w:w="2016"/>
            <w:shd w:fill="FFFFFF"/>
            <w:tcMar>
              <w:top w:w="80" w:type="dxa"/>
              <w:bottom w:w="80" w:type="dxa"/>
              <w:left w:w="120" w:type="dxa"/>
              <w:right w:w="120" w:type="dxa"/>
            </w:tcMar>
          </w:tcPr>
          <w:p>
            <w:pPr>
              <w:spacing w:before="20" w:after="20"/>
              <w:jc w:val="left"/>
            </w:pPr>
            <w:r>
              <w:rPr>
                <w:rFonts w:ascii="Calibri" w:hAnsi="Calibri"/>
                <w:color w:val="333333"/>
                <w:sz w:val="18"/>
              </w:rPr>
              <w:t>Client Integration</w:t>
            </w:r>
          </w:p>
        </w:tc>
        <w:tc>
          <w:tcPr>
            <w:tcW w:type="dxa" w:w="2592"/>
            <w:shd w:fill="FFFFFF"/>
            <w:tcMar>
              <w:top w:w="80" w:type="dxa"/>
              <w:bottom w:w="80" w:type="dxa"/>
              <w:left w:w="120" w:type="dxa"/>
              <w:right w:w="120" w:type="dxa"/>
            </w:tcMar>
          </w:tcPr>
          <w:p>
            <w:pPr>
              <w:spacing w:before="20" w:after="20"/>
              <w:jc w:val="left"/>
            </w:pPr>
            <w:r>
              <w:rPr>
                <w:rFonts w:ascii="Calibri" w:hAnsi="Calibri"/>
                <w:color w:val="333333"/>
                <w:sz w:val="18"/>
              </w:rPr>
              <w:t>service/client_example.py</w:t>
            </w:r>
          </w:p>
        </w:tc>
        <w:tc>
          <w:tcPr>
            <w:tcW w:type="dxa" w:w="5472"/>
            <w:shd w:fill="FFFFFF"/>
            <w:tcMar>
              <w:top w:w="80" w:type="dxa"/>
              <w:bottom w:w="80" w:type="dxa"/>
              <w:left w:w="120" w:type="dxa"/>
              <w:right w:w="120" w:type="dxa"/>
            </w:tcMar>
          </w:tcPr>
          <w:p>
            <w:pPr>
              <w:spacing w:before="20" w:after="20"/>
              <w:jc w:val="left"/>
            </w:pPr>
            <w:r>
              <w:rPr>
                <w:rFonts w:ascii="Calibri" w:hAnsi="Calibri"/>
                <w:color w:val="333333"/>
                <w:sz w:val="18"/>
              </w:rPr>
              <w:t>Executable Python client demonstrating live openIMIS query evaluation and response parsing.</w:t>
            </w:r>
          </w:p>
        </w:tc>
      </w:tr>
      <w:tr>
        <w:tc>
          <w:tcPr>
            <w:tcW w:type="dxa" w:w="2016"/>
            <w:shd w:fill="F9FAFC"/>
            <w:tcMar>
              <w:top w:w="80" w:type="dxa"/>
              <w:bottom w:w="80" w:type="dxa"/>
              <w:left w:w="120" w:type="dxa"/>
              <w:right w:w="120" w:type="dxa"/>
            </w:tcMar>
          </w:tcPr>
          <w:p>
            <w:pPr>
              <w:spacing w:before="20" w:after="20"/>
              <w:jc w:val="left"/>
            </w:pPr>
            <w:r>
              <w:rPr>
                <w:rFonts w:ascii="Calibri" w:hAnsi="Calibri"/>
                <w:color w:val="333333"/>
                <w:sz w:val="18"/>
              </w:rPr>
              <w:t>Test Suite</w:t>
            </w:r>
          </w:p>
        </w:tc>
        <w:tc>
          <w:tcPr>
            <w:tcW w:type="dxa" w:w="2592"/>
            <w:shd w:fill="F9FAFC"/>
            <w:tcMar>
              <w:top w:w="80" w:type="dxa"/>
              <w:bottom w:w="80" w:type="dxa"/>
              <w:left w:w="120" w:type="dxa"/>
              <w:right w:w="120" w:type="dxa"/>
            </w:tcMar>
          </w:tcPr>
          <w:p>
            <w:pPr>
              <w:spacing w:before="20" w:after="20"/>
              <w:jc w:val="left"/>
            </w:pPr>
            <w:r>
              <w:rPr>
                <w:rFonts w:ascii="Calibri" w:hAnsi="Calibri"/>
                <w:color w:val="333333"/>
                <w:sz w:val="18"/>
              </w:rPr>
              <w:t>tests/test_service.py</w:t>
            </w:r>
          </w:p>
        </w:tc>
        <w:tc>
          <w:tcPr>
            <w:tcW w:type="dxa" w:w="5472"/>
            <w:shd w:fill="F9FAFC"/>
            <w:tcMar>
              <w:top w:w="80" w:type="dxa"/>
              <w:bottom w:w="80" w:type="dxa"/>
              <w:left w:w="120" w:type="dxa"/>
              <w:right w:w="120" w:type="dxa"/>
            </w:tcMar>
          </w:tcPr>
          <w:p>
            <w:pPr>
              <w:spacing w:before="20" w:after="20"/>
              <w:jc w:val="left"/>
            </w:pPr>
            <w:r>
              <w:rPr>
                <w:rFonts w:ascii="Calibri" w:hAnsi="Calibri"/>
                <w:color w:val="333333"/>
                <w:sz w:val="18"/>
              </w:rPr>
              <w:t>Comprehensive unit and integration tests (9 test suites executing in 0.27s with 100% pass rate).</w:t>
            </w:r>
          </w:p>
        </w:tc>
      </w:tr>
      <w:tr>
        <w:tc>
          <w:tcPr>
            <w:tcW w:type="dxa" w:w="2016"/>
            <w:shd w:fill="FFFFFF"/>
            <w:tcMar>
              <w:top w:w="80" w:type="dxa"/>
              <w:bottom w:w="80" w:type="dxa"/>
              <w:left w:w="120" w:type="dxa"/>
              <w:right w:w="120" w:type="dxa"/>
            </w:tcMar>
          </w:tcPr>
          <w:p>
            <w:pPr>
              <w:spacing w:before="20" w:after="20"/>
              <w:jc w:val="left"/>
            </w:pPr>
            <w:r>
              <w:rPr>
                <w:rFonts w:ascii="Calibri" w:hAnsi="Calibri"/>
                <w:color w:val="333333"/>
                <w:sz w:val="18"/>
              </w:rPr>
              <w:t>Containerization</w:t>
            </w:r>
          </w:p>
        </w:tc>
        <w:tc>
          <w:tcPr>
            <w:tcW w:type="dxa" w:w="2592"/>
            <w:shd w:fill="FFFFFF"/>
            <w:tcMar>
              <w:top w:w="80" w:type="dxa"/>
              <w:bottom w:w="80" w:type="dxa"/>
              <w:left w:w="120" w:type="dxa"/>
              <w:right w:w="120" w:type="dxa"/>
            </w:tcMar>
          </w:tcPr>
          <w:p>
            <w:pPr>
              <w:spacing w:before="20" w:after="20"/>
              <w:jc w:val="left"/>
            </w:pPr>
            <w:r>
              <w:rPr>
                <w:rFonts w:ascii="Calibri" w:hAnsi="Calibri"/>
                <w:color w:val="333333"/>
                <w:sz w:val="18"/>
              </w:rPr>
              <w:t>Dockerfile, docker-compose.yml</w:t>
            </w:r>
          </w:p>
        </w:tc>
        <w:tc>
          <w:tcPr>
            <w:tcW w:type="dxa" w:w="5472"/>
            <w:shd w:fill="FFFFFF"/>
            <w:tcMar>
              <w:top w:w="80" w:type="dxa"/>
              <w:bottom w:w="80" w:type="dxa"/>
              <w:left w:w="120" w:type="dxa"/>
              <w:right w:w="120" w:type="dxa"/>
            </w:tcMar>
          </w:tcPr>
          <w:p>
            <w:pPr>
              <w:spacing w:before="20" w:after="20"/>
              <w:jc w:val="left"/>
            </w:pPr>
            <w:r>
              <w:rPr>
                <w:rFonts w:ascii="Calibri" w:hAnsi="Calibri"/>
                <w:color w:val="333333"/>
                <w:sz w:val="18"/>
              </w:rPr>
              <w:t>Production container spec with automated curl healthcheck and multi-worker Uvicorn setup.</w:t>
            </w:r>
          </w:p>
        </w:tc>
      </w:tr>
    </w:tbl>
    <w:p>
      <w:pPr>
        <w:spacing w:after="120"/>
      </w:pPr>
    </w:p>
    <w:p>
      <w:pPr>
        <w:pStyle w:val="Heading1"/>
        <w:keepNext/>
        <w:spacing w:before="280" w:after="100"/>
      </w:pPr>
      <w:r>
        <w:rPr>
          <w:rFonts w:ascii="Calibri" w:hAnsi="Calibri"/>
          <w:b/>
          <w:color w:val="184C78"/>
          <w:sz w:val="32"/>
        </w:rPr>
        <w:t>2. How the Microservice Works (Step-by-Step Pipeline)</w:t>
      </w:r>
    </w:p>
    <w:p>
      <w:r>
        <w:t>When an external insurance software or openIMIS submits a claim, the microservice executes a five-stage synchronous pipeline in under 25 milliseconds:</w:t>
      </w:r>
    </w:p>
    <w:p>
      <w:pPr>
        <w:spacing w:before="40" w:after="60"/>
      </w:pPr>
      <w:r>
        <w:rPr>
          <w:rFonts w:ascii="Calibri" w:hAnsi="Calibri"/>
          <w:b/>
          <w:color w:val="184C78"/>
        </w:rPr>
        <w:t xml:space="preserve">• Step 1 — Ingestion &amp; Schema Validation: </w:t>
      </w:r>
      <w:r>
        <w:rPr>
          <w:rFonts w:ascii="Calibri" w:hAnsi="Calibri"/>
          <w:color w:val="333333"/>
        </w:rPr>
        <w:t>The REST API validates the incoming JSON payload against ClaimInput. Required fields include claimed amount, service start/end dates, care type (OPD/IPD), and facility ID. Optional fields (itemized drugs, tariffs, policy dates) default gracefully.</w:t>
      </w:r>
    </w:p>
    <w:p>
      <w:pPr>
        <w:spacing w:before="40" w:after="60"/>
      </w:pPr>
      <w:r>
        <w:rPr>
          <w:rFonts w:ascii="Calibri" w:hAnsi="Calibri"/>
          <w:b/>
          <w:color w:val="184C78"/>
        </w:rPr>
        <w:t xml:space="preserve">• Step 2 — Point-in-Time Transformation: </w:t>
      </w:r>
      <w:r>
        <w:rPr>
          <w:rFonts w:ascii="Calibri" w:hAnsi="Calibri"/>
          <w:color w:val="333333"/>
        </w:rPr>
        <w:t>The transformer computes derived financial ratios and durations: length of stay (CLM_los), daily expenditure (CLM_cost_per_day), tariff markup (CLM_vs_tariff_total), and point-in-time policy status (POL_days_to_expiry, FLAG_policy_expired). Categorical variables are sanitized against trained levels with automatic 'UNK' fallback.</w:t>
      </w:r>
    </w:p>
    <w:p>
      <w:pPr>
        <w:spacing w:before="40" w:after="60"/>
      </w:pPr>
      <w:r>
        <w:rPr>
          <w:rFonts w:ascii="Calibri" w:hAnsi="Calibri"/>
          <w:b/>
          <w:color w:val="184C78"/>
        </w:rPr>
        <w:t xml:space="preserve">• Step 3 — Ensemble Scoring &amp; Probability Calibration: </w:t>
      </w:r>
      <w:r>
        <w:rPr>
          <w:rFonts w:ascii="Calibri" w:hAnsi="Calibri"/>
          <w:color w:val="333333"/>
        </w:rPr>
        <w:t>The 51-feature vector is scored by 429 decision trees in LightGBM. The raw margin is then transformed by the fitted Isotonic Calibrator, converting raw tree outputs into true empirical statistical probabilities (0.0% to 100.0%).</w:t>
      </w:r>
    </w:p>
    <w:p>
      <w:pPr>
        <w:spacing w:before="40" w:after="60"/>
      </w:pPr>
      <w:r>
        <w:rPr>
          <w:rFonts w:ascii="Calibri" w:hAnsi="Calibri"/>
          <w:b/>
          <w:color w:val="184C78"/>
        </w:rPr>
        <w:t xml:space="preserve">• Step 4 — Real-Time TreeSHAP Attribution: </w:t>
      </w:r>
      <w:r>
        <w:rPr>
          <w:rFonts w:ascii="Calibri" w:hAnsi="Calibri"/>
          <w:color w:val="333333"/>
        </w:rPr>
        <w:t>Native LightGBM TreeSHAP (pred_contrib=True) evaluates exact feature paths in &lt; 2 ms. The explainer sorts the top risk-increasing drivers (e.g., expired policy, excessive fee markups) and top risk-reducing factors (e.g., high facility compliance history).</w:t>
      </w:r>
    </w:p>
    <w:p>
      <w:pPr>
        <w:spacing w:before="40" w:after="60"/>
      </w:pPr>
      <w:r>
        <w:rPr>
          <w:rFonts w:ascii="Calibri" w:hAnsi="Calibri"/>
          <w:b/>
          <w:color w:val="184C78"/>
        </w:rPr>
        <w:t xml:space="preserve">• Step 5 — Actionable Triage Categorization: </w:t>
      </w:r>
      <w:r>
        <w:rPr>
          <w:rFonts w:ascii="Calibri" w:hAnsi="Calibri"/>
          <w:color w:val="333333"/>
        </w:rPr>
        <w:t>The system assigns the claim to an operational queue based on calibrated risk and alert thresholds (CRITICAL, HIGH_RISK, MODERATE_RISK, or LOW_RISK), returning recommended adjudication actions.</w:t>
      </w:r>
    </w:p>
    <w:p>
      <w:pPr>
        <w:pStyle w:val="Heading1"/>
        <w:keepNext/>
        <w:spacing w:before="280" w:after="100"/>
      </w:pPr>
      <w:r>
        <w:rPr>
          <w:rFonts w:ascii="Calibri" w:hAnsi="Calibri"/>
          <w:b/>
          <w:color w:val="184C78"/>
          <w:sz w:val="32"/>
        </w:rPr>
        <w:t>3. How to Use the Microservice (Quick-Start Guide)</w:t>
      </w:r>
    </w:p>
    <w:p>
      <w:r>
        <w:t>The microservice is fully self-contained and can be launched immediately using either local Python or Docker containers.</w:t>
      </w:r>
    </w:p>
    <w:p>
      <w:pPr>
        <w:pStyle w:val="Heading2"/>
        <w:keepNext/>
        <w:spacing w:before="280" w:after="100"/>
      </w:pPr>
      <w:r>
        <w:rPr>
          <w:rFonts w:ascii="Calibri" w:hAnsi="Calibri"/>
          <w:b/>
          <w:color w:val="184C78"/>
          <w:sz w:val="26"/>
        </w:rPr>
        <w:t>3.1 Server Launch Commands</w:t>
      </w:r>
    </w:p>
    <w:p>
      <w:pPr>
        <w:spacing w:before="40" w:after="80"/>
      </w:pPr>
      <w:r>
        <w:rPr>
          <w:rFonts w:ascii="Consolas" w:hAnsi="Consolas"/>
          <w:color w:val="184C78"/>
          <w:sz w:val="19"/>
        </w:rPr>
        <w:t>Local Python:   uvicorn service.app:app --host 0.0.0.0 --port 8000 --reload</w:t>
        <w:br/>
        <w:t>Docker Compose: docker compose up --build -d</w:t>
        <w:br/>
        <w:t>API Docs URL:   http://localhost:8000/docs</w:t>
      </w:r>
    </w:p>
    <w:p>
      <w:pPr>
        <w:pStyle w:val="Heading2"/>
        <w:keepNext/>
        <w:spacing w:before="280" w:after="100"/>
      </w:pPr>
      <w:r>
        <w:rPr>
          <w:rFonts w:ascii="Calibri" w:hAnsi="Calibri"/>
          <w:b/>
          <w:color w:val="184C78"/>
          <w:sz w:val="26"/>
        </w:rPr>
        <w:t>3.2 API Endpoint Directory</w:t>
      </w:r>
    </w:p>
    <w:tbl>
      <w:tblPr>
        <w:tblW w:type="auto" w:w="0"/>
        <w:jc w:val="center"/>
        <w:tblLook w:firstColumn="1" w:firstRow="1" w:lastColumn="0" w:lastRow="0" w:noHBand="0" w:noVBand="1" w:val="04A0"/>
      </w:tblPr>
      <w:tblGrid>
        <w:gridCol w:w="3360"/>
        <w:gridCol w:w="3360"/>
        <w:gridCol w:w="3360"/>
      </w:tblGrid>
      <w:tr>
        <w:trPr>
          <w:tblHeader/>
        </w:trPr>
        <w:tc>
          <w:tcPr>
            <w:tcW w:type="dxa" w:w="1440"/>
            <w:shd w:fill="184C78"/>
            <w:tcMar>
              <w:top w:w="100" w:type="dxa"/>
              <w:bottom w:w="100" w:type="dxa"/>
              <w:left w:w="120" w:type="dxa"/>
              <w:right w:w="120" w:type="dxa"/>
            </w:tcMar>
          </w:tcPr>
          <w:p>
            <w:pPr>
              <w:spacing w:before="40" w:after="40"/>
              <w:jc w:val="left"/>
            </w:pPr>
            <w:r>
              <w:rPr>
                <w:rFonts w:ascii="Calibri" w:hAnsi="Calibri"/>
                <w:b/>
                <w:color w:val="FFFFFF"/>
                <w:sz w:val="19"/>
              </w:rPr>
              <w:t>Method</w:t>
            </w:r>
          </w:p>
        </w:tc>
        <w:tc>
          <w:tcPr>
            <w:tcW w:type="dxa" w:w="3168"/>
            <w:shd w:fill="184C78"/>
            <w:tcMar>
              <w:top w:w="100" w:type="dxa"/>
              <w:bottom w:w="100" w:type="dxa"/>
              <w:left w:w="120" w:type="dxa"/>
              <w:right w:w="120" w:type="dxa"/>
            </w:tcMar>
          </w:tcPr>
          <w:p>
            <w:pPr>
              <w:spacing w:before="40" w:after="40"/>
              <w:jc w:val="left"/>
            </w:pPr>
            <w:r>
              <w:rPr>
                <w:rFonts w:ascii="Calibri" w:hAnsi="Calibri"/>
                <w:b/>
                <w:color w:val="FFFFFF"/>
                <w:sz w:val="19"/>
              </w:rPr>
              <w:t>Endpoint Path</w:t>
            </w:r>
          </w:p>
        </w:tc>
        <w:tc>
          <w:tcPr>
            <w:tcW w:type="dxa" w:w="5472"/>
            <w:shd w:fill="184C78"/>
            <w:tcMar>
              <w:top w:w="100" w:type="dxa"/>
              <w:bottom w:w="100" w:type="dxa"/>
              <w:left w:w="120" w:type="dxa"/>
              <w:right w:w="120" w:type="dxa"/>
            </w:tcMar>
          </w:tcPr>
          <w:p>
            <w:pPr>
              <w:spacing w:before="40" w:after="40"/>
              <w:jc w:val="left"/>
            </w:pPr>
            <w:r>
              <w:rPr>
                <w:rFonts w:ascii="Calibri" w:hAnsi="Calibri"/>
                <w:b/>
                <w:color w:val="FFFFFF"/>
                <w:sz w:val="19"/>
              </w:rPr>
              <w:t>Purpose &amp; Primary Use Case</w:t>
            </w:r>
          </w:p>
        </w:tc>
      </w:tr>
      <w:tr>
        <w:tc>
          <w:tcPr>
            <w:tcW w:type="dxa" w:w="1440"/>
            <w:shd w:fill="FFFFFF"/>
            <w:tcMar>
              <w:top w:w="80" w:type="dxa"/>
              <w:bottom w:w="80" w:type="dxa"/>
              <w:left w:w="120" w:type="dxa"/>
              <w:right w:w="120" w:type="dxa"/>
            </w:tcMar>
          </w:tcPr>
          <w:p>
            <w:pPr>
              <w:spacing w:before="20" w:after="20"/>
              <w:jc w:val="left"/>
            </w:pPr>
            <w:r>
              <w:rPr>
                <w:rFonts w:ascii="Calibri" w:hAnsi="Calibri"/>
                <w:color w:val="333333"/>
                <w:sz w:val="18"/>
              </w:rPr>
              <w:t>GET</w:t>
            </w:r>
          </w:p>
        </w:tc>
        <w:tc>
          <w:tcPr>
            <w:tcW w:type="dxa" w:w="3168"/>
            <w:shd w:fill="FFFFFF"/>
            <w:tcMar>
              <w:top w:w="80" w:type="dxa"/>
              <w:bottom w:w="80" w:type="dxa"/>
              <w:left w:w="120" w:type="dxa"/>
              <w:right w:w="120" w:type="dxa"/>
            </w:tcMar>
          </w:tcPr>
          <w:p>
            <w:pPr>
              <w:spacing w:before="20" w:after="20"/>
              <w:jc w:val="left"/>
            </w:pPr>
            <w:r>
              <w:rPr>
                <w:rFonts w:ascii="Calibri" w:hAnsi="Calibri"/>
                <w:color w:val="333333"/>
                <w:sz w:val="18"/>
              </w:rPr>
              <w:t>/</w:t>
            </w:r>
          </w:p>
        </w:tc>
        <w:tc>
          <w:tcPr>
            <w:tcW w:type="dxa" w:w="5472"/>
            <w:shd w:fill="FFFFFF"/>
            <w:tcMar>
              <w:top w:w="80" w:type="dxa"/>
              <w:bottom w:w="80" w:type="dxa"/>
              <w:left w:w="120" w:type="dxa"/>
              <w:right w:w="120" w:type="dxa"/>
            </w:tcMar>
          </w:tcPr>
          <w:p>
            <w:pPr>
              <w:spacing w:before="20" w:after="20"/>
              <w:jc w:val="left"/>
            </w:pPr>
            <w:r>
              <w:rPr>
                <w:rFonts w:ascii="Calibri" w:hAnsi="Calibri"/>
                <w:color w:val="333333"/>
                <w:sz w:val="18"/>
              </w:rPr>
              <w:t>Service metadata, operational status, and documentation links.</w:t>
            </w:r>
          </w:p>
        </w:tc>
      </w:tr>
      <w:tr>
        <w:tc>
          <w:tcPr>
            <w:tcW w:type="dxa" w:w="1440"/>
            <w:shd w:fill="F9FAFC"/>
            <w:tcMar>
              <w:top w:w="80" w:type="dxa"/>
              <w:bottom w:w="80" w:type="dxa"/>
              <w:left w:w="120" w:type="dxa"/>
              <w:right w:w="120" w:type="dxa"/>
            </w:tcMar>
          </w:tcPr>
          <w:p>
            <w:pPr>
              <w:spacing w:before="20" w:after="20"/>
              <w:jc w:val="left"/>
            </w:pPr>
            <w:r>
              <w:rPr>
                <w:rFonts w:ascii="Calibri" w:hAnsi="Calibri"/>
                <w:color w:val="333333"/>
                <w:sz w:val="18"/>
              </w:rPr>
              <w:t>GET</w:t>
            </w:r>
          </w:p>
        </w:tc>
        <w:tc>
          <w:tcPr>
            <w:tcW w:type="dxa" w:w="3168"/>
            <w:shd w:fill="F9FAFC"/>
            <w:tcMar>
              <w:top w:w="80" w:type="dxa"/>
              <w:bottom w:w="80" w:type="dxa"/>
              <w:left w:w="120" w:type="dxa"/>
              <w:right w:w="120" w:type="dxa"/>
            </w:tcMar>
          </w:tcPr>
          <w:p>
            <w:pPr>
              <w:spacing w:before="20" w:after="20"/>
              <w:jc w:val="left"/>
            </w:pPr>
            <w:r>
              <w:rPr>
                <w:rFonts w:ascii="Calibri" w:hAnsi="Calibri"/>
                <w:color w:val="333333"/>
                <w:sz w:val="18"/>
              </w:rPr>
              <w:t>/health</w:t>
            </w:r>
          </w:p>
        </w:tc>
        <w:tc>
          <w:tcPr>
            <w:tcW w:type="dxa" w:w="5472"/>
            <w:shd w:fill="F9FAFC"/>
            <w:tcMar>
              <w:top w:w="80" w:type="dxa"/>
              <w:bottom w:w="80" w:type="dxa"/>
              <w:left w:w="120" w:type="dxa"/>
              <w:right w:w="120" w:type="dxa"/>
            </w:tcMar>
          </w:tcPr>
          <w:p>
            <w:pPr>
              <w:spacing w:before="20" w:after="20"/>
              <w:jc w:val="left"/>
            </w:pPr>
            <w:r>
              <w:rPr>
                <w:rFonts w:ascii="Calibri" w:hAnsi="Calibri"/>
                <w:color w:val="333333"/>
                <w:sz w:val="18"/>
              </w:rPr>
              <w:t>Healthcheck endpoint reporting model status, ROC-AUC, and feature counts.</w:t>
            </w:r>
          </w:p>
        </w:tc>
      </w:tr>
      <w:tr>
        <w:tc>
          <w:tcPr>
            <w:tcW w:type="dxa" w:w="1440"/>
            <w:shd w:fill="FFFFFF"/>
            <w:tcMar>
              <w:top w:w="80" w:type="dxa"/>
              <w:bottom w:w="80" w:type="dxa"/>
              <w:left w:w="120" w:type="dxa"/>
              <w:right w:w="120" w:type="dxa"/>
            </w:tcMar>
          </w:tcPr>
          <w:p>
            <w:pPr>
              <w:spacing w:before="20" w:after="20"/>
              <w:jc w:val="left"/>
            </w:pPr>
            <w:r>
              <w:rPr>
                <w:rFonts w:ascii="Calibri" w:hAnsi="Calibri"/>
                <w:color w:val="333333"/>
                <w:sz w:val="18"/>
              </w:rPr>
              <w:t>GET</w:t>
            </w:r>
          </w:p>
        </w:tc>
        <w:tc>
          <w:tcPr>
            <w:tcW w:type="dxa" w:w="3168"/>
            <w:shd w:fill="FFFFFF"/>
            <w:tcMar>
              <w:top w:w="80" w:type="dxa"/>
              <w:bottom w:w="80" w:type="dxa"/>
              <w:left w:w="120" w:type="dxa"/>
              <w:right w:w="120" w:type="dxa"/>
            </w:tcMar>
          </w:tcPr>
          <w:p>
            <w:pPr>
              <w:spacing w:before="20" w:after="20"/>
              <w:jc w:val="left"/>
            </w:pPr>
            <w:r>
              <w:rPr>
                <w:rFonts w:ascii="Calibri" w:hAnsi="Calibri"/>
                <w:color w:val="333333"/>
                <w:sz w:val="18"/>
              </w:rPr>
              <w:t>/api/v1/schema</w:t>
            </w:r>
          </w:p>
        </w:tc>
        <w:tc>
          <w:tcPr>
            <w:tcW w:type="dxa" w:w="5472"/>
            <w:shd w:fill="FFFFFF"/>
            <w:tcMar>
              <w:top w:w="80" w:type="dxa"/>
              <w:bottom w:w="80" w:type="dxa"/>
              <w:left w:w="120" w:type="dxa"/>
              <w:right w:w="120" w:type="dxa"/>
            </w:tcMar>
          </w:tcPr>
          <w:p>
            <w:pPr>
              <w:spacing w:before="20" w:after="20"/>
              <w:jc w:val="left"/>
            </w:pPr>
            <w:r>
              <w:rPr>
                <w:rFonts w:ascii="Calibri" w:hAnsi="Calibri"/>
                <w:color w:val="333333"/>
                <w:sz w:val="18"/>
              </w:rPr>
              <w:t>Schema catalog of all 51 features, categorical domains, and alert cutoffs.</w:t>
            </w:r>
          </w:p>
        </w:tc>
      </w:tr>
      <w:tr>
        <w:tc>
          <w:tcPr>
            <w:tcW w:type="dxa" w:w="1440"/>
            <w:shd w:fill="F9FAFC"/>
            <w:tcMar>
              <w:top w:w="80" w:type="dxa"/>
              <w:bottom w:w="80" w:type="dxa"/>
              <w:left w:w="120" w:type="dxa"/>
              <w:right w:w="120" w:type="dxa"/>
            </w:tcMar>
          </w:tcPr>
          <w:p>
            <w:pPr>
              <w:spacing w:before="20" w:after="20"/>
              <w:jc w:val="left"/>
            </w:pPr>
            <w:r>
              <w:rPr>
                <w:rFonts w:ascii="Calibri" w:hAnsi="Calibri"/>
                <w:color w:val="333333"/>
                <w:sz w:val="18"/>
              </w:rPr>
              <w:t>POST</w:t>
            </w:r>
          </w:p>
        </w:tc>
        <w:tc>
          <w:tcPr>
            <w:tcW w:type="dxa" w:w="3168"/>
            <w:shd w:fill="F9FAFC"/>
            <w:tcMar>
              <w:top w:w="80" w:type="dxa"/>
              <w:bottom w:w="80" w:type="dxa"/>
              <w:left w:w="120" w:type="dxa"/>
              <w:right w:w="120" w:type="dxa"/>
            </w:tcMar>
          </w:tcPr>
          <w:p>
            <w:pPr>
              <w:spacing w:before="20" w:after="20"/>
              <w:jc w:val="left"/>
            </w:pPr>
            <w:r>
              <w:rPr>
                <w:rFonts w:ascii="Calibri" w:hAnsi="Calibri"/>
                <w:color w:val="333333"/>
                <w:sz w:val="18"/>
              </w:rPr>
              <w:t>/api/v1/predict/claim</w:t>
            </w:r>
          </w:p>
        </w:tc>
        <w:tc>
          <w:tcPr>
            <w:tcW w:type="dxa" w:w="5472"/>
            <w:shd w:fill="F9FAFC"/>
            <w:tcMar>
              <w:top w:w="80" w:type="dxa"/>
              <w:bottom w:w="80" w:type="dxa"/>
              <w:left w:w="120" w:type="dxa"/>
              <w:right w:w="120" w:type="dxa"/>
            </w:tcMar>
          </w:tcPr>
          <w:p>
            <w:pPr>
              <w:spacing w:before="20" w:after="20"/>
              <w:jc w:val="left"/>
            </w:pPr>
            <w:r>
              <w:rPr>
                <w:rFonts w:ascii="Calibri" w:hAnsi="Calibri"/>
                <w:color w:val="333333"/>
                <w:sz w:val="18"/>
              </w:rPr>
              <w:t>Primary openIMIS endpoint: scores standard claim records and returns SHAP.</w:t>
            </w:r>
          </w:p>
        </w:tc>
      </w:tr>
      <w:tr>
        <w:tc>
          <w:tcPr>
            <w:tcW w:type="dxa" w:w="1440"/>
            <w:shd w:fill="FFFFFF"/>
            <w:tcMar>
              <w:top w:w="80" w:type="dxa"/>
              <w:bottom w:w="80" w:type="dxa"/>
              <w:left w:w="120" w:type="dxa"/>
              <w:right w:w="120" w:type="dxa"/>
            </w:tcMar>
          </w:tcPr>
          <w:p>
            <w:pPr>
              <w:spacing w:before="20" w:after="20"/>
              <w:jc w:val="left"/>
            </w:pPr>
            <w:r>
              <w:rPr>
                <w:rFonts w:ascii="Calibri" w:hAnsi="Calibri"/>
                <w:color w:val="333333"/>
                <w:sz w:val="18"/>
              </w:rPr>
              <w:t>POST</w:t>
            </w:r>
          </w:p>
        </w:tc>
        <w:tc>
          <w:tcPr>
            <w:tcW w:type="dxa" w:w="3168"/>
            <w:shd w:fill="FFFFFF"/>
            <w:tcMar>
              <w:top w:w="80" w:type="dxa"/>
              <w:bottom w:w="80" w:type="dxa"/>
              <w:left w:w="120" w:type="dxa"/>
              <w:right w:w="120" w:type="dxa"/>
            </w:tcMar>
          </w:tcPr>
          <w:p>
            <w:pPr>
              <w:spacing w:before="20" w:after="20"/>
              <w:jc w:val="left"/>
            </w:pPr>
            <w:r>
              <w:rPr>
                <w:rFonts w:ascii="Calibri" w:hAnsi="Calibri"/>
                <w:color w:val="333333"/>
                <w:sz w:val="18"/>
              </w:rPr>
              <w:t>/api/v1/predict/features</w:t>
            </w:r>
          </w:p>
        </w:tc>
        <w:tc>
          <w:tcPr>
            <w:tcW w:type="dxa" w:w="5472"/>
            <w:shd w:fill="FFFFFF"/>
            <w:tcMar>
              <w:top w:w="80" w:type="dxa"/>
              <w:bottom w:w="80" w:type="dxa"/>
              <w:left w:w="120" w:type="dxa"/>
              <w:right w:w="120" w:type="dxa"/>
            </w:tcMar>
          </w:tcPr>
          <w:p>
            <w:pPr>
              <w:spacing w:before="20" w:after="20"/>
              <w:jc w:val="left"/>
            </w:pPr>
            <w:r>
              <w:rPr>
                <w:rFonts w:ascii="Calibri" w:hAnsi="Calibri"/>
                <w:color w:val="333333"/>
                <w:sz w:val="18"/>
              </w:rPr>
              <w:t>Low-level endpoint: accepts pre-computed 51-feature vectors.</w:t>
            </w:r>
          </w:p>
        </w:tc>
      </w:tr>
      <w:tr>
        <w:tc>
          <w:tcPr>
            <w:tcW w:type="dxa" w:w="1440"/>
            <w:shd w:fill="F9FAFC"/>
            <w:tcMar>
              <w:top w:w="80" w:type="dxa"/>
              <w:bottom w:w="80" w:type="dxa"/>
              <w:left w:w="120" w:type="dxa"/>
              <w:right w:w="120" w:type="dxa"/>
            </w:tcMar>
          </w:tcPr>
          <w:p>
            <w:pPr>
              <w:spacing w:before="20" w:after="20"/>
              <w:jc w:val="left"/>
            </w:pPr>
            <w:r>
              <w:rPr>
                <w:rFonts w:ascii="Calibri" w:hAnsi="Calibri"/>
                <w:color w:val="333333"/>
                <w:sz w:val="18"/>
              </w:rPr>
              <w:t>POST</w:t>
            </w:r>
          </w:p>
        </w:tc>
        <w:tc>
          <w:tcPr>
            <w:tcW w:type="dxa" w:w="3168"/>
            <w:shd w:fill="F9FAFC"/>
            <w:tcMar>
              <w:top w:w="80" w:type="dxa"/>
              <w:bottom w:w="80" w:type="dxa"/>
              <w:left w:w="120" w:type="dxa"/>
              <w:right w:w="120" w:type="dxa"/>
            </w:tcMar>
          </w:tcPr>
          <w:p>
            <w:pPr>
              <w:spacing w:before="20" w:after="20"/>
              <w:jc w:val="left"/>
            </w:pPr>
            <w:r>
              <w:rPr>
                <w:rFonts w:ascii="Calibri" w:hAnsi="Calibri"/>
                <w:color w:val="333333"/>
                <w:sz w:val="18"/>
              </w:rPr>
              <w:t>/api/v1/predict/batch</w:t>
            </w:r>
          </w:p>
        </w:tc>
        <w:tc>
          <w:tcPr>
            <w:tcW w:type="dxa" w:w="5472"/>
            <w:shd w:fill="F9FAFC"/>
            <w:tcMar>
              <w:top w:w="80" w:type="dxa"/>
              <w:bottom w:w="80" w:type="dxa"/>
              <w:left w:w="120" w:type="dxa"/>
              <w:right w:w="120" w:type="dxa"/>
            </w:tcMar>
          </w:tcPr>
          <w:p>
            <w:pPr>
              <w:spacing w:before="20" w:after="20"/>
              <w:jc w:val="left"/>
            </w:pPr>
            <w:r>
              <w:rPr>
                <w:rFonts w:ascii="Calibri" w:hAnsi="Calibri"/>
                <w:color w:val="333333"/>
                <w:sz w:val="18"/>
              </w:rPr>
              <w:t>Batch endpoint: evaluates up to thousands of claims in a single call.</w:t>
            </w:r>
          </w:p>
        </w:tc>
      </w:tr>
    </w:tbl>
    <w:p>
      <w:pPr>
        <w:spacing w:after="120"/>
      </w:pPr>
    </w:p>
    <w:p>
      <w:pPr>
        <w:pStyle w:val="Heading2"/>
        <w:keepNext/>
        <w:spacing w:before="280" w:after="100"/>
      </w:pPr>
      <w:r>
        <w:rPr>
          <w:rFonts w:ascii="Calibri" w:hAnsi="Calibri"/>
          <w:b/>
          <w:color w:val="184C78"/>
          <w:sz w:val="26"/>
        </w:rPr>
        <w:t>3.3 Triage Decision Tiers</w:t>
      </w:r>
    </w:p>
    <w:tbl>
      <w:tblPr>
        <w:tblW w:type="auto" w:w="0"/>
        <w:jc w:val="center"/>
        <w:tblLook w:firstColumn="1" w:firstRow="1" w:lastColumn="0" w:lastRow="0" w:noHBand="0" w:noVBand="1" w:val="04A0"/>
      </w:tblPr>
      <w:tblGrid>
        <w:gridCol w:w="3360"/>
        <w:gridCol w:w="3360"/>
        <w:gridCol w:w="3360"/>
      </w:tblGrid>
      <w:tr>
        <w:trPr>
          <w:tblHeader/>
        </w:trPr>
        <w:tc>
          <w:tcPr>
            <w:tcW w:type="dxa" w:w="2160"/>
            <w:shd w:fill="184C78"/>
            <w:tcMar>
              <w:top w:w="100" w:type="dxa"/>
              <w:bottom w:w="100" w:type="dxa"/>
              <w:left w:w="120" w:type="dxa"/>
              <w:right w:w="120" w:type="dxa"/>
            </w:tcMar>
          </w:tcPr>
          <w:p>
            <w:pPr>
              <w:spacing w:before="40" w:after="40"/>
              <w:jc w:val="left"/>
            </w:pPr>
            <w:r>
              <w:rPr>
                <w:rFonts w:ascii="Calibri" w:hAnsi="Calibri"/>
                <w:b/>
                <w:color w:val="FFFFFF"/>
                <w:sz w:val="19"/>
              </w:rPr>
              <w:t>Risk Tier</w:t>
            </w:r>
          </w:p>
        </w:tc>
        <w:tc>
          <w:tcPr>
            <w:tcW w:type="dxa" w:w="2592"/>
            <w:shd w:fill="184C78"/>
            <w:tcMar>
              <w:top w:w="100" w:type="dxa"/>
              <w:bottom w:w="100" w:type="dxa"/>
              <w:left w:w="120" w:type="dxa"/>
              <w:right w:w="120" w:type="dxa"/>
            </w:tcMar>
          </w:tcPr>
          <w:p>
            <w:pPr>
              <w:spacing w:before="40" w:after="40"/>
              <w:jc w:val="left"/>
            </w:pPr>
            <w:r>
              <w:rPr>
                <w:rFonts w:ascii="Calibri" w:hAnsi="Calibri"/>
                <w:b/>
                <w:color w:val="FFFFFF"/>
                <w:sz w:val="19"/>
              </w:rPr>
              <w:t>Score Range</w:t>
            </w:r>
          </w:p>
        </w:tc>
        <w:tc>
          <w:tcPr>
            <w:tcW w:type="dxa" w:w="5328"/>
            <w:shd w:fill="184C78"/>
            <w:tcMar>
              <w:top w:w="100" w:type="dxa"/>
              <w:bottom w:w="100" w:type="dxa"/>
              <w:left w:w="120" w:type="dxa"/>
              <w:right w:w="120" w:type="dxa"/>
            </w:tcMar>
          </w:tcPr>
          <w:p>
            <w:pPr>
              <w:spacing w:before="40" w:after="40"/>
              <w:jc w:val="left"/>
            </w:pPr>
            <w:r>
              <w:rPr>
                <w:rFonts w:ascii="Calibri" w:hAnsi="Calibri"/>
                <w:b/>
                <w:color w:val="FFFFFF"/>
                <w:sz w:val="19"/>
              </w:rPr>
              <w:t>Adjudication Queue Action</w:t>
            </w:r>
          </w:p>
        </w:tc>
      </w:tr>
      <w:tr>
        <w:tc>
          <w:tcPr>
            <w:tcW w:type="dxa" w:w="2160"/>
            <w:shd w:fill="FFFFFF"/>
            <w:tcMar>
              <w:top w:w="80" w:type="dxa"/>
              <w:bottom w:w="80" w:type="dxa"/>
              <w:left w:w="120" w:type="dxa"/>
              <w:right w:w="120" w:type="dxa"/>
            </w:tcMar>
          </w:tcPr>
          <w:p>
            <w:pPr>
              <w:spacing w:before="20" w:after="20"/>
              <w:jc w:val="left"/>
            </w:pPr>
            <w:r>
              <w:rPr>
                <w:rFonts w:ascii="Calibri" w:hAnsi="Calibri"/>
                <w:color w:val="333333"/>
                <w:sz w:val="18"/>
              </w:rPr>
              <w:t>CRITICAL</w:t>
            </w:r>
          </w:p>
        </w:tc>
        <w:tc>
          <w:tcPr>
            <w:tcW w:type="dxa" w:w="2592"/>
            <w:shd w:fill="FFFFFF"/>
            <w:tcMar>
              <w:top w:w="80" w:type="dxa"/>
              <w:bottom w:w="80" w:type="dxa"/>
              <w:left w:w="120" w:type="dxa"/>
              <w:right w:w="120" w:type="dxa"/>
            </w:tcMar>
          </w:tcPr>
          <w:p>
            <w:pPr>
              <w:spacing w:before="20" w:after="20"/>
              <w:jc w:val="left"/>
            </w:pPr>
            <w:r>
              <w:rPr>
                <w:rFonts w:ascii="Calibri" w:hAnsi="Calibri"/>
                <w:color w:val="333333"/>
                <w:sz w:val="18"/>
              </w:rPr>
              <w:t>Score &gt;= 95%</w:t>
            </w:r>
          </w:p>
        </w:tc>
        <w:tc>
          <w:tcPr>
            <w:tcW w:type="dxa" w:w="5328"/>
            <w:shd w:fill="FFFFFF"/>
            <w:tcMar>
              <w:top w:w="80" w:type="dxa"/>
              <w:bottom w:w="80" w:type="dxa"/>
              <w:left w:w="120" w:type="dxa"/>
              <w:right w:w="120" w:type="dxa"/>
            </w:tcMar>
          </w:tcPr>
          <w:p>
            <w:pPr>
              <w:spacing w:before="20" w:after="20"/>
              <w:jc w:val="left"/>
            </w:pPr>
            <w:r>
              <w:rPr>
                <w:rFonts w:ascii="Calibri" w:hAnsi="Calibri"/>
                <w:color w:val="333333"/>
                <w:sz w:val="18"/>
              </w:rPr>
              <w:t>HIGH-PRIORITY AUDIT: Freeze payment; mandatory forensic review for potential fraud/invalidation.</w:t>
            </w:r>
          </w:p>
        </w:tc>
      </w:tr>
      <w:tr>
        <w:tc>
          <w:tcPr>
            <w:tcW w:type="dxa" w:w="2160"/>
            <w:shd w:fill="F9FAFC"/>
            <w:tcMar>
              <w:top w:w="80" w:type="dxa"/>
              <w:bottom w:w="80" w:type="dxa"/>
              <w:left w:w="120" w:type="dxa"/>
              <w:right w:w="120" w:type="dxa"/>
            </w:tcMar>
          </w:tcPr>
          <w:p>
            <w:pPr>
              <w:spacing w:before="20" w:after="20"/>
              <w:jc w:val="left"/>
            </w:pPr>
            <w:r>
              <w:rPr>
                <w:rFonts w:ascii="Calibri" w:hAnsi="Calibri"/>
                <w:color w:val="333333"/>
                <w:sz w:val="18"/>
              </w:rPr>
              <w:t>HIGH_RISK</w:t>
            </w:r>
          </w:p>
        </w:tc>
        <w:tc>
          <w:tcPr>
            <w:tcW w:type="dxa" w:w="2592"/>
            <w:shd w:fill="F9FAFC"/>
            <w:tcMar>
              <w:top w:w="80" w:type="dxa"/>
              <w:bottom w:w="80" w:type="dxa"/>
              <w:left w:w="120" w:type="dxa"/>
              <w:right w:w="120" w:type="dxa"/>
            </w:tcMar>
          </w:tcPr>
          <w:p>
            <w:pPr>
              <w:spacing w:before="20" w:after="20"/>
              <w:jc w:val="left"/>
            </w:pPr>
            <w:r>
              <w:rPr>
                <w:rFonts w:ascii="Calibri" w:hAnsi="Calibri"/>
                <w:color w:val="333333"/>
                <w:sz w:val="18"/>
              </w:rPr>
              <w:t>Score &gt;= 87.51%</w:t>
            </w:r>
          </w:p>
        </w:tc>
        <w:tc>
          <w:tcPr>
            <w:tcW w:type="dxa" w:w="5328"/>
            <w:shd w:fill="F9FAFC"/>
            <w:tcMar>
              <w:top w:w="80" w:type="dxa"/>
              <w:bottom w:w="80" w:type="dxa"/>
              <w:left w:w="120" w:type="dxa"/>
              <w:right w:w="120" w:type="dxa"/>
            </w:tcMar>
          </w:tcPr>
          <w:p>
            <w:pPr>
              <w:spacing w:before="20" w:after="20"/>
              <w:jc w:val="left"/>
            </w:pPr>
            <w:r>
              <w:rPr>
                <w:rFonts w:ascii="Calibri" w:hAnsi="Calibri"/>
                <w:color w:val="333333"/>
                <w:sz w:val="18"/>
              </w:rPr>
              <w:t>ALERT: Route claim to medical adjudication queue for manual eligibility/tariff inspection.</w:t>
            </w:r>
          </w:p>
        </w:tc>
      </w:tr>
      <w:tr>
        <w:tc>
          <w:tcPr>
            <w:tcW w:type="dxa" w:w="2160"/>
            <w:shd w:fill="FFFFFF"/>
            <w:tcMar>
              <w:top w:w="80" w:type="dxa"/>
              <w:bottom w:w="80" w:type="dxa"/>
              <w:left w:w="120" w:type="dxa"/>
              <w:right w:w="120" w:type="dxa"/>
            </w:tcMar>
          </w:tcPr>
          <w:p>
            <w:pPr>
              <w:spacing w:before="20" w:after="20"/>
              <w:jc w:val="left"/>
            </w:pPr>
            <w:r>
              <w:rPr>
                <w:rFonts w:ascii="Calibri" w:hAnsi="Calibri"/>
                <w:color w:val="333333"/>
                <w:sz w:val="18"/>
              </w:rPr>
              <w:t>MODERATE_RISK</w:t>
            </w:r>
          </w:p>
        </w:tc>
        <w:tc>
          <w:tcPr>
            <w:tcW w:type="dxa" w:w="2592"/>
            <w:shd w:fill="FFFFFF"/>
            <w:tcMar>
              <w:top w:w="80" w:type="dxa"/>
              <w:bottom w:w="80" w:type="dxa"/>
              <w:left w:w="120" w:type="dxa"/>
              <w:right w:w="120" w:type="dxa"/>
            </w:tcMar>
          </w:tcPr>
          <w:p>
            <w:pPr>
              <w:spacing w:before="20" w:after="20"/>
              <w:jc w:val="left"/>
            </w:pPr>
            <w:r>
              <w:rPr>
                <w:rFonts w:ascii="Calibri" w:hAnsi="Calibri"/>
                <w:color w:val="333333"/>
                <w:sz w:val="18"/>
              </w:rPr>
              <w:t>50% &lt;= Score &lt; 87.51%</w:t>
            </w:r>
          </w:p>
        </w:tc>
        <w:tc>
          <w:tcPr>
            <w:tcW w:type="dxa" w:w="5328"/>
            <w:shd w:fill="FFFFFF"/>
            <w:tcMar>
              <w:top w:w="80" w:type="dxa"/>
              <w:bottom w:w="80" w:type="dxa"/>
              <w:left w:w="120" w:type="dxa"/>
              <w:right w:w="120" w:type="dxa"/>
            </w:tcMar>
          </w:tcPr>
          <w:p>
            <w:pPr>
              <w:spacing w:before="20" w:after="20"/>
              <w:jc w:val="left"/>
            </w:pPr>
            <w:r>
              <w:rPr>
                <w:rFonts w:ascii="Calibri" w:hAnsi="Calibri"/>
                <w:color w:val="333333"/>
                <w:sz w:val="18"/>
              </w:rPr>
              <w:t>SPOT-CHECK: Verify itemized tariff compliance if total reimbursement exceeds facility median.</w:t>
            </w:r>
          </w:p>
        </w:tc>
      </w:tr>
      <w:tr>
        <w:tc>
          <w:tcPr>
            <w:tcW w:type="dxa" w:w="2160"/>
            <w:shd w:fill="F9FAFC"/>
            <w:tcMar>
              <w:top w:w="80" w:type="dxa"/>
              <w:bottom w:w="80" w:type="dxa"/>
              <w:left w:w="120" w:type="dxa"/>
              <w:right w:w="120" w:type="dxa"/>
            </w:tcMar>
          </w:tcPr>
          <w:p>
            <w:pPr>
              <w:spacing w:before="20" w:after="20"/>
              <w:jc w:val="left"/>
            </w:pPr>
            <w:r>
              <w:rPr>
                <w:rFonts w:ascii="Calibri" w:hAnsi="Calibri"/>
                <w:color w:val="333333"/>
                <w:sz w:val="18"/>
              </w:rPr>
              <w:t>LOW_RISK</w:t>
            </w:r>
          </w:p>
        </w:tc>
        <w:tc>
          <w:tcPr>
            <w:tcW w:type="dxa" w:w="2592"/>
            <w:shd w:fill="F9FAFC"/>
            <w:tcMar>
              <w:top w:w="80" w:type="dxa"/>
              <w:bottom w:w="80" w:type="dxa"/>
              <w:left w:w="120" w:type="dxa"/>
              <w:right w:w="120" w:type="dxa"/>
            </w:tcMar>
          </w:tcPr>
          <w:p>
            <w:pPr>
              <w:spacing w:before="20" w:after="20"/>
              <w:jc w:val="left"/>
            </w:pPr>
            <w:r>
              <w:rPr>
                <w:rFonts w:ascii="Calibri" w:hAnsi="Calibri"/>
                <w:color w:val="333333"/>
                <w:sz w:val="18"/>
              </w:rPr>
              <w:t>Score &lt; 50%</w:t>
            </w:r>
          </w:p>
        </w:tc>
        <w:tc>
          <w:tcPr>
            <w:tcW w:type="dxa" w:w="5328"/>
            <w:shd w:fill="F9FAFC"/>
            <w:tcMar>
              <w:top w:w="80" w:type="dxa"/>
              <w:bottom w:w="80" w:type="dxa"/>
              <w:left w:w="120" w:type="dxa"/>
              <w:right w:w="120" w:type="dxa"/>
            </w:tcMar>
          </w:tcPr>
          <w:p>
            <w:pPr>
              <w:spacing w:before="20" w:after="20"/>
              <w:jc w:val="left"/>
            </w:pPr>
            <w:r>
              <w:rPr>
                <w:rFonts w:ascii="Calibri" w:hAnsi="Calibri"/>
                <w:color w:val="333333"/>
                <w:sz w:val="18"/>
              </w:rPr>
              <w:t>FAST-TRACK: Automated adjudication approved; claim passes directly to payment disbursement.</w:t>
            </w:r>
          </w:p>
        </w:tc>
      </w:tr>
    </w:tbl>
    <w:p>
      <w:pPr>
        <w:spacing w:after="120"/>
      </w:pPr>
    </w:p>
    <w:p>
      <w:pPr>
        <w:pStyle w:val="Heading1"/>
        <w:keepNext/>
        <w:spacing w:before="280" w:after="100"/>
      </w:pPr>
      <w:r>
        <w:rPr>
          <w:rFonts w:ascii="Calibri" w:hAnsi="Calibri"/>
          <w:b/>
          <w:color w:val="184C78"/>
          <w:sz w:val="32"/>
        </w:rPr>
        <w:t>4. The Machine Learning Model &amp; Data Compatibility</w:t>
      </w:r>
    </w:p>
    <w:p>
      <w:pPr>
        <w:pStyle w:val="Heading2"/>
        <w:keepNext/>
        <w:spacing w:before="280" w:after="100"/>
      </w:pPr>
      <w:r>
        <w:rPr>
          <w:rFonts w:ascii="Calibri" w:hAnsi="Calibri"/>
          <w:b/>
          <w:color w:val="184C78"/>
          <w:sz w:val="26"/>
        </w:rPr>
        <w:t>4.1 What Model Did We Use?</w:t>
      </w:r>
    </w:p>
    <w:p>
      <w:r>
        <w:t>The microservice serves the Leakage-Free LightGBM GBDT model paired with Isotonic Regression Calibration (stored in model_lightgbm_no_leakage/). It consists of 429 gradient boosted trees optimized with early stopping, feature subsampling (0.6), and leaf regularization. An Isotonic Calibrator transforms raw tree margins to calibrated probability percentages.</w:t>
      </w:r>
    </w:p>
    <w:p>
      <w:pPr>
        <w:pStyle w:val="Heading2"/>
        <w:keepNext/>
        <w:spacing w:before="280" w:after="100"/>
      </w:pPr>
      <w:r>
        <w:rPr>
          <w:rFonts w:ascii="Calibri" w:hAnsi="Calibri"/>
          <w:b/>
          <w:color w:val="184C78"/>
          <w:sz w:val="26"/>
        </w:rPr>
        <w:t>4.2 Why Did We Choose This Model? (Multi-Model Benchmark)</w:t>
      </w:r>
    </w:p>
    <w:p>
      <w:r>
        <w:t>Five distinct model architectures were evaluated across 14,242,741 claim transactions. LightGBM decisively outperformed all unsupervised and alternative algorithms across all key dimensions:</w:t>
      </w:r>
    </w:p>
    <w:tbl>
      <w:tblPr>
        <w:tblW w:type="auto" w:w="0"/>
        <w:jc w:val="center"/>
        <w:tblLook w:firstColumn="1" w:firstRow="1" w:lastColumn="0" w:lastRow="0" w:noHBand="0" w:noVBand="1" w:val="04A0"/>
      </w:tblPr>
      <w:tblGrid>
        <w:gridCol w:w="1440"/>
        <w:gridCol w:w="1440"/>
        <w:gridCol w:w="1440"/>
        <w:gridCol w:w="1440"/>
        <w:gridCol w:w="1440"/>
        <w:gridCol w:w="1440"/>
        <w:gridCol w:w="1440"/>
      </w:tblGrid>
      <w:tr>
        <w:trPr>
          <w:tblHeader/>
        </w:trPr>
        <w:tc>
          <w:tcPr>
            <w:tcW w:type="dxa" w:w="2304"/>
            <w:shd w:fill="184C78"/>
            <w:tcMar>
              <w:top w:w="100" w:type="dxa"/>
              <w:bottom w:w="100" w:type="dxa"/>
              <w:left w:w="120" w:type="dxa"/>
              <w:right w:w="120" w:type="dxa"/>
            </w:tcMar>
          </w:tcPr>
          <w:p>
            <w:pPr>
              <w:spacing w:before="40" w:after="40"/>
              <w:jc w:val="left"/>
            </w:pPr>
            <w:r>
              <w:rPr>
                <w:rFonts w:ascii="Calibri" w:hAnsi="Calibri"/>
                <w:b/>
                <w:color w:val="FFFFFF"/>
                <w:sz w:val="19"/>
              </w:rPr>
              <w:t>Algorithm</w:t>
            </w:r>
          </w:p>
        </w:tc>
        <w:tc>
          <w:tcPr>
            <w:tcW w:type="dxa" w:w="2016"/>
            <w:shd w:fill="184C78"/>
            <w:tcMar>
              <w:top w:w="100" w:type="dxa"/>
              <w:bottom w:w="100" w:type="dxa"/>
              <w:left w:w="120" w:type="dxa"/>
              <w:right w:w="120" w:type="dxa"/>
            </w:tcMar>
          </w:tcPr>
          <w:p>
            <w:pPr>
              <w:spacing w:before="40" w:after="40"/>
              <w:jc w:val="left"/>
            </w:pPr>
            <w:r>
              <w:rPr>
                <w:rFonts w:ascii="Calibri" w:hAnsi="Calibri"/>
                <w:b/>
                <w:color w:val="FFFFFF"/>
                <w:sz w:val="19"/>
              </w:rPr>
              <w:t>Paradigm</w:t>
            </w:r>
          </w:p>
        </w:tc>
        <w:tc>
          <w:tcPr>
            <w:tcW w:type="dxa" w:w="1152"/>
            <w:shd w:fill="184C78"/>
            <w:tcMar>
              <w:top w:w="100" w:type="dxa"/>
              <w:bottom w:w="100" w:type="dxa"/>
              <w:left w:w="120" w:type="dxa"/>
              <w:right w:w="120" w:type="dxa"/>
            </w:tcMar>
          </w:tcPr>
          <w:p>
            <w:pPr>
              <w:spacing w:before="40" w:after="40"/>
              <w:jc w:val="left"/>
            </w:pPr>
            <w:r>
              <w:rPr>
                <w:rFonts w:ascii="Calibri" w:hAnsi="Calibri"/>
                <w:b/>
                <w:color w:val="FFFFFF"/>
                <w:sz w:val="19"/>
              </w:rPr>
              <w:t>ROC-AUC</w:t>
            </w:r>
          </w:p>
        </w:tc>
        <w:tc>
          <w:tcPr>
            <w:tcW w:type="dxa" w:w="1584"/>
            <w:shd w:fill="184C78"/>
            <w:tcMar>
              <w:top w:w="100" w:type="dxa"/>
              <w:bottom w:w="100" w:type="dxa"/>
              <w:left w:w="120" w:type="dxa"/>
              <w:right w:w="120" w:type="dxa"/>
            </w:tcMar>
          </w:tcPr>
          <w:p>
            <w:pPr>
              <w:spacing w:before="40" w:after="40"/>
              <w:jc w:val="left"/>
            </w:pPr>
            <w:r>
              <w:rPr>
                <w:rFonts w:ascii="Calibri" w:hAnsi="Calibri"/>
                <w:b/>
                <w:color w:val="FFFFFF"/>
                <w:sz w:val="19"/>
              </w:rPr>
              <w:t>PR-AUC (vs 16.2%)</w:t>
            </w:r>
          </w:p>
        </w:tc>
        <w:tc>
          <w:tcPr>
            <w:tcW w:type="dxa" w:w="1152"/>
            <w:shd w:fill="184C78"/>
            <w:tcMar>
              <w:top w:w="100" w:type="dxa"/>
              <w:bottom w:w="100" w:type="dxa"/>
              <w:left w:w="120" w:type="dxa"/>
              <w:right w:w="120" w:type="dxa"/>
            </w:tcMar>
          </w:tcPr>
          <w:p>
            <w:pPr>
              <w:spacing w:before="40" w:after="40"/>
              <w:jc w:val="left"/>
            </w:pPr>
            <w:r>
              <w:rPr>
                <w:rFonts w:ascii="Calibri" w:hAnsi="Calibri"/>
                <w:b/>
                <w:color w:val="FFFFFF"/>
                <w:sz w:val="19"/>
              </w:rPr>
              <w:t>Precision</w:t>
            </w:r>
          </w:p>
        </w:tc>
        <w:tc>
          <w:tcPr>
            <w:tcW w:type="dxa" w:w="864"/>
            <w:shd w:fill="184C78"/>
            <w:tcMar>
              <w:top w:w="100" w:type="dxa"/>
              <w:bottom w:w="100" w:type="dxa"/>
              <w:left w:w="120" w:type="dxa"/>
              <w:right w:w="120" w:type="dxa"/>
            </w:tcMar>
          </w:tcPr>
          <w:p>
            <w:pPr>
              <w:spacing w:before="40" w:after="40"/>
              <w:jc w:val="left"/>
            </w:pPr>
            <w:r>
              <w:rPr>
                <w:rFonts w:ascii="Calibri" w:hAnsi="Calibri"/>
                <w:b/>
                <w:color w:val="FFFFFF"/>
                <w:sz w:val="19"/>
              </w:rPr>
              <w:t>Latency</w:t>
            </w:r>
          </w:p>
        </w:tc>
        <w:tc>
          <w:tcPr>
            <w:tcW w:type="dxa" w:w="1008"/>
            <w:shd w:fill="184C78"/>
            <w:tcMar>
              <w:top w:w="100" w:type="dxa"/>
              <w:bottom w:w="100" w:type="dxa"/>
              <w:left w:w="120" w:type="dxa"/>
              <w:right w:w="120" w:type="dxa"/>
            </w:tcMar>
          </w:tcPr>
          <w:p>
            <w:pPr>
              <w:spacing w:before="40" w:after="40"/>
              <w:jc w:val="left"/>
            </w:pPr>
            <w:r>
              <w:rPr>
                <w:rFonts w:ascii="Calibri" w:hAnsi="Calibri"/>
                <w:b/>
                <w:color w:val="FFFFFF"/>
                <w:sz w:val="19"/>
              </w:rPr>
              <w:t>Verdict</w:t>
            </w:r>
          </w:p>
        </w:tc>
      </w:tr>
      <w:tr>
        <w:tc>
          <w:tcPr>
            <w:tcW w:type="dxa" w:w="2304"/>
            <w:shd w:fill="FFFFFF"/>
            <w:tcMar>
              <w:top w:w="80" w:type="dxa"/>
              <w:bottom w:w="80" w:type="dxa"/>
              <w:left w:w="120" w:type="dxa"/>
              <w:right w:w="120" w:type="dxa"/>
            </w:tcMar>
          </w:tcPr>
          <w:p>
            <w:pPr>
              <w:spacing w:before="20" w:after="20"/>
              <w:jc w:val="left"/>
            </w:pPr>
            <w:r>
              <w:rPr>
                <w:rFonts w:ascii="Calibri" w:hAnsi="Calibri"/>
                <w:color w:val="333333"/>
                <w:sz w:val="18"/>
              </w:rPr>
              <w:t>LightGBM (No-Leakage)</w:t>
            </w:r>
          </w:p>
        </w:tc>
        <w:tc>
          <w:tcPr>
            <w:tcW w:type="dxa" w:w="2016"/>
            <w:shd w:fill="FFFFFF"/>
            <w:tcMar>
              <w:top w:w="80" w:type="dxa"/>
              <w:bottom w:w="80" w:type="dxa"/>
              <w:left w:w="120" w:type="dxa"/>
              <w:right w:w="120" w:type="dxa"/>
            </w:tcMar>
          </w:tcPr>
          <w:p>
            <w:pPr>
              <w:spacing w:before="20" w:after="20"/>
              <w:jc w:val="left"/>
            </w:pPr>
            <w:r>
              <w:rPr>
                <w:rFonts w:ascii="Calibri" w:hAnsi="Calibri"/>
                <w:color w:val="333333"/>
                <w:sz w:val="18"/>
              </w:rPr>
              <w:t>Supervised GBDT + Isotonic</w:t>
            </w:r>
          </w:p>
        </w:tc>
        <w:tc>
          <w:tcPr>
            <w:tcW w:type="dxa" w:w="1152"/>
            <w:shd w:fill="FFFFFF"/>
            <w:tcMar>
              <w:top w:w="80" w:type="dxa"/>
              <w:bottom w:w="80" w:type="dxa"/>
              <w:left w:w="120" w:type="dxa"/>
              <w:right w:w="120" w:type="dxa"/>
            </w:tcMar>
          </w:tcPr>
          <w:p>
            <w:pPr>
              <w:spacing w:before="20" w:after="20"/>
              <w:jc w:val="left"/>
            </w:pPr>
            <w:r>
              <w:rPr>
                <w:rFonts w:ascii="Calibri" w:hAnsi="Calibri"/>
                <w:color w:val="333333"/>
                <w:sz w:val="18"/>
              </w:rPr>
              <w:t>0.8778</w:t>
            </w:r>
          </w:p>
        </w:tc>
        <w:tc>
          <w:tcPr>
            <w:tcW w:type="dxa" w:w="1584"/>
            <w:shd w:fill="FFFFFF"/>
            <w:tcMar>
              <w:top w:w="80" w:type="dxa"/>
              <w:bottom w:w="80" w:type="dxa"/>
              <w:left w:w="120" w:type="dxa"/>
              <w:right w:w="120" w:type="dxa"/>
            </w:tcMar>
          </w:tcPr>
          <w:p>
            <w:pPr>
              <w:spacing w:before="20" w:after="20"/>
              <w:jc w:val="left"/>
            </w:pPr>
            <w:r>
              <w:rPr>
                <w:rFonts w:ascii="Calibri" w:hAnsi="Calibri"/>
                <w:color w:val="333333"/>
                <w:sz w:val="18"/>
              </w:rPr>
              <w:t>0.7604 (4.68x)</w:t>
            </w:r>
          </w:p>
        </w:tc>
        <w:tc>
          <w:tcPr>
            <w:tcW w:type="dxa" w:w="1152"/>
            <w:shd w:fill="FFFFFF"/>
            <w:tcMar>
              <w:top w:w="80" w:type="dxa"/>
              <w:bottom w:w="80" w:type="dxa"/>
              <w:left w:w="120" w:type="dxa"/>
              <w:right w:w="120" w:type="dxa"/>
            </w:tcMar>
          </w:tcPr>
          <w:p>
            <w:pPr>
              <w:spacing w:before="20" w:after="20"/>
              <w:jc w:val="left"/>
            </w:pPr>
            <w:r>
              <w:rPr>
                <w:rFonts w:ascii="Calibri" w:hAnsi="Calibri"/>
                <w:color w:val="333333"/>
                <w:sz w:val="18"/>
              </w:rPr>
              <w:t>91.79%</w:t>
            </w:r>
          </w:p>
        </w:tc>
        <w:tc>
          <w:tcPr>
            <w:tcW w:type="dxa" w:w="864"/>
            <w:shd w:fill="FFFFFF"/>
            <w:tcMar>
              <w:top w:w="80" w:type="dxa"/>
              <w:bottom w:w="80" w:type="dxa"/>
              <w:left w:w="120" w:type="dxa"/>
              <w:right w:w="120" w:type="dxa"/>
            </w:tcMar>
          </w:tcPr>
          <w:p>
            <w:pPr>
              <w:spacing w:before="20" w:after="20"/>
              <w:jc w:val="left"/>
            </w:pPr>
            <w:r>
              <w:rPr>
                <w:rFonts w:ascii="Calibri" w:hAnsi="Calibri"/>
                <w:color w:val="333333"/>
                <w:sz w:val="18"/>
              </w:rPr>
              <w:t>~1-2 ms</w:t>
            </w:r>
          </w:p>
        </w:tc>
        <w:tc>
          <w:tcPr>
            <w:tcW w:type="dxa" w:w="1008"/>
            <w:shd w:fill="FFFFFF"/>
            <w:tcMar>
              <w:top w:w="80" w:type="dxa"/>
              <w:bottom w:w="80" w:type="dxa"/>
              <w:left w:w="120" w:type="dxa"/>
              <w:right w:w="120" w:type="dxa"/>
            </w:tcMar>
          </w:tcPr>
          <w:p>
            <w:pPr>
              <w:spacing w:before="20" w:after="20"/>
              <w:jc w:val="left"/>
            </w:pPr>
            <w:r>
              <w:rPr>
                <w:rFonts w:ascii="Calibri" w:hAnsi="Calibri"/>
                <w:color w:val="333333"/>
                <w:sz w:val="18"/>
              </w:rPr>
              <w:t>CHOSEN (Best)</w:t>
            </w:r>
          </w:p>
        </w:tc>
      </w:tr>
      <w:tr>
        <w:tc>
          <w:tcPr>
            <w:tcW w:type="dxa" w:w="2304"/>
            <w:shd w:fill="F9FAFC"/>
            <w:tcMar>
              <w:top w:w="80" w:type="dxa"/>
              <w:bottom w:w="80" w:type="dxa"/>
              <w:left w:w="120" w:type="dxa"/>
              <w:right w:w="120" w:type="dxa"/>
            </w:tcMar>
          </w:tcPr>
          <w:p>
            <w:pPr>
              <w:spacing w:before="20" w:after="20"/>
              <w:jc w:val="left"/>
            </w:pPr>
            <w:r>
              <w:rPr>
                <w:rFonts w:ascii="Calibri" w:hAnsi="Calibri"/>
                <w:color w:val="333333"/>
                <w:sz w:val="18"/>
              </w:rPr>
              <w:t>Deep Autoencoder</w:t>
            </w:r>
          </w:p>
        </w:tc>
        <w:tc>
          <w:tcPr>
            <w:tcW w:type="dxa" w:w="2016"/>
            <w:shd w:fill="F9FAFC"/>
            <w:tcMar>
              <w:top w:w="80" w:type="dxa"/>
              <w:bottom w:w="80" w:type="dxa"/>
              <w:left w:w="120" w:type="dxa"/>
              <w:right w:w="120" w:type="dxa"/>
            </w:tcMar>
          </w:tcPr>
          <w:p>
            <w:pPr>
              <w:spacing w:before="20" w:after="20"/>
              <w:jc w:val="left"/>
            </w:pPr>
            <w:r>
              <w:rPr>
                <w:rFonts w:ascii="Calibri" w:hAnsi="Calibri"/>
                <w:color w:val="333333"/>
                <w:sz w:val="18"/>
              </w:rPr>
              <w:t>Unsupervised PyTorch</w:t>
            </w:r>
          </w:p>
        </w:tc>
        <w:tc>
          <w:tcPr>
            <w:tcW w:type="dxa" w:w="1152"/>
            <w:shd w:fill="F9FAFC"/>
            <w:tcMar>
              <w:top w:w="80" w:type="dxa"/>
              <w:bottom w:w="80" w:type="dxa"/>
              <w:left w:w="120" w:type="dxa"/>
              <w:right w:w="120" w:type="dxa"/>
            </w:tcMar>
          </w:tcPr>
          <w:p>
            <w:pPr>
              <w:spacing w:before="20" w:after="20"/>
              <w:jc w:val="left"/>
            </w:pPr>
            <w:r>
              <w:rPr>
                <w:rFonts w:ascii="Calibri" w:hAnsi="Calibri"/>
                <w:color w:val="333333"/>
                <w:sz w:val="18"/>
              </w:rPr>
              <w:t>0.7408</w:t>
            </w:r>
          </w:p>
        </w:tc>
        <w:tc>
          <w:tcPr>
            <w:tcW w:type="dxa" w:w="1584"/>
            <w:shd w:fill="F9FAFC"/>
            <w:tcMar>
              <w:top w:w="80" w:type="dxa"/>
              <w:bottom w:w="80" w:type="dxa"/>
              <w:left w:w="120" w:type="dxa"/>
              <w:right w:w="120" w:type="dxa"/>
            </w:tcMar>
          </w:tcPr>
          <w:p>
            <w:pPr>
              <w:spacing w:before="20" w:after="20"/>
              <w:jc w:val="left"/>
            </w:pPr>
            <w:r>
              <w:rPr>
                <w:rFonts w:ascii="Calibri" w:hAnsi="Calibri"/>
                <w:color w:val="333333"/>
                <w:sz w:val="18"/>
              </w:rPr>
              <w:t>0.5074 (2.90x)</w:t>
            </w:r>
          </w:p>
        </w:tc>
        <w:tc>
          <w:tcPr>
            <w:tcW w:type="dxa" w:w="1152"/>
            <w:shd w:fill="F9FAFC"/>
            <w:tcMar>
              <w:top w:w="80" w:type="dxa"/>
              <w:bottom w:w="80" w:type="dxa"/>
              <w:left w:w="120" w:type="dxa"/>
              <w:right w:w="120" w:type="dxa"/>
            </w:tcMar>
          </w:tcPr>
          <w:p>
            <w:pPr>
              <w:spacing w:before="20" w:after="20"/>
              <w:jc w:val="left"/>
            </w:pPr>
            <w:r>
              <w:rPr>
                <w:rFonts w:ascii="Calibri" w:hAnsi="Calibri"/>
                <w:color w:val="333333"/>
                <w:sz w:val="18"/>
              </w:rPr>
              <w:t>94.38% (at 9.5% recall)</w:t>
            </w:r>
          </w:p>
        </w:tc>
        <w:tc>
          <w:tcPr>
            <w:tcW w:type="dxa" w:w="864"/>
            <w:shd w:fill="F9FAFC"/>
            <w:tcMar>
              <w:top w:w="80" w:type="dxa"/>
              <w:bottom w:w="80" w:type="dxa"/>
              <w:left w:w="120" w:type="dxa"/>
              <w:right w:w="120" w:type="dxa"/>
            </w:tcMar>
          </w:tcPr>
          <w:p>
            <w:pPr>
              <w:spacing w:before="20" w:after="20"/>
              <w:jc w:val="left"/>
            </w:pPr>
            <w:r>
              <w:rPr>
                <w:rFonts w:ascii="Calibri" w:hAnsi="Calibri"/>
                <w:color w:val="333333"/>
                <w:sz w:val="18"/>
              </w:rPr>
              <w:t>~25 ms</w:t>
            </w:r>
          </w:p>
        </w:tc>
        <w:tc>
          <w:tcPr>
            <w:tcW w:type="dxa" w:w="1008"/>
            <w:shd w:fill="F9FAFC"/>
            <w:tcMar>
              <w:top w:w="80" w:type="dxa"/>
              <w:bottom w:w="80" w:type="dxa"/>
              <w:left w:w="120" w:type="dxa"/>
              <w:right w:w="120" w:type="dxa"/>
            </w:tcMar>
          </w:tcPr>
          <w:p>
            <w:pPr>
              <w:spacing w:before="20" w:after="20"/>
              <w:jc w:val="left"/>
            </w:pPr>
            <w:r>
              <w:rPr>
                <w:rFonts w:ascii="Calibri" w:hAnsi="Calibri"/>
                <w:color w:val="333333"/>
                <w:sz w:val="18"/>
              </w:rPr>
              <w:t>Secondary Anomaly Detector</w:t>
            </w:r>
          </w:p>
        </w:tc>
      </w:tr>
      <w:tr>
        <w:tc>
          <w:tcPr>
            <w:tcW w:type="dxa" w:w="2304"/>
            <w:shd w:fill="FFFFFF"/>
            <w:tcMar>
              <w:top w:w="80" w:type="dxa"/>
              <w:bottom w:w="80" w:type="dxa"/>
              <w:left w:w="120" w:type="dxa"/>
              <w:right w:w="120" w:type="dxa"/>
            </w:tcMar>
          </w:tcPr>
          <w:p>
            <w:pPr>
              <w:spacing w:before="20" w:after="20"/>
              <w:jc w:val="left"/>
            </w:pPr>
            <w:r>
              <w:rPr>
                <w:rFonts w:ascii="Calibri" w:hAnsi="Calibri"/>
                <w:color w:val="333333"/>
                <w:sz w:val="18"/>
              </w:rPr>
              <w:t>ECOD / COPOD</w:t>
            </w:r>
          </w:p>
        </w:tc>
        <w:tc>
          <w:tcPr>
            <w:tcW w:type="dxa" w:w="2016"/>
            <w:shd w:fill="FFFFFF"/>
            <w:tcMar>
              <w:top w:w="80" w:type="dxa"/>
              <w:bottom w:w="80" w:type="dxa"/>
              <w:left w:w="120" w:type="dxa"/>
              <w:right w:w="120" w:type="dxa"/>
            </w:tcMar>
          </w:tcPr>
          <w:p>
            <w:pPr>
              <w:spacing w:before="20" w:after="20"/>
              <w:jc w:val="left"/>
            </w:pPr>
            <w:r>
              <w:rPr>
                <w:rFonts w:ascii="Calibri" w:hAnsi="Calibri"/>
                <w:color w:val="333333"/>
                <w:sz w:val="18"/>
              </w:rPr>
              <w:t>Empirical CDF Tail Sum</w:t>
            </w:r>
          </w:p>
        </w:tc>
        <w:tc>
          <w:tcPr>
            <w:tcW w:type="dxa" w:w="1152"/>
            <w:shd w:fill="FFFFFF"/>
            <w:tcMar>
              <w:top w:w="80" w:type="dxa"/>
              <w:bottom w:w="80" w:type="dxa"/>
              <w:left w:w="120" w:type="dxa"/>
              <w:right w:w="120" w:type="dxa"/>
            </w:tcMar>
          </w:tcPr>
          <w:p>
            <w:pPr>
              <w:spacing w:before="20" w:after="20"/>
              <w:jc w:val="left"/>
            </w:pPr>
            <w:r>
              <w:rPr>
                <w:rFonts w:ascii="Calibri" w:hAnsi="Calibri"/>
                <w:color w:val="333333"/>
                <w:sz w:val="18"/>
              </w:rPr>
              <w:t>0.7426</w:t>
            </w:r>
          </w:p>
        </w:tc>
        <w:tc>
          <w:tcPr>
            <w:tcW w:type="dxa" w:w="1584"/>
            <w:shd w:fill="FFFFFF"/>
            <w:tcMar>
              <w:top w:w="80" w:type="dxa"/>
              <w:bottom w:w="80" w:type="dxa"/>
              <w:left w:w="120" w:type="dxa"/>
              <w:right w:w="120" w:type="dxa"/>
            </w:tcMar>
          </w:tcPr>
          <w:p>
            <w:pPr>
              <w:spacing w:before="20" w:after="20"/>
              <w:jc w:val="left"/>
            </w:pPr>
            <w:r>
              <w:rPr>
                <w:rFonts w:ascii="Calibri" w:hAnsi="Calibri"/>
                <w:color w:val="333333"/>
                <w:sz w:val="18"/>
              </w:rPr>
              <w:t>0.5238 (2.99x)</w:t>
            </w:r>
          </w:p>
        </w:tc>
        <w:tc>
          <w:tcPr>
            <w:tcW w:type="dxa" w:w="1152"/>
            <w:shd w:fill="FFFFFF"/>
            <w:tcMar>
              <w:top w:w="80" w:type="dxa"/>
              <w:bottom w:w="80" w:type="dxa"/>
              <w:left w:w="120" w:type="dxa"/>
              <w:right w:w="120" w:type="dxa"/>
            </w:tcMar>
          </w:tcPr>
          <w:p>
            <w:pPr>
              <w:spacing w:before="20" w:after="20"/>
              <w:jc w:val="left"/>
            </w:pPr>
            <w:r>
              <w:rPr>
                <w:rFonts w:ascii="Calibri" w:hAnsi="Calibri"/>
                <w:color w:val="333333"/>
                <w:sz w:val="18"/>
              </w:rPr>
              <w:t>90.42% (at 18% recall)</w:t>
            </w:r>
          </w:p>
        </w:tc>
        <w:tc>
          <w:tcPr>
            <w:tcW w:type="dxa" w:w="864"/>
            <w:shd w:fill="FFFFFF"/>
            <w:tcMar>
              <w:top w:w="80" w:type="dxa"/>
              <w:bottom w:w="80" w:type="dxa"/>
              <w:left w:w="120" w:type="dxa"/>
              <w:right w:w="120" w:type="dxa"/>
            </w:tcMar>
          </w:tcPr>
          <w:p>
            <w:pPr>
              <w:spacing w:before="20" w:after="20"/>
              <w:jc w:val="left"/>
            </w:pPr>
            <w:r>
              <w:rPr>
                <w:rFonts w:ascii="Calibri" w:hAnsi="Calibri"/>
                <w:color w:val="333333"/>
                <w:sz w:val="18"/>
              </w:rPr>
              <w:t>~5 ms</w:t>
            </w:r>
          </w:p>
        </w:tc>
        <w:tc>
          <w:tcPr>
            <w:tcW w:type="dxa" w:w="1008"/>
            <w:shd w:fill="FFFFFF"/>
            <w:tcMar>
              <w:top w:w="80" w:type="dxa"/>
              <w:bottom w:w="80" w:type="dxa"/>
              <w:left w:w="120" w:type="dxa"/>
              <w:right w:w="120" w:type="dxa"/>
            </w:tcMar>
          </w:tcPr>
          <w:p>
            <w:pPr>
              <w:spacing w:before="20" w:after="20"/>
              <w:jc w:val="left"/>
            </w:pPr>
            <w:r>
              <w:rPr>
                <w:rFonts w:ascii="Calibri" w:hAnsi="Calibri"/>
                <w:color w:val="333333"/>
                <w:sz w:val="18"/>
              </w:rPr>
              <w:t>Baseline (No Interactions)</w:t>
            </w:r>
          </w:p>
        </w:tc>
      </w:tr>
      <w:tr>
        <w:tc>
          <w:tcPr>
            <w:tcW w:type="dxa" w:w="2304"/>
            <w:shd w:fill="F9FAFC"/>
            <w:tcMar>
              <w:top w:w="80" w:type="dxa"/>
              <w:bottom w:w="80" w:type="dxa"/>
              <w:left w:w="120" w:type="dxa"/>
              <w:right w:w="120" w:type="dxa"/>
            </w:tcMar>
          </w:tcPr>
          <w:p>
            <w:pPr>
              <w:spacing w:before="20" w:after="20"/>
              <w:jc w:val="left"/>
            </w:pPr>
            <w:r>
              <w:rPr>
                <w:rFonts w:ascii="Calibri" w:hAnsi="Calibri"/>
                <w:color w:val="333333"/>
                <w:sz w:val="18"/>
              </w:rPr>
              <w:t>Isolation Forest</w:t>
            </w:r>
          </w:p>
        </w:tc>
        <w:tc>
          <w:tcPr>
            <w:tcW w:type="dxa" w:w="2016"/>
            <w:shd w:fill="F9FAFC"/>
            <w:tcMar>
              <w:top w:w="80" w:type="dxa"/>
              <w:bottom w:w="80" w:type="dxa"/>
              <w:left w:w="120" w:type="dxa"/>
              <w:right w:w="120" w:type="dxa"/>
            </w:tcMar>
          </w:tcPr>
          <w:p>
            <w:pPr>
              <w:spacing w:before="20" w:after="20"/>
              <w:jc w:val="left"/>
            </w:pPr>
            <w:r>
              <w:rPr>
                <w:rFonts w:ascii="Calibri" w:hAnsi="Calibri"/>
                <w:color w:val="333333"/>
                <w:sz w:val="18"/>
              </w:rPr>
              <w:t>Ensemble Tree Isolation</w:t>
            </w:r>
          </w:p>
        </w:tc>
        <w:tc>
          <w:tcPr>
            <w:tcW w:type="dxa" w:w="1152"/>
            <w:shd w:fill="F9FAFC"/>
            <w:tcMar>
              <w:top w:w="80" w:type="dxa"/>
              <w:bottom w:w="80" w:type="dxa"/>
              <w:left w:w="120" w:type="dxa"/>
              <w:right w:w="120" w:type="dxa"/>
            </w:tcMar>
          </w:tcPr>
          <w:p>
            <w:pPr>
              <w:spacing w:before="20" w:after="20"/>
              <w:jc w:val="left"/>
            </w:pPr>
            <w:r>
              <w:rPr>
                <w:rFonts w:ascii="Calibri" w:hAnsi="Calibri"/>
                <w:color w:val="333333"/>
                <w:sz w:val="18"/>
              </w:rPr>
              <w:t>0.7235</w:t>
            </w:r>
          </w:p>
        </w:tc>
        <w:tc>
          <w:tcPr>
            <w:tcW w:type="dxa" w:w="1584"/>
            <w:shd w:fill="F9FAFC"/>
            <w:tcMar>
              <w:top w:w="80" w:type="dxa"/>
              <w:bottom w:w="80" w:type="dxa"/>
              <w:left w:w="120" w:type="dxa"/>
              <w:right w:w="120" w:type="dxa"/>
            </w:tcMar>
          </w:tcPr>
          <w:p>
            <w:pPr>
              <w:spacing w:before="20" w:after="20"/>
              <w:jc w:val="left"/>
            </w:pPr>
            <w:r>
              <w:rPr>
                <w:rFonts w:ascii="Calibri" w:hAnsi="Calibri"/>
                <w:color w:val="333333"/>
                <w:sz w:val="18"/>
              </w:rPr>
              <w:t>0.4417 (2.52x)</w:t>
            </w:r>
          </w:p>
        </w:tc>
        <w:tc>
          <w:tcPr>
            <w:tcW w:type="dxa" w:w="1152"/>
            <w:shd w:fill="F9FAFC"/>
            <w:tcMar>
              <w:top w:w="80" w:type="dxa"/>
              <w:bottom w:w="80" w:type="dxa"/>
              <w:left w:w="120" w:type="dxa"/>
              <w:right w:w="120" w:type="dxa"/>
            </w:tcMar>
          </w:tcPr>
          <w:p>
            <w:pPr>
              <w:spacing w:before="20" w:after="20"/>
              <w:jc w:val="left"/>
            </w:pPr>
            <w:r>
              <w:rPr>
                <w:rFonts w:ascii="Calibri" w:hAnsi="Calibri"/>
                <w:color w:val="333333"/>
                <w:sz w:val="18"/>
              </w:rPr>
              <w:t>57.44%</w:t>
            </w:r>
          </w:p>
        </w:tc>
        <w:tc>
          <w:tcPr>
            <w:tcW w:type="dxa" w:w="864"/>
            <w:shd w:fill="F9FAFC"/>
            <w:tcMar>
              <w:top w:w="80" w:type="dxa"/>
              <w:bottom w:w="80" w:type="dxa"/>
              <w:left w:w="120" w:type="dxa"/>
              <w:right w:w="120" w:type="dxa"/>
            </w:tcMar>
          </w:tcPr>
          <w:p>
            <w:pPr>
              <w:spacing w:before="20" w:after="20"/>
              <w:jc w:val="left"/>
            </w:pPr>
            <w:r>
              <w:rPr>
                <w:rFonts w:ascii="Calibri" w:hAnsi="Calibri"/>
                <w:color w:val="333333"/>
                <w:sz w:val="18"/>
              </w:rPr>
              <w:t>~10 ms</w:t>
            </w:r>
          </w:p>
        </w:tc>
        <w:tc>
          <w:tcPr>
            <w:tcW w:type="dxa" w:w="1008"/>
            <w:shd w:fill="F9FAFC"/>
            <w:tcMar>
              <w:top w:w="80" w:type="dxa"/>
              <w:bottom w:w="80" w:type="dxa"/>
              <w:left w:w="120" w:type="dxa"/>
              <w:right w:w="120" w:type="dxa"/>
            </w:tcMar>
          </w:tcPr>
          <w:p>
            <w:pPr>
              <w:spacing w:before="20" w:after="20"/>
              <w:jc w:val="left"/>
            </w:pPr>
            <w:r>
              <w:rPr>
                <w:rFonts w:ascii="Calibri" w:hAnsi="Calibri"/>
                <w:color w:val="333333"/>
                <w:sz w:val="18"/>
              </w:rPr>
              <w:t>Sub-optimal Discrimination</w:t>
            </w:r>
          </w:p>
        </w:tc>
      </w:tr>
    </w:tbl>
    <w:p>
      <w:pPr>
        <w:spacing w:after="120"/>
      </w:pPr>
    </w:p>
    <w:p>
      <w:pPr>
        <w:spacing w:before="40" w:after="40"/>
      </w:pPr>
      <w:r>
        <w:rPr>
          <w:rFonts w:ascii="Calibri" w:hAnsi="Calibri"/>
          <w:b/>
          <w:color w:val="184C78"/>
        </w:rPr>
        <w:t xml:space="preserve">• Highest Statistical Discrimination: </w:t>
      </w:r>
      <w:r>
        <w:rPr>
          <w:rFonts w:ascii="Calibri" w:hAnsi="Calibri"/>
          <w:color w:val="333333"/>
        </w:rPr>
        <w:t>Achieves 0.8778 ROC-AUC and 0.7604 PR-AUC, catching 54.03% of all rejections with 91.79% precision at the target alert capacity.</w:t>
      </w:r>
    </w:p>
    <w:p>
      <w:pPr>
        <w:spacing w:before="40" w:after="40"/>
      </w:pPr>
      <w:r>
        <w:rPr>
          <w:rFonts w:ascii="Calibri" w:hAnsi="Calibri"/>
          <w:b/>
          <w:color w:val="184C78"/>
        </w:rPr>
        <w:t xml:space="preserve">• Calibrated Probabilities (Not Arbitrary Loss): </w:t>
      </w:r>
      <w:r>
        <w:rPr>
          <w:rFonts w:ascii="Calibri" w:hAnsi="Calibri"/>
          <w:color w:val="333333"/>
        </w:rPr>
        <w:t>Unsupervised autoencoders output reconstruction MSE which cannot tell adjudicators 'how probable' a claim is to be invalid. LightGBM provides an exact, human-interpretable percentage (0% to 100%).</w:t>
      </w:r>
    </w:p>
    <w:p>
      <w:pPr>
        <w:spacing w:before="40" w:after="40"/>
      </w:pPr>
      <w:r>
        <w:rPr>
          <w:rFonts w:ascii="Calibri" w:hAnsi="Calibri"/>
          <w:b/>
          <w:color w:val="184C78"/>
        </w:rPr>
        <w:t xml:space="preserve">• Sub-2ms Exact TreeSHAP: </w:t>
      </w:r>
      <w:r>
        <w:rPr>
          <w:rFonts w:ascii="Calibri" w:hAnsi="Calibri"/>
          <w:color w:val="333333"/>
        </w:rPr>
        <w:t>Computes exact Shapley feature attributions in milliseconds without expensive Monte Carlo sampling or neural gradient computations.</w:t>
      </w:r>
    </w:p>
    <w:p>
      <w:pPr>
        <w:spacing w:before="40" w:after="40"/>
      </w:pPr>
      <w:r>
        <w:rPr>
          <w:rFonts w:ascii="Calibri" w:hAnsi="Calibri"/>
          <w:b/>
          <w:color w:val="184C78"/>
        </w:rPr>
        <w:t xml:space="preserve">• Zero Adjudication Data Leakage: </w:t>
      </w:r>
      <w:r>
        <w:rPr>
          <w:rFonts w:ascii="Calibri" w:hAnsi="Calibri"/>
          <w:color w:val="333333"/>
        </w:rPr>
        <w:t>Strictly excludes 36 post-adjudication columns (such as ClaimCategory, Approved, and PriceApproved) and enforces point-in-time policy lookups, ensuring flawless integrity during real-time deployment.</w:t>
      </w:r>
    </w:p>
    <w:p>
      <w:pPr>
        <w:pStyle w:val="Heading2"/>
        <w:keepNext/>
        <w:spacing w:before="280" w:after="100"/>
      </w:pPr>
      <w:r>
        <w:rPr>
          <w:rFonts w:ascii="Calibri" w:hAnsi="Calibri"/>
          <w:b/>
          <w:color w:val="184C78"/>
          <w:sz w:val="26"/>
        </w:rPr>
        <w:t>4.3 In Which Data Is the Model Compatible?</w:t>
      </w:r>
    </w:p>
    <w:p>
      <w:r>
        <w:t>The model is fully compatible with healthcare claim data adhering to the openIMIS relational data model or standard medical insurance formats across 11 key entities:</w:t>
      </w:r>
    </w:p>
    <w:tbl>
      <w:tblPr>
        <w:tblW w:type="auto" w:w="0"/>
        <w:jc w:val="center"/>
        <w:tblLook w:firstColumn="1" w:firstRow="1" w:lastColumn="0" w:lastRow="0" w:noHBand="0" w:noVBand="1" w:val="04A0"/>
      </w:tblPr>
      <w:tblGrid>
        <w:gridCol w:w="3360"/>
        <w:gridCol w:w="3360"/>
        <w:gridCol w:w="3360"/>
      </w:tblGrid>
      <w:tr>
        <w:trPr>
          <w:tblHeader/>
        </w:trPr>
        <w:tc>
          <w:tcPr>
            <w:tcW w:type="dxa" w:w="2160"/>
            <w:shd w:fill="184C78"/>
            <w:tcMar>
              <w:top w:w="100" w:type="dxa"/>
              <w:bottom w:w="100" w:type="dxa"/>
              <w:left w:w="120" w:type="dxa"/>
              <w:right w:w="120" w:type="dxa"/>
            </w:tcMar>
          </w:tcPr>
          <w:p>
            <w:pPr>
              <w:spacing w:before="40" w:after="40"/>
              <w:jc w:val="left"/>
            </w:pPr>
            <w:r>
              <w:rPr>
                <w:rFonts w:ascii="Calibri" w:hAnsi="Calibri"/>
                <w:b/>
                <w:color w:val="FFFFFF"/>
                <w:sz w:val="19"/>
              </w:rPr>
              <w:t>Table / Domain</w:t>
            </w:r>
          </w:p>
        </w:tc>
        <w:tc>
          <w:tcPr>
            <w:tcW w:type="dxa" w:w="3600"/>
            <w:shd w:fill="184C78"/>
            <w:tcMar>
              <w:top w:w="100" w:type="dxa"/>
              <w:bottom w:w="100" w:type="dxa"/>
              <w:left w:w="120" w:type="dxa"/>
              <w:right w:w="120" w:type="dxa"/>
            </w:tcMar>
          </w:tcPr>
          <w:p>
            <w:pPr>
              <w:spacing w:before="40" w:after="40"/>
              <w:jc w:val="left"/>
            </w:pPr>
            <w:r>
              <w:rPr>
                <w:rFonts w:ascii="Calibri" w:hAnsi="Calibri"/>
                <w:b/>
                <w:color w:val="FFFFFF"/>
                <w:sz w:val="19"/>
              </w:rPr>
              <w:t>Key Extracted Information</w:t>
            </w:r>
          </w:p>
        </w:tc>
        <w:tc>
          <w:tcPr>
            <w:tcW w:type="dxa" w:w="4320"/>
            <w:shd w:fill="184C78"/>
            <w:tcMar>
              <w:top w:w="100" w:type="dxa"/>
              <w:bottom w:w="100" w:type="dxa"/>
              <w:left w:w="120" w:type="dxa"/>
              <w:right w:w="120" w:type="dxa"/>
            </w:tcMar>
          </w:tcPr>
          <w:p>
            <w:pPr>
              <w:spacing w:before="40" w:after="40"/>
              <w:jc w:val="left"/>
            </w:pPr>
            <w:r>
              <w:rPr>
                <w:rFonts w:ascii="Calibri" w:hAnsi="Calibri"/>
                <w:b/>
                <w:color w:val="FFFFFF"/>
                <w:sz w:val="19"/>
              </w:rPr>
              <w:t>Operational Role in Fraud Detection</w:t>
            </w:r>
          </w:p>
        </w:tc>
      </w:tr>
      <w:tr>
        <w:tc>
          <w:tcPr>
            <w:tcW w:type="dxa" w:w="2160"/>
            <w:shd w:fill="FFFFFF"/>
            <w:tcMar>
              <w:top w:w="80" w:type="dxa"/>
              <w:bottom w:w="80" w:type="dxa"/>
              <w:left w:w="120" w:type="dxa"/>
              <w:right w:w="120" w:type="dxa"/>
            </w:tcMar>
          </w:tcPr>
          <w:p>
            <w:pPr>
              <w:spacing w:before="20" w:after="20"/>
              <w:jc w:val="left"/>
            </w:pPr>
            <w:r>
              <w:rPr>
                <w:rFonts w:ascii="Calibri" w:hAnsi="Calibri"/>
                <w:color w:val="333333"/>
                <w:sz w:val="18"/>
              </w:rPr>
              <w:t>TblClaim</w:t>
            </w:r>
          </w:p>
        </w:tc>
        <w:tc>
          <w:tcPr>
            <w:tcW w:type="dxa" w:w="3600"/>
            <w:shd w:fill="FFFFFF"/>
            <w:tcMar>
              <w:top w:w="80" w:type="dxa"/>
              <w:bottom w:w="80" w:type="dxa"/>
              <w:left w:w="120" w:type="dxa"/>
              <w:right w:w="120" w:type="dxa"/>
            </w:tcMar>
          </w:tcPr>
          <w:p>
            <w:pPr>
              <w:spacing w:before="20" w:after="20"/>
              <w:jc w:val="left"/>
            </w:pPr>
            <w:r>
              <w:rPr>
                <w:rFonts w:ascii="Calibri" w:hAnsi="Calibri"/>
                <w:color w:val="333333"/>
                <w:sz w:val="18"/>
              </w:rPr>
              <w:t>Claimed amount, admission date, discharge date, care type (OPD/IPD), visit type.</w:t>
            </w:r>
          </w:p>
        </w:tc>
        <w:tc>
          <w:tcPr>
            <w:tcW w:type="dxa" w:w="4320"/>
            <w:shd w:fill="FFFFFF"/>
            <w:tcMar>
              <w:top w:w="80" w:type="dxa"/>
              <w:bottom w:w="80" w:type="dxa"/>
              <w:left w:w="120" w:type="dxa"/>
              <w:right w:w="120" w:type="dxa"/>
            </w:tcMar>
          </w:tcPr>
          <w:p>
            <w:pPr>
              <w:spacing w:before="20" w:after="20"/>
              <w:jc w:val="left"/>
            </w:pPr>
            <w:r>
              <w:rPr>
                <w:rFonts w:ascii="Calibri" w:hAnsi="Calibri"/>
                <w:color w:val="333333"/>
                <w:sz w:val="18"/>
              </w:rPr>
              <w:t>Establishes financial baseline, stay length, and submission delay.</w:t>
            </w:r>
          </w:p>
        </w:tc>
      </w:tr>
      <w:tr>
        <w:tc>
          <w:tcPr>
            <w:tcW w:type="dxa" w:w="2160"/>
            <w:shd w:fill="F9FAFC"/>
            <w:tcMar>
              <w:top w:w="80" w:type="dxa"/>
              <w:bottom w:w="80" w:type="dxa"/>
              <w:left w:w="120" w:type="dxa"/>
              <w:right w:w="120" w:type="dxa"/>
            </w:tcMar>
          </w:tcPr>
          <w:p>
            <w:pPr>
              <w:spacing w:before="20" w:after="20"/>
              <w:jc w:val="left"/>
            </w:pPr>
            <w:r>
              <w:rPr>
                <w:rFonts w:ascii="Calibri" w:hAnsi="Calibri"/>
                <w:color w:val="333333"/>
                <w:sz w:val="18"/>
              </w:rPr>
              <w:t>TblClaimServices</w:t>
            </w:r>
          </w:p>
        </w:tc>
        <w:tc>
          <w:tcPr>
            <w:tcW w:type="dxa" w:w="3600"/>
            <w:shd w:fill="F9FAFC"/>
            <w:tcMar>
              <w:top w:w="80" w:type="dxa"/>
              <w:bottom w:w="80" w:type="dxa"/>
              <w:left w:w="120" w:type="dxa"/>
              <w:right w:w="120" w:type="dxa"/>
            </w:tcMar>
          </w:tcPr>
          <w:p>
            <w:pPr>
              <w:spacing w:before="20" w:after="20"/>
              <w:jc w:val="left"/>
            </w:pPr>
            <w:r>
              <w:rPr>
                <w:rFonts w:ascii="Calibri" w:hAnsi="Calibri"/>
                <w:color w:val="333333"/>
                <w:sz w:val="18"/>
              </w:rPr>
              <w:t>Itemized service lines, quantities billed, itemized costs.</w:t>
            </w:r>
          </w:p>
        </w:tc>
        <w:tc>
          <w:tcPr>
            <w:tcW w:type="dxa" w:w="4320"/>
            <w:shd w:fill="F9FAFC"/>
            <w:tcMar>
              <w:top w:w="80" w:type="dxa"/>
              <w:bottom w:w="80" w:type="dxa"/>
              <w:left w:w="120" w:type="dxa"/>
              <w:right w:w="120" w:type="dxa"/>
            </w:tcMar>
          </w:tcPr>
          <w:p>
            <w:pPr>
              <w:spacing w:before="20" w:after="20"/>
              <w:jc w:val="left"/>
            </w:pPr>
            <w:r>
              <w:rPr>
                <w:rFonts w:ascii="Calibri" w:hAnsi="Calibri"/>
                <w:color w:val="333333"/>
                <w:sz w:val="18"/>
              </w:rPr>
              <w:t>Measures unbundling, service repetition, and cost concentration.</w:t>
            </w:r>
          </w:p>
        </w:tc>
      </w:tr>
      <w:tr>
        <w:tc>
          <w:tcPr>
            <w:tcW w:type="dxa" w:w="2160"/>
            <w:shd w:fill="FFFFFF"/>
            <w:tcMar>
              <w:top w:w="80" w:type="dxa"/>
              <w:bottom w:w="80" w:type="dxa"/>
              <w:left w:w="120" w:type="dxa"/>
              <w:right w:w="120" w:type="dxa"/>
            </w:tcMar>
          </w:tcPr>
          <w:p>
            <w:pPr>
              <w:spacing w:before="20" w:after="20"/>
              <w:jc w:val="left"/>
            </w:pPr>
            <w:r>
              <w:rPr>
                <w:rFonts w:ascii="Calibri" w:hAnsi="Calibri"/>
                <w:color w:val="333333"/>
                <w:sz w:val="18"/>
              </w:rPr>
              <w:t>TblServices</w:t>
            </w:r>
          </w:p>
        </w:tc>
        <w:tc>
          <w:tcPr>
            <w:tcW w:type="dxa" w:w="3600"/>
            <w:shd w:fill="FFFFFF"/>
            <w:tcMar>
              <w:top w:w="80" w:type="dxa"/>
              <w:bottom w:w="80" w:type="dxa"/>
              <w:left w:w="120" w:type="dxa"/>
              <w:right w:w="120" w:type="dxa"/>
            </w:tcMar>
          </w:tcPr>
          <w:p>
            <w:pPr>
              <w:spacing w:before="20" w:after="20"/>
              <w:jc w:val="left"/>
            </w:pPr>
            <w:r>
              <w:rPr>
                <w:rFonts w:ascii="Calibri" w:hAnsi="Calibri"/>
                <w:color w:val="333333"/>
                <w:sz w:val="18"/>
              </w:rPr>
              <w:t>Official statutory fee tariffs and frequency limits.</w:t>
            </w:r>
          </w:p>
        </w:tc>
        <w:tc>
          <w:tcPr>
            <w:tcW w:type="dxa" w:w="4320"/>
            <w:shd w:fill="FFFFFF"/>
            <w:tcMar>
              <w:top w:w="80" w:type="dxa"/>
              <w:bottom w:w="80" w:type="dxa"/>
              <w:left w:w="120" w:type="dxa"/>
              <w:right w:w="120" w:type="dxa"/>
            </w:tcMar>
          </w:tcPr>
          <w:p>
            <w:pPr>
              <w:spacing w:before="20" w:after="20"/>
              <w:jc w:val="left"/>
            </w:pPr>
            <w:r>
              <w:rPr>
                <w:rFonts w:ascii="Calibri" w:hAnsi="Calibri"/>
                <w:color w:val="333333"/>
                <w:sz w:val="18"/>
              </w:rPr>
              <w:t>Detects price ceiling breaches and unauthorized fee markups.</w:t>
            </w:r>
          </w:p>
        </w:tc>
      </w:tr>
      <w:tr>
        <w:tc>
          <w:tcPr>
            <w:tcW w:type="dxa" w:w="2160"/>
            <w:shd w:fill="F9FAFC"/>
            <w:tcMar>
              <w:top w:w="80" w:type="dxa"/>
              <w:bottom w:w="80" w:type="dxa"/>
              <w:left w:w="120" w:type="dxa"/>
              <w:right w:w="120" w:type="dxa"/>
            </w:tcMar>
          </w:tcPr>
          <w:p>
            <w:pPr>
              <w:spacing w:before="20" w:after="20"/>
              <w:jc w:val="left"/>
            </w:pPr>
            <w:r>
              <w:rPr>
                <w:rFonts w:ascii="Calibri" w:hAnsi="Calibri"/>
                <w:color w:val="333333"/>
                <w:sz w:val="18"/>
              </w:rPr>
              <w:t>TblInsureePolicy</w:t>
            </w:r>
          </w:p>
        </w:tc>
        <w:tc>
          <w:tcPr>
            <w:tcW w:type="dxa" w:w="3600"/>
            <w:shd w:fill="F9FAFC"/>
            <w:tcMar>
              <w:top w:w="80" w:type="dxa"/>
              <w:bottom w:w="80" w:type="dxa"/>
              <w:left w:w="120" w:type="dxa"/>
              <w:right w:w="120" w:type="dxa"/>
            </w:tcMar>
          </w:tcPr>
          <w:p>
            <w:pPr>
              <w:spacing w:before="20" w:after="20"/>
              <w:jc w:val="left"/>
            </w:pPr>
            <w:r>
              <w:rPr>
                <w:rFonts w:ascii="Calibri" w:hAnsi="Calibri"/>
                <w:color w:val="333333"/>
                <w:sz w:val="18"/>
              </w:rPr>
              <w:t>Policy enrollment date, effective start date, expiration date.</w:t>
            </w:r>
          </w:p>
        </w:tc>
        <w:tc>
          <w:tcPr>
            <w:tcW w:type="dxa" w:w="4320"/>
            <w:shd w:fill="F9FAFC"/>
            <w:tcMar>
              <w:top w:w="80" w:type="dxa"/>
              <w:bottom w:w="80" w:type="dxa"/>
              <w:left w:w="120" w:type="dxa"/>
              <w:right w:w="120" w:type="dxa"/>
            </w:tcMar>
          </w:tcPr>
          <w:p>
            <w:pPr>
              <w:spacing w:before="20" w:after="20"/>
              <w:jc w:val="left"/>
            </w:pPr>
            <w:r>
              <w:rPr>
                <w:rFonts w:ascii="Calibri" w:hAnsi="Calibri"/>
                <w:color w:val="333333"/>
                <w:sz w:val="18"/>
              </w:rPr>
              <w:t>Validates point-in-time coverage; detects adverse selection and expired policies.</w:t>
            </w:r>
          </w:p>
        </w:tc>
      </w:tr>
      <w:tr>
        <w:tc>
          <w:tcPr>
            <w:tcW w:type="dxa" w:w="2160"/>
            <w:shd w:fill="FFFFFF"/>
            <w:tcMar>
              <w:top w:w="80" w:type="dxa"/>
              <w:bottom w:w="80" w:type="dxa"/>
              <w:left w:w="120" w:type="dxa"/>
              <w:right w:w="120" w:type="dxa"/>
            </w:tcMar>
          </w:tcPr>
          <w:p>
            <w:pPr>
              <w:spacing w:before="20" w:after="20"/>
              <w:jc w:val="left"/>
            </w:pPr>
            <w:r>
              <w:rPr>
                <w:rFonts w:ascii="Calibri" w:hAnsi="Calibri"/>
                <w:color w:val="333333"/>
                <w:sz w:val="18"/>
              </w:rPr>
              <w:t>TblHF &amp; Locations</w:t>
            </w:r>
          </w:p>
        </w:tc>
        <w:tc>
          <w:tcPr>
            <w:tcW w:type="dxa" w:w="3600"/>
            <w:shd w:fill="FFFFFF"/>
            <w:tcMar>
              <w:top w:w="80" w:type="dxa"/>
              <w:bottom w:w="80" w:type="dxa"/>
              <w:left w:w="120" w:type="dxa"/>
              <w:right w:w="120" w:type="dxa"/>
            </w:tcMar>
          </w:tcPr>
          <w:p>
            <w:pPr>
              <w:spacing w:before="20" w:after="20"/>
              <w:jc w:val="left"/>
            </w:pPr>
            <w:r>
              <w:rPr>
                <w:rFonts w:ascii="Calibri" w:hAnsi="Calibri"/>
                <w:color w:val="333333"/>
                <w:sz w:val="18"/>
              </w:rPr>
              <w:t>Provider ID, facility level (Hospital/Centre), legal form, region, district.</w:t>
            </w:r>
          </w:p>
        </w:tc>
        <w:tc>
          <w:tcPr>
            <w:tcW w:type="dxa" w:w="4320"/>
            <w:shd w:fill="FFFFFF"/>
            <w:tcMar>
              <w:top w:w="80" w:type="dxa"/>
              <w:bottom w:w="80" w:type="dxa"/>
              <w:left w:w="120" w:type="dxa"/>
              <w:right w:w="120" w:type="dxa"/>
            </w:tcMar>
          </w:tcPr>
          <w:p>
            <w:pPr>
              <w:spacing w:before="20" w:after="20"/>
              <w:jc w:val="left"/>
            </w:pPr>
            <w:r>
              <w:rPr>
                <w:rFonts w:ascii="Calibri" w:hAnsi="Calibri"/>
                <w:color w:val="333333"/>
                <w:sz w:val="18"/>
              </w:rPr>
              <w:t>Captures provider historical compliance profile and geographic risk.</w:t>
            </w:r>
          </w:p>
        </w:tc>
      </w:tr>
      <w:tr>
        <w:tc>
          <w:tcPr>
            <w:tcW w:type="dxa" w:w="2160"/>
            <w:shd w:fill="F9FAFC"/>
            <w:tcMar>
              <w:top w:w="80" w:type="dxa"/>
              <w:bottom w:w="80" w:type="dxa"/>
              <w:left w:w="120" w:type="dxa"/>
              <w:right w:w="120" w:type="dxa"/>
            </w:tcMar>
          </w:tcPr>
          <w:p>
            <w:pPr>
              <w:spacing w:before="20" w:after="20"/>
              <w:jc w:val="left"/>
            </w:pPr>
            <w:r>
              <w:rPr>
                <w:rFonts w:ascii="Calibri" w:hAnsi="Calibri"/>
                <w:color w:val="333333"/>
                <w:sz w:val="18"/>
              </w:rPr>
              <w:t>TblICDCodes</w:t>
            </w:r>
          </w:p>
        </w:tc>
        <w:tc>
          <w:tcPr>
            <w:tcW w:type="dxa" w:w="3600"/>
            <w:shd w:fill="F9FAFC"/>
            <w:tcMar>
              <w:top w:w="80" w:type="dxa"/>
              <w:bottom w:w="80" w:type="dxa"/>
              <w:left w:w="120" w:type="dxa"/>
              <w:right w:w="120" w:type="dxa"/>
            </w:tcMar>
          </w:tcPr>
          <w:p>
            <w:pPr>
              <w:spacing w:before="20" w:after="20"/>
              <w:jc w:val="left"/>
            </w:pPr>
            <w:r>
              <w:rPr>
                <w:rFonts w:ascii="Calibri" w:hAnsi="Calibri"/>
                <w:color w:val="333333"/>
                <w:sz w:val="18"/>
              </w:rPr>
              <w:t>Primary ICD-10 diagnosis code ID and chapter letter (A-Z).</w:t>
            </w:r>
          </w:p>
        </w:tc>
        <w:tc>
          <w:tcPr>
            <w:tcW w:type="dxa" w:w="4320"/>
            <w:shd w:fill="F9FAFC"/>
            <w:tcMar>
              <w:top w:w="80" w:type="dxa"/>
              <w:bottom w:w="80" w:type="dxa"/>
              <w:left w:w="120" w:type="dxa"/>
              <w:right w:w="120" w:type="dxa"/>
            </w:tcMar>
          </w:tcPr>
          <w:p>
            <w:pPr>
              <w:spacing w:before="20" w:after="20"/>
              <w:jc w:val="left"/>
            </w:pPr>
            <w:r>
              <w:rPr>
                <w:rFonts w:ascii="Calibri" w:hAnsi="Calibri"/>
                <w:color w:val="333333"/>
                <w:sz w:val="18"/>
              </w:rPr>
              <w:t>Checks clinical diagnosis alignment against billed procedures.</w:t>
            </w:r>
          </w:p>
        </w:tc>
      </w:tr>
    </w:tbl>
    <w:p>
      <w:pPr>
        <w:spacing w:after="120"/>
      </w:pPr>
    </w:p>
    <w:p>
      <w:pPr>
        <w:pStyle w:val="Heading2"/>
        <w:keepNext/>
        <w:spacing w:before="280" w:after="100"/>
      </w:pPr>
      <w:r>
        <w:rPr>
          <w:rFonts w:ascii="Calibri" w:hAnsi="Calibri"/>
          <w:b/>
          <w:color w:val="184C78"/>
          <w:sz w:val="26"/>
        </w:rPr>
        <w:t>4.4 Why Do We Call It 'No-Leakage'? (The Critical Integrity Story)</w:t>
      </w:r>
    </w:p>
    <w:p>
      <w:r>
        <w:t>In healthcare predictive modeling, target leakage occurs when a machine learning model inadvertently learns from attributes that are populated during or after adjudication—effectively allowing the algorithm to 'see into the future'. Understanding this distinction is vital for deploying models into live operational systems like openIMIS:</w:t>
      </w:r>
    </w:p>
    <w:p>
      <w:pPr>
        <w:spacing w:before="60" w:after="60"/>
      </w:pPr>
      <w:r>
        <w:rPr>
          <w:rFonts w:ascii="Calibri" w:hAnsi="Calibri"/>
          <w:b/>
          <w:color w:val="184C78"/>
        </w:rPr>
        <w:t xml:space="preserve">• The Discovery of the Cheating Baseline: </w:t>
      </w:r>
      <w:r>
        <w:rPr>
          <w:rFonts w:ascii="Calibri" w:hAnsi="Calibri"/>
          <w:color w:val="333333"/>
        </w:rPr>
        <w:t>In our initial exploratory LightGBM baseline, the model achieved an apparently miraculous test ROC-AUC of 0.9841 and PR-AUC of 0.9635. However, an exhaustive feature importance audit revealed an alarming reality: a single column, 'ClaimCategory', accounted for 79% of the model's total split decisions. In the openIMIS database architecture, ClaimCategory frequently acts as an administrative disposition tag written during or after adjudication rather than an inherent, pre-submission clinical attribute. The model was simply memorizing the adjudicator's post-facto decision rather than detecting pre-submission fraud indicators.</w:t>
      </w:r>
    </w:p>
    <w:p>
      <w:pPr>
        <w:spacing w:before="60" w:after="60"/>
      </w:pPr>
      <w:r>
        <w:rPr>
          <w:rFonts w:ascii="Calibri" w:hAnsi="Calibri"/>
          <w:b/>
          <w:color w:val="184C78"/>
        </w:rPr>
        <w:t xml:space="preserve">• The Catastrophic Failure Mode in Live Production: </w:t>
      </w:r>
      <w:r>
        <w:rPr>
          <w:rFonts w:ascii="Calibri" w:hAnsi="Calibri"/>
          <w:color w:val="333333"/>
        </w:rPr>
        <w:t>If a model with target leakage is connected to a live microservice, it suffers catastrophic collapse. When openIMIS submits a brand new claim for pre-payment verification, ClaimCategory is either null, default, or unassigned. A model trained on leakage becomes completely blind and unreliable when scoring live claims.</w:t>
      </w:r>
    </w:p>
    <w:p>
      <w:pPr>
        <w:spacing w:before="60" w:after="60"/>
      </w:pPr>
      <w:r>
        <w:rPr>
          <w:rFonts w:ascii="Calibri" w:hAnsi="Calibri"/>
          <w:b/>
          <w:color w:val="184C78"/>
        </w:rPr>
        <w:t xml:space="preserve">• The Strict Three-Pillar Remediation: </w:t>
      </w:r>
      <w:r>
        <w:rPr>
          <w:rFonts w:ascii="Calibri" w:hAnsi="Calibri"/>
          <w:color w:val="333333"/>
        </w:rPr>
        <w:t>To engineer a model that is 100% honest and production-ready, we enforced three non-negotiable architectural constraints:</w:t>
        <w:br/>
        <w:t xml:space="preserve">  1. Explicit Leakage Deny-List (DENY): Permanently banned 36 adjudication-time columns (including ClaimCategory, Approved, PriceApproved, Deductions, and post-review tags).</w:t>
        <w:br/>
        <w:t xml:space="preserve">  2. Point-in-Time Policy Joins: Replaced naive policy joins with temporal as-of joins (pd.merge_asof on service date). This strictly inspects policy validity at the exact moment medical care was provided, preventing current-state leakage (e.g., PolicyStatus).</w:t>
        <w:br/>
        <w:t xml:space="preserve">  3. End-to-End Retraining: Retrained LightGBM across all 13 tables on 14.2M claim records strictly on pre-submission features.</w:t>
      </w:r>
    </w:p>
    <w:p>
      <w:pPr>
        <w:spacing w:before="60" w:after="60"/>
      </w:pPr>
      <w:r>
        <w:rPr>
          <w:rFonts w:ascii="Calibri" w:hAnsi="Calibri"/>
          <w:b/>
          <w:color w:val="184C78"/>
        </w:rPr>
        <w:t xml:space="preserve">• The Honest Operational Ceiling: </w:t>
      </w:r>
      <w:r>
        <w:rPr>
          <w:rFonts w:ascii="Calibri" w:hAnsi="Calibri"/>
          <w:color w:val="333333"/>
        </w:rPr>
        <w:t>Without cheating, the retrained model delivers an honest, highly robust test ROC-AUC of 0.8778 and PR-AUC of 0.7604 (a 4.68x lift over the 16.2% base rate). At the target alert threshold (0.8751), it catches 54.03% of all genuine rejections with 91.79% precision, recovering 543 Million XAF in net value. We explicitly brand this model 'No-Leakage' to assure health insurance authorities, openIMIS maintainers, and auditors that every score is based strictly on legitimate pre-submission evidence.</w:t>
      </w:r>
    </w:p>
    <w:tbl>
      <w:tblPr>
        <w:tblW w:type="auto" w:w="0"/>
        <w:jc w:val="center"/>
        <w:tblLook w:firstColumn="1" w:firstRow="1" w:lastColumn="0" w:lastRow="0" w:noHBand="0" w:noVBand="1" w:val="04A0"/>
      </w:tblPr>
      <w:tblGrid>
        <w:gridCol w:w="2016"/>
        <w:gridCol w:w="2016"/>
        <w:gridCol w:w="2016"/>
        <w:gridCol w:w="2016"/>
        <w:gridCol w:w="2016"/>
      </w:tblGrid>
      <w:tr>
        <w:trPr>
          <w:tblHeader/>
        </w:trPr>
        <w:tc>
          <w:tcPr>
            <w:tcW w:type="dxa" w:w="2160"/>
            <w:shd w:fill="184C78"/>
            <w:tcMar>
              <w:top w:w="100" w:type="dxa"/>
              <w:bottom w:w="100" w:type="dxa"/>
              <w:left w:w="120" w:type="dxa"/>
              <w:right w:w="120" w:type="dxa"/>
            </w:tcMar>
          </w:tcPr>
          <w:p>
            <w:pPr>
              <w:spacing w:before="40" w:after="40"/>
              <w:jc w:val="left"/>
            </w:pPr>
            <w:r>
              <w:rPr>
                <w:rFonts w:ascii="Calibri" w:hAnsi="Calibri"/>
                <w:b/>
                <w:color w:val="FFFFFF"/>
                <w:sz w:val="19"/>
              </w:rPr>
              <w:t>Model Version</w:t>
            </w:r>
          </w:p>
        </w:tc>
        <w:tc>
          <w:tcPr>
            <w:tcW w:type="dxa" w:w="2304"/>
            <w:shd w:fill="184C78"/>
            <w:tcMar>
              <w:top w:w="100" w:type="dxa"/>
              <w:bottom w:w="100" w:type="dxa"/>
              <w:left w:w="120" w:type="dxa"/>
              <w:right w:w="120" w:type="dxa"/>
            </w:tcMar>
          </w:tcPr>
          <w:p>
            <w:pPr>
              <w:spacing w:before="40" w:after="40"/>
              <w:jc w:val="left"/>
            </w:pPr>
            <w:r>
              <w:rPr>
                <w:rFonts w:ascii="Calibri" w:hAnsi="Calibri"/>
                <w:b/>
                <w:color w:val="FFFFFF"/>
                <w:sz w:val="19"/>
              </w:rPr>
              <w:t>ClaimCategory Included?</w:t>
            </w:r>
          </w:p>
        </w:tc>
        <w:tc>
          <w:tcPr>
            <w:tcW w:type="dxa" w:w="1584"/>
            <w:shd w:fill="184C78"/>
            <w:tcMar>
              <w:top w:w="100" w:type="dxa"/>
              <w:bottom w:w="100" w:type="dxa"/>
              <w:left w:w="120" w:type="dxa"/>
              <w:right w:w="120" w:type="dxa"/>
            </w:tcMar>
          </w:tcPr>
          <w:p>
            <w:pPr>
              <w:spacing w:before="40" w:after="40"/>
              <w:jc w:val="left"/>
            </w:pPr>
            <w:r>
              <w:rPr>
                <w:rFonts w:ascii="Calibri" w:hAnsi="Calibri"/>
                <w:b/>
                <w:color w:val="FFFFFF"/>
                <w:sz w:val="19"/>
              </w:rPr>
              <w:t>Test ROC-AUC</w:t>
            </w:r>
          </w:p>
        </w:tc>
        <w:tc>
          <w:tcPr>
            <w:tcW w:type="dxa" w:w="1584"/>
            <w:shd w:fill="184C78"/>
            <w:tcMar>
              <w:top w:w="100" w:type="dxa"/>
              <w:bottom w:w="100" w:type="dxa"/>
              <w:left w:w="120" w:type="dxa"/>
              <w:right w:w="120" w:type="dxa"/>
            </w:tcMar>
          </w:tcPr>
          <w:p>
            <w:pPr>
              <w:spacing w:before="40" w:after="40"/>
              <w:jc w:val="left"/>
            </w:pPr>
            <w:r>
              <w:rPr>
                <w:rFonts w:ascii="Calibri" w:hAnsi="Calibri"/>
                <w:b/>
                <w:color w:val="FFFFFF"/>
                <w:sz w:val="19"/>
              </w:rPr>
              <w:t>Test PR-AUC</w:t>
            </w:r>
          </w:p>
        </w:tc>
        <w:tc>
          <w:tcPr>
            <w:tcW w:type="dxa" w:w="3168"/>
            <w:shd w:fill="184C78"/>
            <w:tcMar>
              <w:top w:w="100" w:type="dxa"/>
              <w:bottom w:w="100" w:type="dxa"/>
              <w:left w:w="120" w:type="dxa"/>
              <w:right w:w="120" w:type="dxa"/>
            </w:tcMar>
          </w:tcPr>
          <w:p>
            <w:pPr>
              <w:spacing w:before="40" w:after="40"/>
              <w:jc w:val="left"/>
            </w:pPr>
            <w:r>
              <w:rPr>
                <w:rFonts w:ascii="Calibri" w:hAnsi="Calibri"/>
                <w:b/>
                <w:color w:val="FFFFFF"/>
                <w:sz w:val="19"/>
              </w:rPr>
              <w:t>Real-World Operational Validity</w:t>
            </w:r>
          </w:p>
        </w:tc>
      </w:tr>
      <w:tr>
        <w:tc>
          <w:tcPr>
            <w:tcW w:type="dxa" w:w="2160"/>
            <w:shd w:fill="FFFFFF"/>
            <w:tcMar>
              <w:top w:w="80" w:type="dxa"/>
              <w:bottom w:w="80" w:type="dxa"/>
              <w:left w:w="120" w:type="dxa"/>
              <w:right w:w="120" w:type="dxa"/>
            </w:tcMar>
          </w:tcPr>
          <w:p>
            <w:pPr>
              <w:spacing w:before="20" w:after="20"/>
              <w:jc w:val="left"/>
            </w:pPr>
            <w:r>
              <w:rPr>
                <w:rFonts w:ascii="Calibri" w:hAnsi="Calibri"/>
                <w:color w:val="333333"/>
                <w:sz w:val="18"/>
              </w:rPr>
              <w:t>Cheating Baseline</w:t>
            </w:r>
          </w:p>
        </w:tc>
        <w:tc>
          <w:tcPr>
            <w:tcW w:type="dxa" w:w="2304"/>
            <w:shd w:fill="FFFFFF"/>
            <w:tcMar>
              <w:top w:w="80" w:type="dxa"/>
              <w:bottom w:w="80" w:type="dxa"/>
              <w:left w:w="120" w:type="dxa"/>
              <w:right w:w="120" w:type="dxa"/>
            </w:tcMar>
          </w:tcPr>
          <w:p>
            <w:pPr>
              <w:spacing w:before="20" w:after="20"/>
              <w:jc w:val="left"/>
            </w:pPr>
            <w:r>
              <w:rPr>
                <w:rFonts w:ascii="Calibri" w:hAnsi="Calibri"/>
                <w:color w:val="333333"/>
                <w:sz w:val="18"/>
              </w:rPr>
              <w:t>YES (79% of model gain)</w:t>
            </w:r>
          </w:p>
        </w:tc>
        <w:tc>
          <w:tcPr>
            <w:tcW w:type="dxa" w:w="1584"/>
            <w:shd w:fill="FFFFFF"/>
            <w:tcMar>
              <w:top w:w="80" w:type="dxa"/>
              <w:bottom w:w="80" w:type="dxa"/>
              <w:left w:w="120" w:type="dxa"/>
              <w:right w:w="120" w:type="dxa"/>
            </w:tcMar>
          </w:tcPr>
          <w:p>
            <w:pPr>
              <w:spacing w:before="20" w:after="20"/>
              <w:jc w:val="left"/>
            </w:pPr>
            <w:r>
              <w:rPr>
                <w:rFonts w:ascii="Calibri" w:hAnsi="Calibri"/>
                <w:color w:val="333333"/>
                <w:sz w:val="18"/>
              </w:rPr>
              <w:t>0.9841 (Inflated)</w:t>
            </w:r>
          </w:p>
        </w:tc>
        <w:tc>
          <w:tcPr>
            <w:tcW w:type="dxa" w:w="1584"/>
            <w:shd w:fill="FFFFFF"/>
            <w:tcMar>
              <w:top w:w="80" w:type="dxa"/>
              <w:bottom w:w="80" w:type="dxa"/>
              <w:left w:w="120" w:type="dxa"/>
              <w:right w:w="120" w:type="dxa"/>
            </w:tcMar>
          </w:tcPr>
          <w:p>
            <w:pPr>
              <w:spacing w:before="20" w:after="20"/>
              <w:jc w:val="left"/>
            </w:pPr>
            <w:r>
              <w:rPr>
                <w:rFonts w:ascii="Calibri" w:hAnsi="Calibri"/>
                <w:color w:val="333333"/>
                <w:sz w:val="18"/>
              </w:rPr>
              <w:t>0.9635 (Inflated)</w:t>
            </w:r>
          </w:p>
        </w:tc>
        <w:tc>
          <w:tcPr>
            <w:tcW w:type="dxa" w:w="3168"/>
            <w:shd w:fill="FFFFFF"/>
            <w:tcMar>
              <w:top w:w="80" w:type="dxa"/>
              <w:bottom w:w="80" w:type="dxa"/>
              <w:left w:w="120" w:type="dxa"/>
              <w:right w:w="120" w:type="dxa"/>
            </w:tcMar>
          </w:tcPr>
          <w:p>
            <w:pPr>
              <w:spacing w:before="20" w:after="20"/>
              <w:jc w:val="left"/>
            </w:pPr>
            <w:r>
              <w:rPr>
                <w:rFonts w:ascii="Calibri" w:hAnsi="Calibri"/>
                <w:color w:val="333333"/>
                <w:sz w:val="18"/>
              </w:rPr>
              <w:t>UNUSABLE: Collapses in live production when ClaimCategory is unassigned.</w:t>
            </w:r>
          </w:p>
        </w:tc>
      </w:tr>
      <w:tr>
        <w:tc>
          <w:tcPr>
            <w:tcW w:type="dxa" w:w="2160"/>
            <w:shd w:fill="F9FAFC"/>
            <w:tcMar>
              <w:top w:w="80" w:type="dxa"/>
              <w:bottom w:w="80" w:type="dxa"/>
              <w:left w:w="120" w:type="dxa"/>
              <w:right w:w="120" w:type="dxa"/>
            </w:tcMar>
          </w:tcPr>
          <w:p>
            <w:pPr>
              <w:spacing w:before="20" w:after="20"/>
              <w:jc w:val="left"/>
            </w:pPr>
            <w:r>
              <w:rPr>
                <w:rFonts w:ascii="Calibri" w:hAnsi="Calibri"/>
                <w:color w:val="333333"/>
                <w:sz w:val="18"/>
              </w:rPr>
              <w:t>Honest No-Leakage Model</w:t>
            </w:r>
          </w:p>
        </w:tc>
        <w:tc>
          <w:tcPr>
            <w:tcW w:type="dxa" w:w="2304"/>
            <w:shd w:fill="F9FAFC"/>
            <w:tcMar>
              <w:top w:w="80" w:type="dxa"/>
              <w:bottom w:w="80" w:type="dxa"/>
              <w:left w:w="120" w:type="dxa"/>
              <w:right w:w="120" w:type="dxa"/>
            </w:tcMar>
          </w:tcPr>
          <w:p>
            <w:pPr>
              <w:spacing w:before="20" w:after="20"/>
              <w:jc w:val="left"/>
            </w:pPr>
            <w:r>
              <w:rPr>
                <w:rFonts w:ascii="Calibri" w:hAnsi="Calibri"/>
                <w:color w:val="333333"/>
                <w:sz w:val="18"/>
              </w:rPr>
              <w:t>NO (Strictly Deny-Listed)</w:t>
            </w:r>
          </w:p>
        </w:tc>
        <w:tc>
          <w:tcPr>
            <w:tcW w:type="dxa" w:w="1584"/>
            <w:shd w:fill="F9FAFC"/>
            <w:tcMar>
              <w:top w:w="80" w:type="dxa"/>
              <w:bottom w:w="80" w:type="dxa"/>
              <w:left w:w="120" w:type="dxa"/>
              <w:right w:w="120" w:type="dxa"/>
            </w:tcMar>
          </w:tcPr>
          <w:p>
            <w:pPr>
              <w:spacing w:before="20" w:after="20"/>
              <w:jc w:val="left"/>
            </w:pPr>
            <w:r>
              <w:rPr>
                <w:rFonts w:ascii="Calibri" w:hAnsi="Calibri"/>
                <w:color w:val="333333"/>
                <w:sz w:val="18"/>
              </w:rPr>
              <w:t>0.8778 (Honest)</w:t>
            </w:r>
          </w:p>
        </w:tc>
        <w:tc>
          <w:tcPr>
            <w:tcW w:type="dxa" w:w="1584"/>
            <w:shd w:fill="F9FAFC"/>
            <w:tcMar>
              <w:top w:w="80" w:type="dxa"/>
              <w:bottom w:w="80" w:type="dxa"/>
              <w:left w:w="120" w:type="dxa"/>
              <w:right w:w="120" w:type="dxa"/>
            </w:tcMar>
          </w:tcPr>
          <w:p>
            <w:pPr>
              <w:spacing w:before="20" w:after="20"/>
              <w:jc w:val="left"/>
            </w:pPr>
            <w:r>
              <w:rPr>
                <w:rFonts w:ascii="Calibri" w:hAnsi="Calibri"/>
                <w:color w:val="333333"/>
                <w:sz w:val="18"/>
              </w:rPr>
              <w:t>0.7604 (Honest)</w:t>
            </w:r>
          </w:p>
        </w:tc>
        <w:tc>
          <w:tcPr>
            <w:tcW w:type="dxa" w:w="3168"/>
            <w:shd w:fill="F9FAFC"/>
            <w:tcMar>
              <w:top w:w="80" w:type="dxa"/>
              <w:bottom w:w="80" w:type="dxa"/>
              <w:left w:w="120" w:type="dxa"/>
              <w:right w:w="120" w:type="dxa"/>
            </w:tcMar>
          </w:tcPr>
          <w:p>
            <w:pPr>
              <w:spacing w:before="20" w:after="20"/>
              <w:jc w:val="left"/>
            </w:pPr>
            <w:r>
              <w:rPr>
                <w:rFonts w:ascii="Calibri" w:hAnsi="Calibri"/>
                <w:color w:val="333333"/>
                <w:sz w:val="18"/>
              </w:rPr>
              <w:t>PRODUCTION READY: Evaluates claims purely on pre-submission features with 91.79% precision.</w:t>
            </w:r>
          </w:p>
        </w:tc>
      </w:tr>
    </w:tbl>
    <w:p>
      <w:pPr>
        <w:spacing w:after="120"/>
      </w:pPr>
    </w:p>
    <w:p>
      <w:pPr>
        <w:pStyle w:val="Heading1"/>
        <w:keepNext/>
        <w:spacing w:before="280" w:after="100"/>
      </w:pPr>
      <w:r>
        <w:rPr>
          <w:rFonts w:ascii="Calibri" w:hAnsi="Calibri"/>
          <w:b/>
          <w:color w:val="184C78"/>
          <w:sz w:val="32"/>
        </w:rPr>
        <w:t>5. Verification &amp; Live Demonstration Results</w:t>
      </w:r>
    </w:p>
    <w:p>
      <w:r>
        <w:t>The microservice was verified through an automated test suite (tests/test_service.py) and a live client simulation script (service/client_example.py):</w:t>
      </w:r>
    </w:p>
    <w:tbl>
      <w:tblPr>
        <w:tblW w:type="auto" w:w="0"/>
        <w:jc w:val="center"/>
        <w:tblLook w:firstColumn="1" w:firstRow="1" w:lastColumn="0" w:lastRow="0" w:noHBand="0" w:noVBand="1" w:val="04A0"/>
      </w:tblPr>
      <w:tblGrid>
        <w:gridCol w:w="2016"/>
        <w:gridCol w:w="2016"/>
        <w:gridCol w:w="2016"/>
        <w:gridCol w:w="2016"/>
        <w:gridCol w:w="2016"/>
      </w:tblGrid>
      <w:tr>
        <w:trPr>
          <w:tblHeader/>
        </w:trPr>
        <w:tc>
          <w:tcPr>
            <w:tcW w:type="dxa" w:w="2160"/>
            <w:shd w:fill="184C78"/>
            <w:tcMar>
              <w:top w:w="100" w:type="dxa"/>
              <w:bottom w:w="100" w:type="dxa"/>
              <w:left w:w="120" w:type="dxa"/>
              <w:right w:w="120" w:type="dxa"/>
            </w:tcMar>
          </w:tcPr>
          <w:p>
            <w:pPr>
              <w:spacing w:before="40" w:after="40"/>
              <w:jc w:val="left"/>
            </w:pPr>
            <w:r>
              <w:rPr>
                <w:rFonts w:ascii="Calibri" w:hAnsi="Calibri"/>
                <w:b/>
                <w:color w:val="FFFFFF"/>
                <w:sz w:val="19"/>
              </w:rPr>
              <w:t>Test Scenario</w:t>
            </w:r>
          </w:p>
        </w:tc>
        <w:tc>
          <w:tcPr>
            <w:tcW w:type="dxa" w:w="2592"/>
            <w:shd w:fill="184C78"/>
            <w:tcMar>
              <w:top w:w="100" w:type="dxa"/>
              <w:bottom w:w="100" w:type="dxa"/>
              <w:left w:w="120" w:type="dxa"/>
              <w:right w:w="120" w:type="dxa"/>
            </w:tcMar>
          </w:tcPr>
          <w:p>
            <w:pPr>
              <w:spacing w:before="40" w:after="40"/>
              <w:jc w:val="left"/>
            </w:pPr>
            <w:r>
              <w:rPr>
                <w:rFonts w:ascii="Calibri" w:hAnsi="Calibri"/>
                <w:b/>
                <w:color w:val="FFFFFF"/>
                <w:sz w:val="19"/>
              </w:rPr>
              <w:t>Claim Characteristics</w:t>
            </w:r>
          </w:p>
        </w:tc>
        <w:tc>
          <w:tcPr>
            <w:tcW w:type="dxa" w:w="1584"/>
            <w:shd w:fill="184C78"/>
            <w:tcMar>
              <w:top w:w="100" w:type="dxa"/>
              <w:bottom w:w="100" w:type="dxa"/>
              <w:left w:w="120" w:type="dxa"/>
              <w:right w:w="120" w:type="dxa"/>
            </w:tcMar>
          </w:tcPr>
          <w:p>
            <w:pPr>
              <w:spacing w:before="40" w:after="40"/>
              <w:jc w:val="left"/>
            </w:pPr>
            <w:r>
              <w:rPr>
                <w:rFonts w:ascii="Calibri" w:hAnsi="Calibri"/>
                <w:b/>
                <w:color w:val="FFFFFF"/>
                <w:sz w:val="19"/>
              </w:rPr>
              <w:t>Predicted Risk %</w:t>
            </w:r>
          </w:p>
        </w:tc>
        <w:tc>
          <w:tcPr>
            <w:tcW w:type="dxa" w:w="1584"/>
            <w:shd w:fill="184C78"/>
            <w:tcMar>
              <w:top w:w="100" w:type="dxa"/>
              <w:bottom w:w="100" w:type="dxa"/>
              <w:left w:w="120" w:type="dxa"/>
              <w:right w:w="120" w:type="dxa"/>
            </w:tcMar>
          </w:tcPr>
          <w:p>
            <w:pPr>
              <w:spacing w:before="40" w:after="40"/>
              <w:jc w:val="left"/>
            </w:pPr>
            <w:r>
              <w:rPr>
                <w:rFonts w:ascii="Calibri" w:hAnsi="Calibri"/>
                <w:b/>
                <w:color w:val="FFFFFF"/>
                <w:sz w:val="19"/>
              </w:rPr>
              <w:t>Triage Tier</w:t>
            </w:r>
          </w:p>
        </w:tc>
        <w:tc>
          <w:tcPr>
            <w:tcW w:type="dxa" w:w="2160"/>
            <w:shd w:fill="184C78"/>
            <w:tcMar>
              <w:top w:w="100" w:type="dxa"/>
              <w:bottom w:w="100" w:type="dxa"/>
              <w:left w:w="120" w:type="dxa"/>
              <w:right w:w="120" w:type="dxa"/>
            </w:tcMar>
          </w:tcPr>
          <w:p>
            <w:pPr>
              <w:spacing w:before="40" w:after="40"/>
              <w:jc w:val="left"/>
            </w:pPr>
            <w:r>
              <w:rPr>
                <w:rFonts w:ascii="Calibri" w:hAnsi="Calibri"/>
                <w:b/>
                <w:color w:val="FFFFFF"/>
                <w:sz w:val="19"/>
              </w:rPr>
              <w:t>Top SHAP Risk Drivers</w:t>
            </w:r>
          </w:p>
        </w:tc>
      </w:tr>
      <w:tr>
        <w:tc>
          <w:tcPr>
            <w:tcW w:type="dxa" w:w="2160"/>
            <w:shd w:fill="FFFFFF"/>
            <w:tcMar>
              <w:top w:w="80" w:type="dxa"/>
              <w:bottom w:w="80" w:type="dxa"/>
              <w:left w:w="120" w:type="dxa"/>
              <w:right w:w="120" w:type="dxa"/>
            </w:tcMar>
          </w:tcPr>
          <w:p>
            <w:pPr>
              <w:spacing w:before="20" w:after="20"/>
              <w:jc w:val="left"/>
            </w:pPr>
            <w:r>
              <w:rPr>
                <w:rFonts w:ascii="Calibri" w:hAnsi="Calibri"/>
                <w:color w:val="333333"/>
                <w:sz w:val="18"/>
              </w:rPr>
              <w:t>Standard Compliant Claim</w:t>
            </w:r>
          </w:p>
        </w:tc>
        <w:tc>
          <w:tcPr>
            <w:tcW w:type="dxa" w:w="2592"/>
            <w:shd w:fill="FFFFFF"/>
            <w:tcMar>
              <w:top w:w="80" w:type="dxa"/>
              <w:bottom w:w="80" w:type="dxa"/>
              <w:left w:w="120" w:type="dxa"/>
              <w:right w:w="120" w:type="dxa"/>
            </w:tcMar>
          </w:tcPr>
          <w:p>
            <w:pPr>
              <w:spacing w:before="20" w:after="20"/>
              <w:jc w:val="left"/>
            </w:pPr>
            <w:r>
              <w:rPr>
                <w:rFonts w:ascii="Calibri" w:hAnsi="Calibri"/>
                <w:color w:val="333333"/>
                <w:sz w:val="18"/>
              </w:rPr>
              <w:t>14,500 FCFA, 2-day stay, active policy, tariff matched, no breaches.</w:t>
            </w:r>
          </w:p>
        </w:tc>
        <w:tc>
          <w:tcPr>
            <w:tcW w:type="dxa" w:w="1584"/>
            <w:shd w:fill="FFFFFF"/>
            <w:tcMar>
              <w:top w:w="80" w:type="dxa"/>
              <w:bottom w:w="80" w:type="dxa"/>
              <w:left w:w="120" w:type="dxa"/>
              <w:right w:w="120" w:type="dxa"/>
            </w:tcMar>
          </w:tcPr>
          <w:p>
            <w:pPr>
              <w:spacing w:before="20" w:after="20"/>
              <w:jc w:val="left"/>
            </w:pPr>
            <w:r>
              <w:rPr>
                <w:rFonts w:ascii="Calibri" w:hAnsi="Calibri"/>
                <w:color w:val="333333"/>
                <w:sz w:val="18"/>
              </w:rPr>
              <w:t>8.08%</w:t>
            </w:r>
          </w:p>
        </w:tc>
        <w:tc>
          <w:tcPr>
            <w:tcW w:type="dxa" w:w="1584"/>
            <w:shd w:fill="FFFFFF"/>
            <w:tcMar>
              <w:top w:w="80" w:type="dxa"/>
              <w:bottom w:w="80" w:type="dxa"/>
              <w:left w:w="120" w:type="dxa"/>
              <w:right w:w="120" w:type="dxa"/>
            </w:tcMar>
          </w:tcPr>
          <w:p>
            <w:pPr>
              <w:spacing w:before="20" w:after="20"/>
              <w:jc w:val="left"/>
            </w:pPr>
            <w:r>
              <w:rPr>
                <w:rFonts w:ascii="Calibri" w:hAnsi="Calibri"/>
                <w:color w:val="333333"/>
                <w:sz w:val="18"/>
              </w:rPr>
              <w:t>LOW_RISK (Fast-track)</w:t>
            </w:r>
          </w:p>
        </w:tc>
        <w:tc>
          <w:tcPr>
            <w:tcW w:type="dxa" w:w="2160"/>
            <w:shd w:fill="FFFFFF"/>
            <w:tcMar>
              <w:top w:w="80" w:type="dxa"/>
              <w:bottom w:w="80" w:type="dxa"/>
              <w:left w:w="120" w:type="dxa"/>
              <w:right w:w="120" w:type="dxa"/>
            </w:tcMar>
          </w:tcPr>
          <w:p>
            <w:pPr>
              <w:spacing w:before="20" w:after="20"/>
              <w:jc w:val="left"/>
            </w:pPr>
            <w:r>
              <w:rPr>
                <w:rFonts w:ascii="Calibri" w:hAnsi="Calibri"/>
                <w:color w:val="333333"/>
                <w:sz w:val="18"/>
              </w:rPr>
              <w:t>Policy valid; tariff compliant; standard facility history.</w:t>
            </w:r>
          </w:p>
        </w:tc>
      </w:tr>
      <w:tr>
        <w:tc>
          <w:tcPr>
            <w:tcW w:type="dxa" w:w="2160"/>
            <w:shd w:fill="F9FAFC"/>
            <w:tcMar>
              <w:top w:w="80" w:type="dxa"/>
              <w:bottom w:w="80" w:type="dxa"/>
              <w:left w:w="120" w:type="dxa"/>
              <w:right w:w="120" w:type="dxa"/>
            </w:tcMar>
          </w:tcPr>
          <w:p>
            <w:pPr>
              <w:spacing w:before="20" w:after="20"/>
              <w:jc w:val="left"/>
            </w:pPr>
            <w:r>
              <w:rPr>
                <w:rFonts w:ascii="Calibri" w:hAnsi="Calibri"/>
                <w:color w:val="333333"/>
                <w:sz w:val="18"/>
              </w:rPr>
              <w:t>High-Risk Fraud Claim</w:t>
            </w:r>
          </w:p>
        </w:tc>
        <w:tc>
          <w:tcPr>
            <w:tcW w:type="dxa" w:w="2592"/>
            <w:shd w:fill="F9FAFC"/>
            <w:tcMar>
              <w:top w:w="80" w:type="dxa"/>
              <w:bottom w:w="80" w:type="dxa"/>
              <w:left w:w="120" w:type="dxa"/>
              <w:right w:w="120" w:type="dxa"/>
            </w:tcMar>
          </w:tcPr>
          <w:p>
            <w:pPr>
              <w:spacing w:before="20" w:after="20"/>
              <w:jc w:val="left"/>
            </w:pPr>
            <w:r>
              <w:rPr>
                <w:rFonts w:ascii="Calibri" w:hAnsi="Calibri"/>
                <w:color w:val="333333"/>
                <w:sz w:val="18"/>
              </w:rPr>
              <w:t>165,000 FCFA, policy expired 1+ year ago, 13x tariff markup, 40d delay.</w:t>
            </w:r>
          </w:p>
        </w:tc>
        <w:tc>
          <w:tcPr>
            <w:tcW w:type="dxa" w:w="1584"/>
            <w:shd w:fill="F9FAFC"/>
            <w:tcMar>
              <w:top w:w="80" w:type="dxa"/>
              <w:bottom w:w="80" w:type="dxa"/>
              <w:left w:w="120" w:type="dxa"/>
              <w:right w:w="120" w:type="dxa"/>
            </w:tcMar>
          </w:tcPr>
          <w:p>
            <w:pPr>
              <w:spacing w:before="20" w:after="20"/>
              <w:jc w:val="left"/>
            </w:pPr>
            <w:r>
              <w:rPr>
                <w:rFonts w:ascii="Calibri" w:hAnsi="Calibri"/>
                <w:color w:val="333333"/>
                <w:sz w:val="18"/>
              </w:rPr>
              <w:t>97.71%</w:t>
            </w:r>
          </w:p>
        </w:tc>
        <w:tc>
          <w:tcPr>
            <w:tcW w:type="dxa" w:w="1584"/>
            <w:shd w:fill="F9FAFC"/>
            <w:tcMar>
              <w:top w:w="80" w:type="dxa"/>
              <w:bottom w:w="80" w:type="dxa"/>
              <w:left w:w="120" w:type="dxa"/>
              <w:right w:w="120" w:type="dxa"/>
            </w:tcMar>
          </w:tcPr>
          <w:p>
            <w:pPr>
              <w:spacing w:before="20" w:after="20"/>
              <w:jc w:val="left"/>
            </w:pPr>
            <w:r>
              <w:rPr>
                <w:rFonts w:ascii="Calibri" w:hAnsi="Calibri"/>
                <w:color w:val="333333"/>
                <w:sz w:val="18"/>
              </w:rPr>
              <w:t>CRITICAL (Audit Alert)</w:t>
            </w:r>
          </w:p>
        </w:tc>
        <w:tc>
          <w:tcPr>
            <w:tcW w:type="dxa" w:w="2160"/>
            <w:shd w:fill="F9FAFC"/>
            <w:tcMar>
              <w:top w:w="80" w:type="dxa"/>
              <w:bottom w:w="80" w:type="dxa"/>
              <w:left w:w="120" w:type="dxa"/>
              <w:right w:w="120" w:type="dxa"/>
            </w:tcMar>
          </w:tcPr>
          <w:p>
            <w:pPr>
              <w:spacing w:before="20" w:after="20"/>
              <w:jc w:val="left"/>
            </w:pPr>
            <w:r>
              <w:rPr>
                <w:rFonts w:ascii="Calibri" w:hAnsi="Calibri"/>
                <w:color w:val="333333"/>
                <w:sz w:val="18"/>
              </w:rPr>
              <w:t>1. Policy expired 465d (+4.51)</w:t>
              <w:br/>
              <w:t>2. Expired policy flag (+2.16)</w:t>
              <w:br/>
              <w:t>3. Excessive cost/day (+0.79)</w:t>
            </w:r>
          </w:p>
        </w:tc>
      </w:tr>
    </w:tbl>
    <w:p>
      <w:pPr>
        <w:spacing w:after="120"/>
      </w:pP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