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84C78"/>
          <w:sz w:val="52"/>
        </w:rPr>
        <w:t>HDBSCAN glosh</w:t>
      </w:r>
    </w:p>
    <w:p>
      <w:pPr>
        <w:spacing w:after="280"/>
        <w:jc w:val="center"/>
      </w:pPr>
      <w:r>
        <w:rPr>
          <w:rFonts w:ascii="Calibri" w:hAnsi="Calibri"/>
          <w:color w:val="2980B9"/>
          <w:sz w:val="26"/>
        </w:rPr>
        <w:t>Provider-Level Healthcare Claim Anomaly Detection &amp; Audit Prioritization</w:t>
        <w:br/>
        <w:t>Cameroon openIMIS National Insurance Database</w:t>
      </w:r>
    </w:p>
    <w:p>
      <w:pPr>
        <w:spacing w:after="360"/>
        <w:jc w:val="center"/>
      </w:pPr>
      <w:r>
        <w:rPr>
          <w:rFonts w:ascii="Calibri" w:hAnsi="Calibri"/>
          <w:i/>
          <w:color w:val="646464"/>
          <w:sz w:val="19"/>
        </w:rPr>
        <w:t>Data and Design Lab  |  Technical Review &amp; Operational Implementation Report  |  2026</w:t>
      </w:r>
    </w:p>
    <w:p>
      <w:pPr>
        <w:keepNext/>
        <w:spacing w:before="360" w:after="120"/>
      </w:pPr>
      <w:r>
        <w:rPr>
          <w:rFonts w:ascii="Calibri" w:hAnsi="Calibri"/>
          <w:b/>
          <w:color w:val="184C78"/>
          <w:sz w:val="32"/>
        </w:rPr>
        <w:t>1. Executive Summary</w:t>
      </w:r>
    </w:p>
    <w:p>
      <w:pPr>
        <w:spacing w:before="0" w:after="120" w:line="276" w:lineRule="auto"/>
      </w:pPr>
      <w:r>
        <w:rPr>
          <w:rFonts w:ascii="Calibri" w:hAnsi="Calibri"/>
          <w:color w:val="282828"/>
          <w:sz w:val="20"/>
        </w:rPr>
        <w:t>Traditional healthcare fraud detection mechanisms evaluate claims in isolation at the individual transaction level. However, the most financially destructive fraud schemes in healthcare reimbursement systems—including systematic unbundling, phantom billing, uniform upcoding, and batch claim dumping—are coordinated at the health facility (hospital/clinic) level over time. This project develops an unsupervised, density-based machine learning pipeline combining HDBSCAN (Hierarchical Density-Based Spatial Clustering of Applications with Noise) and GLOSH (Global-Local Outlier Score from Hierarchies) to identify anomalous, high-risk provider behaviors across the national Cameroon openIMIS database.</w:t>
      </w:r>
    </w:p>
    <w:p>
      <w:pPr>
        <w:spacing w:before="0" w:after="120" w:line="276" w:lineRule="auto"/>
      </w:pPr>
      <w:r>
        <w:rPr>
          <w:rFonts w:ascii="Calibri" w:hAnsi="Calibri"/>
          <w:color w:val="282828"/>
          <w:sz w:val="20"/>
        </w:rPr>
        <w:t>By aggregating 2,785,424 adjudicated claims into 11,160 monthly provider behavioral profiles (Health Facility ID x Calendar Month), the model captures multi-dimensional operational metrics including volume surges, financial discrepancy, length of stay distortions, backdating ratios, procedure omission rates, and adjudication rejection concentrations. The system discovered 8 normative hospital operating archetypes and flagged 5,629 profiles (50.4%) exhibiting varying degrees of structural anomaly, assigning a continuous GLOSH anomaly score from 0.0 to 1.0. A surrogate LightGBM model with TreeSHAP explains the root cause drivers behind every flagged facility.</w:t>
      </w:r>
    </w:p>
    <w:tbl>
      <w:tblPr>
        <w:tblW w:type="auto" w:w="0"/>
        <w:jc w:val="center"/>
        <w:tblLook w:firstColumn="1" w:firstRow="1" w:lastColumn="0" w:lastRow="0" w:noHBand="0" w:noVBand="1" w:val="04A0"/>
      </w:tblPr>
      <w:tblGrid>
        <w:gridCol w:w="10080"/>
      </w:tblGrid>
      <w:tr>
        <w:tc>
          <w:tcPr>
            <w:tcW w:type="dxa" w:w="10080"/>
            <w:shd w:fill="F4F7FA"/>
            <w:tcMar>
              <w:top w:w="100" w:type="dxa"/>
              <w:bottom w:w="100" w:type="dxa"/>
              <w:left w:w="140" w:type="dxa"/>
              <w:right w:w="140" w:type="dxa"/>
            </w:tcMar>
            <w:tcBorders>
              <w:left w:val="single" w:sz="24" w:space="0" w:color="184C78"/>
              <w:top w:val="none"/>
              <w:right w:val="none"/>
              <w:bottom w:val="none"/>
            </w:tcBorders>
          </w:tcPr>
          <w:p>
            <w:pPr>
              <w:spacing w:after="0" w:line="276" w:lineRule="auto"/>
            </w:pPr>
            <w:r>
              <w:rPr>
                <w:rFonts w:ascii="Calibri" w:hAnsi="Calibri"/>
                <w:b/>
                <w:color w:val="184C78"/>
                <w:sz w:val="19"/>
              </w:rPr>
              <w:t xml:space="preserve">Core Value Proposition: </w:t>
            </w:r>
            <w:r>
              <w:rPr>
                <w:rFonts w:ascii="Calibri" w:hAnsi="Calibri"/>
                <w:color w:val="282828"/>
                <w:sz w:val="19"/>
              </w:rPr>
              <w:t>Shifting from claim-level to facility-month grain eliminates single-transaction false positives and isolates systemic provider billing drift. GLOSH scores pinpoint rural and secondary providers with abnormal billing behaviors relative to local clusters, which global statistical thresholds completely overlook.</w:t>
            </w:r>
          </w:p>
        </w:tc>
      </w:tr>
    </w:tbl>
    <w:p>
      <w:pPr>
        <w:spacing w:after="120"/>
      </w:pPr>
    </w:p>
    <w:p>
      <w:pPr>
        <w:keepNext/>
        <w:spacing w:before="360" w:after="120"/>
      </w:pPr>
      <w:r>
        <w:rPr>
          <w:rFonts w:ascii="Calibri" w:hAnsi="Calibri"/>
          <w:b/>
          <w:color w:val="184C78"/>
          <w:sz w:val="32"/>
        </w:rPr>
        <w:t>2. What We Did</w:t>
      </w:r>
    </w:p>
    <w:p>
      <w:pPr>
        <w:spacing w:before="0" w:after="120" w:line="276" w:lineRule="auto"/>
      </w:pPr>
      <w:r>
        <w:rPr>
          <w:rFonts w:ascii="Calibri" w:hAnsi="Calibri"/>
          <w:color w:val="282828"/>
          <w:sz w:val="20"/>
        </w:rPr>
        <w:t>We designed, implemented, evaluated, and operationalized an unsupervised provider-level fraud detection framework. The workflow encompasses six sequential pipeline stages:</w:t>
      </w:r>
    </w:p>
    <w:p>
      <w:pPr>
        <w:spacing w:before="0" w:after="120" w:line="276" w:lineRule="auto"/>
      </w:pPr>
      <w:r>
        <w:rPr>
          <w:rFonts w:ascii="Calibri" w:hAnsi="Calibri"/>
          <w:color w:val="282828"/>
          <w:sz w:val="20"/>
        </w:rPr>
        <w:t>1. Large-Scale Multi-Table Ingestion: Ingested 2,785,424 adjudicated claims from TblClaim.csv joined with 15,774,762 procedure line items from TblClaimServices.csv.</w:t>
      </w:r>
    </w:p>
    <w:p>
      <w:pPr>
        <w:spacing w:before="0" w:after="120" w:line="276" w:lineRule="auto"/>
      </w:pPr>
      <w:r>
        <w:rPr>
          <w:rFonts w:ascii="Calibri" w:hAnsi="Calibri"/>
          <w:color w:val="282828"/>
          <w:sz w:val="20"/>
        </w:rPr>
        <w:t>2. Longitudinal Aggregation: Collated individual transactions into 11,160 unique provider-month profiles (grain: Hfid + ProfileMonth).</w:t>
      </w:r>
    </w:p>
    <w:p>
      <w:pPr>
        <w:spacing w:before="0" w:after="120" w:line="276" w:lineRule="auto"/>
      </w:pPr>
      <w:r>
        <w:rPr>
          <w:rFonts w:ascii="Calibri" w:hAnsi="Calibri"/>
          <w:color w:val="282828"/>
          <w:sz w:val="20"/>
        </w:rPr>
        <w:t>3. Multi-Dimensional Feature Engineering: Formulated 12 domain-tailored metrics capturing financial scale, patient flow, temporal anomalies, and procedure compliance.</w:t>
      </w:r>
    </w:p>
    <w:p>
      <w:pPr>
        <w:spacing w:before="0" w:after="120" w:line="276" w:lineRule="auto"/>
      </w:pPr>
      <w:r>
        <w:rPr>
          <w:rFonts w:ascii="Calibri" w:hAnsi="Calibri"/>
          <w:color w:val="282828"/>
          <w:sz w:val="20"/>
        </w:rPr>
        <w:t>4. Robust Feature Normalization: Applied RobustScaler to prevent tertiary high-volume hospitals from distorting Euclidean distance topologies.</w:t>
      </w:r>
    </w:p>
    <w:p>
      <w:pPr>
        <w:spacing w:before="0" w:after="120" w:line="276" w:lineRule="auto"/>
      </w:pPr>
      <w:r>
        <w:rPr>
          <w:rFonts w:ascii="Calibri" w:hAnsi="Calibri"/>
          <w:color w:val="282828"/>
          <w:sz w:val="20"/>
        </w:rPr>
        <w:t>5. Hierarchical Density Clustering &amp; GLOSH Outlier Scoring: Fitted HDBSCAN (min_cluster_size=30, min_samples=15) to detect non-spherical clusters and compute continuous GLOSH outlier scores.</w:t>
      </w:r>
    </w:p>
    <w:p>
      <w:pPr>
        <w:spacing w:before="0" w:after="120" w:line="276" w:lineRule="auto"/>
      </w:pPr>
      <w:r>
        <w:rPr>
          <w:rFonts w:ascii="Calibri" w:hAnsi="Calibri"/>
          <w:color w:val="282828"/>
          <w:sz w:val="20"/>
        </w:rPr>
        <w:t>6. Surrogate Explainability Engine: Trained a LightGBM surrogate classifier on the top 5% GLOSH outliers with TreeSHAP to provide human-interpretable root causes for medical auditors.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520"/>
        <w:gridCol w:w="2520"/>
        <w:gridCol w:w="2520"/>
        <w:gridCol w:w="2520"/>
      </w:tblGrid>
      <w:tr>
        <w:tc>
          <w:tcPr>
            <w:tcW w:type="dxa" w:w="1872"/>
            <w:shd w:fill="184C78"/>
            <w:tcMar>
              <w:top w:w="100" w:type="dxa"/>
              <w:bottom w:w="100" w:type="dxa"/>
              <w:left w:w="100" w:type="dxa"/>
              <w:right w:w="100" w:type="dxa"/>
            </w:tcMar>
          </w:tcPr>
          <w:p>
            <w:pPr>
              <w:jc w:val="left"/>
            </w:pPr>
            <w:r>
              <w:rPr>
                <w:rFonts w:ascii="Calibri" w:hAnsi="Calibri"/>
                <w:b/>
                <w:color w:val="FFFFFF"/>
                <w:sz w:val="19"/>
              </w:rPr>
              <w:t>Pipeline Stage</w:t>
            </w:r>
          </w:p>
        </w:tc>
        <w:tc>
          <w:tcPr>
            <w:tcW w:type="dxa" w:w="2304"/>
            <w:shd w:fill="184C78"/>
            <w:tcMar>
              <w:top w:w="100" w:type="dxa"/>
              <w:bottom w:w="100" w:type="dxa"/>
              <w:left w:w="100" w:type="dxa"/>
              <w:right w:w="100" w:type="dxa"/>
            </w:tcMar>
          </w:tcPr>
          <w:p>
            <w:pPr>
              <w:jc w:val="left"/>
            </w:pPr>
            <w:r>
              <w:rPr>
                <w:rFonts w:ascii="Calibri" w:hAnsi="Calibri"/>
                <w:b/>
                <w:color w:val="FFFFFF"/>
                <w:sz w:val="19"/>
              </w:rPr>
              <w:t>Input Data</w:t>
            </w:r>
          </w:p>
        </w:tc>
        <w:tc>
          <w:tcPr>
            <w:tcW w:type="dxa" w:w="3168"/>
            <w:shd w:fill="184C78"/>
            <w:tcMar>
              <w:top w:w="100" w:type="dxa"/>
              <w:bottom w:w="100" w:type="dxa"/>
              <w:left w:w="100" w:type="dxa"/>
              <w:right w:w="100" w:type="dxa"/>
            </w:tcMar>
          </w:tcPr>
          <w:p>
            <w:pPr>
              <w:jc w:val="left"/>
            </w:pPr>
            <w:r>
              <w:rPr>
                <w:rFonts w:ascii="Calibri" w:hAnsi="Calibri"/>
                <w:b/>
                <w:color w:val="FFFFFF"/>
                <w:sz w:val="19"/>
              </w:rPr>
              <w:t>Transformation / Algorithm</w:t>
            </w:r>
          </w:p>
        </w:tc>
        <w:tc>
          <w:tcPr>
            <w:tcW w:type="dxa" w:w="2736"/>
            <w:shd w:fill="184C78"/>
            <w:tcMar>
              <w:top w:w="100" w:type="dxa"/>
              <w:bottom w:w="100" w:type="dxa"/>
              <w:left w:w="100" w:type="dxa"/>
              <w:right w:w="100" w:type="dxa"/>
            </w:tcMar>
          </w:tcPr>
          <w:p>
            <w:pPr>
              <w:jc w:val="left"/>
            </w:pPr>
            <w:r>
              <w:rPr>
                <w:rFonts w:ascii="Calibri" w:hAnsi="Calibri"/>
                <w:b/>
                <w:color w:val="FFFFFF"/>
                <w:sz w:val="19"/>
              </w:rPr>
              <w:t>Output Artifact</w:t>
            </w:r>
          </w:p>
        </w:tc>
      </w:tr>
      <w:tr>
        <w:tc>
          <w:tcPr>
            <w:tcW w:type="dxa" w:w="1872"/>
            <w:shd w:fill="FFFFFF"/>
            <w:tcMar>
              <w:top w:w="70" w:type="dxa"/>
              <w:bottom w:w="70" w:type="dxa"/>
              <w:left w:w="100" w:type="dxa"/>
              <w:right w:w="100" w:type="dxa"/>
            </w:tcMar>
          </w:tcPr>
          <w:p>
            <w:r>
              <w:rPr>
                <w:rFonts w:ascii="Calibri" w:hAnsi="Calibri"/>
                <w:color w:val="282828"/>
                <w:sz w:val="18"/>
              </w:rPr>
              <w:t>1. Data Ingestion</w:t>
            </w:r>
          </w:p>
        </w:tc>
        <w:tc>
          <w:tcPr>
            <w:tcW w:type="dxa" w:w="2304"/>
            <w:shd w:fill="FFFFFF"/>
            <w:tcMar>
              <w:top w:w="70" w:type="dxa"/>
              <w:bottom w:w="70" w:type="dxa"/>
              <w:left w:w="100" w:type="dxa"/>
              <w:right w:w="100" w:type="dxa"/>
            </w:tcMar>
          </w:tcPr>
          <w:p>
            <w:r>
              <w:rPr>
                <w:rFonts w:ascii="Calibri" w:hAnsi="Calibri"/>
                <w:color w:val="282828"/>
                <w:sz w:val="18"/>
              </w:rPr>
              <w:t>TblClaim.csv, TblClaimServices.csv</w:t>
            </w:r>
          </w:p>
        </w:tc>
        <w:tc>
          <w:tcPr>
            <w:tcW w:type="dxa" w:w="3168"/>
            <w:shd w:fill="FFFFFF"/>
            <w:tcMar>
              <w:top w:w="70" w:type="dxa"/>
              <w:bottom w:w="70" w:type="dxa"/>
              <w:left w:w="100" w:type="dxa"/>
              <w:right w:w="100" w:type="dxa"/>
            </w:tcMar>
          </w:tcPr>
          <w:p>
            <w:r>
              <w:rPr>
                <w:rFonts w:ascii="Calibri" w:hAnsi="Calibri"/>
                <w:color w:val="282828"/>
                <w:sz w:val="18"/>
              </w:rPr>
              <w:t>Chunked streaming (2M rows), Unicode cleaning, date parsing</w:t>
            </w:r>
          </w:p>
        </w:tc>
        <w:tc>
          <w:tcPr>
            <w:tcW w:type="dxa" w:w="2736"/>
            <w:shd w:fill="FFFFFF"/>
            <w:tcMar>
              <w:top w:w="70" w:type="dxa"/>
              <w:bottom w:w="70" w:type="dxa"/>
              <w:left w:w="100" w:type="dxa"/>
              <w:right w:w="100" w:type="dxa"/>
            </w:tcMar>
          </w:tcPr>
          <w:p>
            <w:r>
              <w:rPr>
                <w:rFonts w:ascii="Calibri" w:hAnsi="Calibri"/>
                <w:color w:val="282828"/>
                <w:sz w:val="18"/>
              </w:rPr>
              <w:t>Unified Claim Dataframe (2.78M rows)</w:t>
            </w:r>
          </w:p>
        </w:tc>
      </w:tr>
      <w:tr>
        <w:tc>
          <w:tcPr>
            <w:tcW w:type="dxa" w:w="1872"/>
            <w:shd w:fill="F4F7FA"/>
            <w:tcMar>
              <w:top w:w="70" w:type="dxa"/>
              <w:bottom w:w="70" w:type="dxa"/>
              <w:left w:w="100" w:type="dxa"/>
              <w:right w:w="100" w:type="dxa"/>
            </w:tcMar>
          </w:tcPr>
          <w:p>
            <w:r>
              <w:rPr>
                <w:rFonts w:ascii="Calibri" w:hAnsi="Calibri"/>
                <w:color w:val="282828"/>
                <w:sz w:val="18"/>
              </w:rPr>
              <w:t>2. Temporal Aggregation</w:t>
            </w:r>
          </w:p>
        </w:tc>
        <w:tc>
          <w:tcPr>
            <w:tcW w:type="dxa" w:w="2304"/>
            <w:shd w:fill="F4F7FA"/>
            <w:tcMar>
              <w:top w:w="70" w:type="dxa"/>
              <w:bottom w:w="70" w:type="dxa"/>
              <w:left w:w="100" w:type="dxa"/>
              <w:right w:w="100" w:type="dxa"/>
            </w:tcMar>
          </w:tcPr>
          <w:p>
            <w:r>
              <w:rPr>
                <w:rFonts w:ascii="Calibri" w:hAnsi="Calibri"/>
                <w:color w:val="282828"/>
                <w:sz w:val="18"/>
              </w:rPr>
              <w:t>Unified Claim Dataframe</w:t>
            </w:r>
          </w:p>
        </w:tc>
        <w:tc>
          <w:tcPr>
            <w:tcW w:type="dxa" w:w="3168"/>
            <w:shd w:fill="F4F7FA"/>
            <w:tcMar>
              <w:top w:w="70" w:type="dxa"/>
              <w:bottom w:w="70" w:type="dxa"/>
              <w:left w:w="100" w:type="dxa"/>
              <w:right w:w="100" w:type="dxa"/>
            </w:tcMar>
          </w:tcPr>
          <w:p>
            <w:r>
              <w:rPr>
                <w:rFonts w:ascii="Calibri" w:hAnsi="Calibri"/>
                <w:color w:val="282828"/>
                <w:sz w:val="18"/>
              </w:rPr>
              <w:t>Groupby (Hfid, Month), filter &lt;20 claims/month</w:t>
            </w:r>
          </w:p>
        </w:tc>
        <w:tc>
          <w:tcPr>
            <w:tcW w:type="dxa" w:w="2736"/>
            <w:shd w:fill="F4F7FA"/>
            <w:tcMar>
              <w:top w:w="70" w:type="dxa"/>
              <w:bottom w:w="70" w:type="dxa"/>
              <w:left w:w="100" w:type="dxa"/>
              <w:right w:w="100" w:type="dxa"/>
            </w:tcMar>
          </w:tcPr>
          <w:p>
            <w:r>
              <w:rPr>
                <w:rFonts w:ascii="Calibri" w:hAnsi="Calibri"/>
                <w:color w:val="282828"/>
                <w:sz w:val="18"/>
              </w:rPr>
              <w:t>11,160 Hospital-Month Profiles</w:t>
            </w:r>
          </w:p>
        </w:tc>
      </w:tr>
      <w:tr>
        <w:tc>
          <w:tcPr>
            <w:tcW w:type="dxa" w:w="1872"/>
            <w:shd w:fill="FFFFFF"/>
            <w:tcMar>
              <w:top w:w="70" w:type="dxa"/>
              <w:bottom w:w="70" w:type="dxa"/>
              <w:left w:w="100" w:type="dxa"/>
              <w:right w:w="100" w:type="dxa"/>
            </w:tcMar>
          </w:tcPr>
          <w:p>
            <w:r>
              <w:rPr>
                <w:rFonts w:ascii="Calibri" w:hAnsi="Calibri"/>
                <w:color w:val="282828"/>
                <w:sz w:val="18"/>
              </w:rPr>
              <w:t>3. Feature Engineering</w:t>
            </w:r>
          </w:p>
        </w:tc>
        <w:tc>
          <w:tcPr>
            <w:tcW w:type="dxa" w:w="2304"/>
            <w:shd w:fill="FFFFFF"/>
            <w:tcMar>
              <w:top w:w="70" w:type="dxa"/>
              <w:bottom w:w="70" w:type="dxa"/>
              <w:left w:w="100" w:type="dxa"/>
              <w:right w:w="100" w:type="dxa"/>
            </w:tcMar>
          </w:tcPr>
          <w:p>
            <w:r>
              <w:rPr>
                <w:rFonts w:ascii="Calibri" w:hAnsi="Calibri"/>
                <w:color w:val="282828"/>
                <w:sz w:val="18"/>
              </w:rPr>
              <w:t>Aggregated Profiles</w:t>
            </w:r>
          </w:p>
        </w:tc>
        <w:tc>
          <w:tcPr>
            <w:tcW w:type="dxa" w:w="3168"/>
            <w:shd w:fill="FFFFFF"/>
            <w:tcMar>
              <w:top w:w="70" w:type="dxa"/>
              <w:bottom w:w="70" w:type="dxa"/>
              <w:left w:w="100" w:type="dxa"/>
              <w:right w:w="100" w:type="dxa"/>
            </w:tcMar>
          </w:tcPr>
          <w:p>
            <w:r>
              <w:rPr>
                <w:rFonts w:ascii="Calibri" w:hAnsi="Calibri"/>
                <w:color w:val="282828"/>
                <w:sz w:val="18"/>
              </w:rPr>
              <w:t>12 financial, temporal, and clinical procedure metrics</w:t>
            </w:r>
          </w:p>
        </w:tc>
        <w:tc>
          <w:tcPr>
            <w:tcW w:type="dxa" w:w="2736"/>
            <w:shd w:fill="FFFFFF"/>
            <w:tcMar>
              <w:top w:w="70" w:type="dxa"/>
              <w:bottom w:w="70" w:type="dxa"/>
              <w:left w:w="100" w:type="dxa"/>
              <w:right w:w="100" w:type="dxa"/>
            </w:tcMar>
          </w:tcPr>
          <w:p>
            <w:r>
              <w:rPr>
                <w:rFonts w:ascii="Calibri" w:hAnsi="Calibri"/>
                <w:color w:val="282828"/>
                <w:sz w:val="18"/>
              </w:rPr>
              <w:t>12-Dimensional Feature Matrix</w:t>
            </w:r>
          </w:p>
        </w:tc>
      </w:tr>
      <w:tr>
        <w:tc>
          <w:tcPr>
            <w:tcW w:type="dxa" w:w="1872"/>
            <w:shd w:fill="F4F7FA"/>
            <w:tcMar>
              <w:top w:w="70" w:type="dxa"/>
              <w:bottom w:w="70" w:type="dxa"/>
              <w:left w:w="100" w:type="dxa"/>
              <w:right w:w="100" w:type="dxa"/>
            </w:tcMar>
          </w:tcPr>
          <w:p>
            <w:r>
              <w:rPr>
                <w:rFonts w:ascii="Calibri" w:hAnsi="Calibri"/>
                <w:color w:val="282828"/>
                <w:sz w:val="18"/>
              </w:rPr>
              <w:t>4. Feature Scaling</w:t>
            </w:r>
          </w:p>
        </w:tc>
        <w:tc>
          <w:tcPr>
            <w:tcW w:type="dxa" w:w="2304"/>
            <w:shd w:fill="F4F7FA"/>
            <w:tcMar>
              <w:top w:w="70" w:type="dxa"/>
              <w:bottom w:w="70" w:type="dxa"/>
              <w:left w:w="100" w:type="dxa"/>
              <w:right w:w="100" w:type="dxa"/>
            </w:tcMar>
          </w:tcPr>
          <w:p>
            <w:r>
              <w:rPr>
                <w:rFonts w:ascii="Calibri" w:hAnsi="Calibri"/>
                <w:color w:val="282828"/>
                <w:sz w:val="18"/>
              </w:rPr>
              <w:t>12-D Feature Matrix</w:t>
            </w:r>
          </w:p>
        </w:tc>
        <w:tc>
          <w:tcPr>
            <w:tcW w:type="dxa" w:w="3168"/>
            <w:shd w:fill="F4F7FA"/>
            <w:tcMar>
              <w:top w:w="70" w:type="dxa"/>
              <w:bottom w:w="70" w:type="dxa"/>
              <w:left w:w="100" w:type="dxa"/>
              <w:right w:w="100" w:type="dxa"/>
            </w:tcMar>
          </w:tcPr>
          <w:p>
            <w:r>
              <w:rPr>
                <w:rFonts w:ascii="Calibri" w:hAnsi="Calibri"/>
                <w:color w:val="282828"/>
                <w:sz w:val="18"/>
              </w:rPr>
              <w:t>RobustScaler (median centering, IQR scaling)</w:t>
            </w:r>
          </w:p>
        </w:tc>
        <w:tc>
          <w:tcPr>
            <w:tcW w:type="dxa" w:w="2736"/>
            <w:shd w:fill="F4F7FA"/>
            <w:tcMar>
              <w:top w:w="70" w:type="dxa"/>
              <w:bottom w:w="70" w:type="dxa"/>
              <w:left w:w="100" w:type="dxa"/>
              <w:right w:w="100" w:type="dxa"/>
            </w:tcMar>
          </w:tcPr>
          <w:p>
            <w:r>
              <w:rPr>
                <w:rFonts w:ascii="Calibri" w:hAnsi="Calibri"/>
                <w:color w:val="282828"/>
                <w:sz w:val="18"/>
              </w:rPr>
              <w:t>Scaled Feature Space X_scaled</w:t>
            </w:r>
          </w:p>
        </w:tc>
      </w:tr>
      <w:tr>
        <w:tc>
          <w:tcPr>
            <w:tcW w:type="dxa" w:w="1872"/>
            <w:shd w:fill="FFFFFF"/>
            <w:tcMar>
              <w:top w:w="70" w:type="dxa"/>
              <w:bottom w:w="70" w:type="dxa"/>
              <w:left w:w="100" w:type="dxa"/>
              <w:right w:w="100" w:type="dxa"/>
            </w:tcMar>
          </w:tcPr>
          <w:p>
            <w:r>
              <w:rPr>
                <w:rFonts w:ascii="Calibri" w:hAnsi="Calibri"/>
                <w:color w:val="282828"/>
                <w:sz w:val="18"/>
              </w:rPr>
              <w:t>5. Density Clustering</w:t>
            </w:r>
          </w:p>
        </w:tc>
        <w:tc>
          <w:tcPr>
            <w:tcW w:type="dxa" w:w="2304"/>
            <w:shd w:fill="FFFFFF"/>
            <w:tcMar>
              <w:top w:w="70" w:type="dxa"/>
              <w:bottom w:w="70" w:type="dxa"/>
              <w:left w:w="100" w:type="dxa"/>
              <w:right w:w="100" w:type="dxa"/>
            </w:tcMar>
          </w:tcPr>
          <w:p>
            <w:r>
              <w:rPr>
                <w:rFonts w:ascii="Calibri" w:hAnsi="Calibri"/>
                <w:color w:val="282828"/>
                <w:sz w:val="18"/>
              </w:rPr>
              <w:t>Scaled Feature Space</w:t>
            </w:r>
          </w:p>
        </w:tc>
        <w:tc>
          <w:tcPr>
            <w:tcW w:type="dxa" w:w="3168"/>
            <w:shd w:fill="FFFFFF"/>
            <w:tcMar>
              <w:top w:w="70" w:type="dxa"/>
              <w:bottom w:w="70" w:type="dxa"/>
              <w:left w:w="100" w:type="dxa"/>
              <w:right w:w="100" w:type="dxa"/>
            </w:tcMar>
          </w:tcPr>
          <w:p>
            <w:r>
              <w:rPr>
                <w:rFonts w:ascii="Calibri" w:hAnsi="Calibri"/>
                <w:color w:val="282828"/>
                <w:sz w:val="18"/>
              </w:rPr>
              <w:t>HDBSCAN (min_cluster_size=30, min_samples=15)</w:t>
            </w:r>
          </w:p>
        </w:tc>
        <w:tc>
          <w:tcPr>
            <w:tcW w:type="dxa" w:w="2736"/>
            <w:shd w:fill="FFFFFF"/>
            <w:tcMar>
              <w:top w:w="70" w:type="dxa"/>
              <w:bottom w:w="70" w:type="dxa"/>
              <w:left w:w="100" w:type="dxa"/>
              <w:right w:w="100" w:type="dxa"/>
            </w:tcMar>
          </w:tcPr>
          <w:p>
            <w:r>
              <w:rPr>
                <w:rFonts w:ascii="Calibri" w:hAnsi="Calibri"/>
                <w:color w:val="282828"/>
                <w:sz w:val="18"/>
              </w:rPr>
              <w:t>8 Clusters + GLOSH Scores [0, 1]</w:t>
            </w:r>
          </w:p>
        </w:tc>
      </w:tr>
      <w:tr>
        <w:tc>
          <w:tcPr>
            <w:tcW w:type="dxa" w:w="1872"/>
            <w:shd w:fill="F4F7FA"/>
            <w:tcMar>
              <w:top w:w="70" w:type="dxa"/>
              <w:bottom w:w="70" w:type="dxa"/>
              <w:left w:w="100" w:type="dxa"/>
              <w:right w:w="100" w:type="dxa"/>
            </w:tcMar>
          </w:tcPr>
          <w:p>
            <w:r>
              <w:rPr>
                <w:rFonts w:ascii="Calibri" w:hAnsi="Calibri"/>
                <w:color w:val="282828"/>
                <w:sz w:val="18"/>
              </w:rPr>
              <w:t>6. Explainability</w:t>
            </w:r>
          </w:p>
        </w:tc>
        <w:tc>
          <w:tcPr>
            <w:tcW w:type="dxa" w:w="2304"/>
            <w:shd w:fill="F4F7FA"/>
            <w:tcMar>
              <w:top w:w="70" w:type="dxa"/>
              <w:bottom w:w="70" w:type="dxa"/>
              <w:left w:w="100" w:type="dxa"/>
              <w:right w:w="100" w:type="dxa"/>
            </w:tcMar>
          </w:tcPr>
          <w:p>
            <w:r>
              <w:rPr>
                <w:rFonts w:ascii="Calibri" w:hAnsi="Calibri"/>
                <w:color w:val="282828"/>
                <w:sz w:val="18"/>
              </w:rPr>
              <w:t>GLOSH Scores + X_scaled</w:t>
            </w:r>
          </w:p>
        </w:tc>
        <w:tc>
          <w:tcPr>
            <w:tcW w:type="dxa" w:w="3168"/>
            <w:shd w:fill="F4F7FA"/>
            <w:tcMar>
              <w:top w:w="70" w:type="dxa"/>
              <w:bottom w:w="70" w:type="dxa"/>
              <w:left w:w="100" w:type="dxa"/>
              <w:right w:w="100" w:type="dxa"/>
            </w:tcMar>
          </w:tcPr>
          <w:p>
            <w:r>
              <w:rPr>
                <w:rFonts w:ascii="Calibri" w:hAnsi="Calibri"/>
                <w:color w:val="282828"/>
                <w:sz w:val="18"/>
              </w:rPr>
              <w:t>LightGBM Surrogate (Top 5%) + TreeSHAP</w:t>
            </w:r>
          </w:p>
        </w:tc>
        <w:tc>
          <w:tcPr>
            <w:tcW w:type="dxa" w:w="2736"/>
            <w:shd w:fill="F4F7FA"/>
            <w:tcMar>
              <w:top w:w="70" w:type="dxa"/>
              <w:bottom w:w="70" w:type="dxa"/>
              <w:left w:w="100" w:type="dxa"/>
              <w:right w:w="100" w:type="dxa"/>
            </w:tcMar>
          </w:tcPr>
          <w:p>
            <w:r>
              <w:rPr>
                <w:rFonts w:ascii="Calibri" w:hAnsi="Calibri"/>
                <w:color w:val="282828"/>
                <w:sz w:val="18"/>
              </w:rPr>
              <w:t>Feature Attribution Explanations</w:t>
            </w:r>
          </w:p>
        </w:tc>
      </w:tr>
    </w:tbl>
    <w:p>
      <w:pPr>
        <w:spacing w:after="160"/>
      </w:pPr>
    </w:p>
    <w:p>
      <w:pPr>
        <w:keepNext/>
        <w:spacing w:before="360" w:after="120"/>
      </w:pPr>
      <w:r>
        <w:rPr>
          <w:rFonts w:ascii="Calibri" w:hAnsi="Calibri"/>
          <w:b/>
          <w:color w:val="184C78"/>
          <w:sz w:val="32"/>
        </w:rPr>
        <w:t>3. Why We Did It (Theoretical &amp; Operational Rationale)</w:t>
      </w:r>
    </w:p>
    <w:p>
      <w:pPr>
        <w:keepNext/>
        <w:spacing w:before="240" w:after="80"/>
      </w:pPr>
      <w:r>
        <w:rPr>
          <w:rFonts w:ascii="Calibri" w:hAnsi="Calibri"/>
          <w:b/>
          <w:color w:val="2980B9"/>
          <w:sz w:val="25"/>
        </w:rPr>
        <w:t>3.1 The Limitations of Single-Claim Fraud Models</w:t>
      </w:r>
    </w:p>
    <w:p>
      <w:pPr>
        <w:spacing w:before="0" w:after="120" w:line="276" w:lineRule="auto"/>
      </w:pPr>
      <w:r>
        <w:rPr>
          <w:rFonts w:ascii="Calibri" w:hAnsi="Calibri"/>
          <w:color w:val="282828"/>
          <w:sz w:val="20"/>
        </w:rPr>
        <w:t>Individual transaction-level fraud models (e.g., supervised claim rejection classifiers or single-claim autoencoders) assess whether an individual claim appears typical. However, corrupt facilities easily defeat transaction models by billing hundreds of low-value, plausible-looking claims ('smurfing' or claim splitting) that individually fall below fraud thresholds. Only by viewing the facility's monthly billing distribution does the systemic pattern emerge: an unnatural surge in claims, 100% rejection concentrations, or high proportions of claims billed with zero itemized procedures.</w:t>
      </w:r>
    </w:p>
    <w:p>
      <w:pPr>
        <w:keepNext/>
        <w:spacing w:before="240" w:after="80"/>
      </w:pPr>
      <w:r>
        <w:rPr>
          <w:rFonts w:ascii="Calibri" w:hAnsi="Calibri"/>
          <w:b/>
          <w:color w:val="2980B9"/>
          <w:sz w:val="25"/>
        </w:rPr>
        <w:t>3.2 Why Traditional Clustering (K-Means) Fails in Healthcare</w:t>
      </w:r>
    </w:p>
    <w:p>
      <w:pPr>
        <w:spacing w:before="0" w:after="120" w:line="276" w:lineRule="auto"/>
      </w:pPr>
      <w:r>
        <w:rPr>
          <w:rFonts w:ascii="Calibri" w:hAnsi="Calibri"/>
          <w:color w:val="282828"/>
          <w:sz w:val="20"/>
        </w:rPr>
        <w:t>Standard clustering methods like K-Means assume that clusters are spherical, equally sized, and of uniform density. In healthcare administration, this assumption is completely violated: a rural dispensary submits 30 claims a month with modest costs, while a regional teaching hospital submits 5,000 claims with complex intensive care procedures. K-Means forces arbitrary boundaries and labels low-volume rural clinics as outliers simply because their scale differs from urban centers.</w:t>
      </w:r>
    </w:p>
    <w:p>
      <w:pPr>
        <w:keepNext/>
        <w:spacing w:before="240" w:after="80"/>
      </w:pPr>
      <w:r>
        <w:rPr>
          <w:rFonts w:ascii="Calibri" w:hAnsi="Calibri"/>
          <w:b/>
          <w:color w:val="2980B9"/>
          <w:sz w:val="25"/>
        </w:rPr>
        <w:t>3.3 Why HDBSCAN + GLOSH is the Optimal Methodology</w:t>
      </w:r>
    </w:p>
    <w:p>
      <w:pPr>
        <w:spacing w:before="0" w:after="120" w:line="276" w:lineRule="auto"/>
      </w:pPr>
      <w:r>
        <w:rPr>
          <w:rFonts w:ascii="Calibri" w:hAnsi="Calibri"/>
          <w:color w:val="282828"/>
          <w:sz w:val="20"/>
        </w:rPr>
        <w:t>HDBSCAN resolves these limitations through three mathematical properties:</w:t>
      </w:r>
    </w:p>
    <w:p>
      <w:pPr>
        <w:spacing w:before="0" w:after="120" w:line="276" w:lineRule="auto"/>
      </w:pPr>
      <w:r>
        <w:rPr>
          <w:rFonts w:ascii="Calibri" w:hAnsi="Calibri"/>
          <w:color w:val="282828"/>
          <w:sz w:val="20"/>
        </w:rPr>
        <w:t>• Non-Parametric Density Hierarchies: HDBSCAN converts distance space into a mutual reachability distance graph, identifying clusters of varying densities and arbitrary topological shapes.</w:t>
      </w:r>
    </w:p>
    <w:p>
      <w:pPr>
        <w:spacing w:before="0" w:after="120" w:line="276" w:lineRule="auto"/>
      </w:pPr>
      <w:r>
        <w:rPr>
          <w:rFonts w:ascii="Calibri" w:hAnsi="Calibri"/>
          <w:color w:val="282828"/>
          <w:sz w:val="20"/>
        </w:rPr>
        <w:t>• Global Noise Separation (-1): Rather than forcing every facility into an artificial cluster, HDBSCAN assigns anomalous profiles to an explicit noise cluster (-1).</w:t>
      </w:r>
    </w:p>
    <w:p>
      <w:pPr>
        <w:spacing w:before="0" w:after="120" w:line="276" w:lineRule="auto"/>
      </w:pPr>
      <w:r>
        <w:rPr>
          <w:rFonts w:ascii="Calibri" w:hAnsi="Calibri"/>
          <w:color w:val="282828"/>
          <w:sz w:val="20"/>
        </w:rPr>
        <w:t>• GLOSH (Global-Local Outlier Score from Hierarchies): Traditional outlier detectors (e.g., k-NN distance or Isolation Forest) measure global distance to the dataset centroid. GLOSH compares a point's density to the specific cluster hierarchy from which it separated. This allows the system to detect local anomalies—such as a small health post behaving abnormally relative to other small health posts, even if its total billing volume is modest.</w:t>
      </w:r>
    </w:p>
    <w:p>
      <w:pPr>
        <w:keepNext/>
        <w:spacing w:before="360" w:after="120"/>
      </w:pPr>
      <w:r>
        <w:rPr>
          <w:rFonts w:ascii="Calibri" w:hAnsi="Calibri"/>
          <w:b/>
          <w:color w:val="184C78"/>
          <w:sz w:val="32"/>
        </w:rPr>
        <w:t>4. How We Did It (Implementation Details)</w:t>
      </w:r>
    </w:p>
    <w:p>
      <w:pPr>
        <w:keepNext/>
        <w:spacing w:before="240" w:after="80"/>
      </w:pPr>
      <w:r>
        <w:rPr>
          <w:rFonts w:ascii="Calibri" w:hAnsi="Calibri"/>
          <w:b/>
          <w:color w:val="2980B9"/>
          <w:sz w:val="25"/>
        </w:rPr>
        <w:t>4.1 Robust Data Cleaning &amp; Parsing</w:t>
      </w:r>
    </w:p>
    <w:p>
      <w:pPr>
        <w:spacing w:before="0" w:after="120" w:line="276" w:lineRule="auto"/>
      </w:pPr>
      <w:r>
        <w:rPr>
          <w:rFonts w:ascii="Calibri" w:hAnsi="Calibri"/>
          <w:color w:val="282828"/>
          <w:sz w:val="20"/>
        </w:rPr>
        <w:t>Financial numbers in openIMIS contain irregular non-breaking spaces (Unicode \u00A0, \u202F, \u2009). Dates follow varied historical formats ('%d %b, %Y, %H:%M', '%Y-%m-%d %H:%M:%S', '%d/%m/%Y'). We implemented a bulletproof parser that strips non-standard Unicode spaces, parses monetary values without decimal loss, and cascades across 9 datetime formats with day-first resolution.</w:t>
      </w:r>
    </w:p>
    <w:p>
      <w:pPr>
        <w:keepNext/>
        <w:spacing w:before="240" w:after="80"/>
      </w:pPr>
      <w:r>
        <w:rPr>
          <w:rFonts w:ascii="Calibri" w:hAnsi="Calibri"/>
          <w:b/>
          <w:color w:val="2980B9"/>
          <w:sz w:val="25"/>
        </w:rPr>
        <w:t>4.2 Profile Filtering Grain &amp; Statistical Significance</w:t>
      </w:r>
    </w:p>
    <w:p>
      <w:pPr>
        <w:spacing w:before="0" w:after="120" w:line="276" w:lineRule="auto"/>
      </w:pPr>
      <w:r>
        <w:rPr>
          <w:rFonts w:ascii="Calibri" w:hAnsi="Calibri"/>
          <w:color w:val="282828"/>
          <w:sz w:val="20"/>
        </w:rPr>
        <w:t>Claims were grouped by Health Facility ID (Hfid) and Calendar Month (ProfileMonth = DateClaimed.dt.to_period('M')). To prevent severe small-sample variance—where a facility with 1 claim that is rejected exhibits a misleading 100% rejection rate—we enforced a strict volume filter of MIN_CLAIMS_FOR_PROFILE = 20 claims/month. This distilled the 2.78M claims into 11,160 statistically robust hospital-month profiles.</w:t>
      </w:r>
    </w:p>
    <w:p>
      <w:pPr>
        <w:keepNext/>
        <w:spacing w:before="240" w:after="80"/>
      </w:pPr>
      <w:r>
        <w:rPr>
          <w:rFonts w:ascii="Calibri" w:hAnsi="Calibri"/>
          <w:b/>
          <w:color w:val="2980B9"/>
          <w:sz w:val="25"/>
        </w:rPr>
        <w:t>4.3 The 12 Engineered Feature Definitions</w:t>
      </w:r>
    </w:p>
    <w:p>
      <w:pPr>
        <w:spacing w:before="0" w:after="120" w:line="276" w:lineRule="auto"/>
      </w:pPr>
      <w:r>
        <w:rPr>
          <w:rFonts w:ascii="Calibri" w:hAnsi="Calibri"/>
          <w:color w:val="282828"/>
          <w:sz w:val="20"/>
        </w:rPr>
        <w:t>We engineered 12 targeted features reflecting the primary mechanisms of provider-level fraud, waste, and abuse: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360"/>
        <w:gridCol w:w="3360"/>
        <w:gridCol w:w="3360"/>
      </w:tblGrid>
      <w:tr>
        <w:tc>
          <w:tcPr>
            <w:tcW w:type="dxa" w:w="2592"/>
            <w:shd w:fill="184C78"/>
            <w:tcMar>
              <w:top w:w="100" w:type="dxa"/>
              <w:bottom w:w="100" w:type="dxa"/>
              <w:left w:w="100" w:type="dxa"/>
              <w:right w:w="100" w:type="dxa"/>
            </w:tcMar>
          </w:tcPr>
          <w:p>
            <w:pPr>
              <w:jc w:val="left"/>
            </w:pPr>
            <w:r>
              <w:rPr>
                <w:rFonts w:ascii="Calibri" w:hAnsi="Calibri"/>
                <w:b/>
                <w:color w:val="FFFFFF"/>
                <w:sz w:val="19"/>
              </w:rPr>
              <w:t>Feature Name</w:t>
            </w:r>
          </w:p>
        </w:tc>
        <w:tc>
          <w:tcPr>
            <w:tcW w:type="dxa" w:w="3168"/>
            <w:shd w:fill="184C78"/>
            <w:tcMar>
              <w:top w:w="100" w:type="dxa"/>
              <w:bottom w:w="100" w:type="dxa"/>
              <w:left w:w="100" w:type="dxa"/>
              <w:right w:w="100" w:type="dxa"/>
            </w:tcMar>
          </w:tcPr>
          <w:p>
            <w:pPr>
              <w:jc w:val="left"/>
            </w:pPr>
            <w:r>
              <w:rPr>
                <w:rFonts w:ascii="Calibri" w:hAnsi="Calibri"/>
                <w:b/>
                <w:color w:val="FFFFFF"/>
                <w:sz w:val="19"/>
              </w:rPr>
              <w:t>Formula / Derivation</w:t>
            </w:r>
          </w:p>
        </w:tc>
        <w:tc>
          <w:tcPr>
            <w:tcW w:type="dxa" w:w="4320"/>
            <w:shd w:fill="184C78"/>
            <w:tcMar>
              <w:top w:w="100" w:type="dxa"/>
              <w:bottom w:w="100" w:type="dxa"/>
              <w:left w:w="100" w:type="dxa"/>
              <w:right w:w="100" w:type="dxa"/>
            </w:tcMar>
          </w:tcPr>
          <w:p>
            <w:pPr>
              <w:jc w:val="left"/>
            </w:pPr>
            <w:r>
              <w:rPr>
                <w:rFonts w:ascii="Calibri" w:hAnsi="Calibri"/>
                <w:b/>
                <w:color w:val="FFFFFF"/>
                <w:sz w:val="19"/>
              </w:rPr>
              <w:t>Behavioral Indicator / Fraud Mechanism</w:t>
            </w:r>
          </w:p>
        </w:tc>
      </w:tr>
      <w:tr>
        <w:tc>
          <w:tcPr>
            <w:tcW w:type="dxa" w:w="2592"/>
            <w:shd w:fill="FFFFFF"/>
            <w:tcMar>
              <w:top w:w="70" w:type="dxa"/>
              <w:bottom w:w="70" w:type="dxa"/>
              <w:left w:w="100" w:type="dxa"/>
              <w:right w:w="100" w:type="dxa"/>
            </w:tcMar>
          </w:tcPr>
          <w:p>
            <w:r>
              <w:rPr>
                <w:rFonts w:ascii="Calibri" w:hAnsi="Calibri"/>
                <w:color w:val="282828"/>
                <w:sz w:val="18"/>
              </w:rPr>
              <w:t>TotalClaims_log</w:t>
            </w:r>
          </w:p>
        </w:tc>
        <w:tc>
          <w:tcPr>
            <w:tcW w:type="dxa" w:w="3168"/>
            <w:shd w:fill="FFFFFF"/>
            <w:tcMar>
              <w:top w:w="70" w:type="dxa"/>
              <w:bottom w:w="70" w:type="dxa"/>
              <w:left w:w="100" w:type="dxa"/>
              <w:right w:w="100" w:type="dxa"/>
            </w:tcMar>
          </w:tcPr>
          <w:p>
            <w:r>
              <w:rPr>
                <w:rFonts w:ascii="Calibri" w:hAnsi="Calibri"/>
                <w:color w:val="282828"/>
                <w:sz w:val="18"/>
              </w:rPr>
              <w:t>ln(1 + count(ClaimID))</w:t>
            </w:r>
          </w:p>
        </w:tc>
        <w:tc>
          <w:tcPr>
            <w:tcW w:type="dxa" w:w="4320"/>
            <w:shd w:fill="FFFFFF"/>
            <w:tcMar>
              <w:top w:w="70" w:type="dxa"/>
              <w:bottom w:w="70" w:type="dxa"/>
              <w:left w:w="100" w:type="dxa"/>
              <w:right w:w="100" w:type="dxa"/>
            </w:tcMar>
          </w:tcPr>
          <w:p>
            <w:r>
              <w:rPr>
                <w:rFonts w:ascii="Calibri" w:hAnsi="Calibri"/>
                <w:color w:val="282828"/>
                <w:sz w:val="18"/>
              </w:rPr>
              <w:t>Detects abnormal volume spikes, automated claim dumping.</w:t>
            </w:r>
          </w:p>
        </w:tc>
      </w:tr>
      <w:tr>
        <w:tc>
          <w:tcPr>
            <w:tcW w:type="dxa" w:w="2592"/>
            <w:shd w:fill="F4F7FA"/>
            <w:tcMar>
              <w:top w:w="70" w:type="dxa"/>
              <w:bottom w:w="70" w:type="dxa"/>
              <w:left w:w="100" w:type="dxa"/>
              <w:right w:w="100" w:type="dxa"/>
            </w:tcMar>
          </w:tcPr>
          <w:p>
            <w:r>
              <w:rPr>
                <w:rFonts w:ascii="Calibri" w:hAnsi="Calibri"/>
                <w:color w:val="282828"/>
                <w:sz w:val="18"/>
              </w:rPr>
              <w:t>TotalClaimed_log</w:t>
            </w:r>
          </w:p>
        </w:tc>
        <w:tc>
          <w:tcPr>
            <w:tcW w:type="dxa" w:w="3168"/>
            <w:shd w:fill="F4F7FA"/>
            <w:tcMar>
              <w:top w:w="70" w:type="dxa"/>
              <w:bottom w:w="70" w:type="dxa"/>
              <w:left w:w="100" w:type="dxa"/>
              <w:right w:w="100" w:type="dxa"/>
            </w:tcMar>
          </w:tcPr>
          <w:p>
            <w:r>
              <w:rPr>
                <w:rFonts w:ascii="Calibri" w:hAnsi="Calibri"/>
                <w:color w:val="282828"/>
                <w:sz w:val="18"/>
              </w:rPr>
              <w:t>ln(1 + sum(ClaimedAmount))</w:t>
            </w:r>
          </w:p>
        </w:tc>
        <w:tc>
          <w:tcPr>
            <w:tcW w:type="dxa" w:w="4320"/>
            <w:shd w:fill="F4F7FA"/>
            <w:tcMar>
              <w:top w:w="70" w:type="dxa"/>
              <w:bottom w:w="70" w:type="dxa"/>
              <w:left w:w="100" w:type="dxa"/>
              <w:right w:w="100" w:type="dxa"/>
            </w:tcMar>
          </w:tcPr>
          <w:p>
            <w:r>
              <w:rPr>
                <w:rFonts w:ascii="Calibri" w:hAnsi="Calibri"/>
                <w:color w:val="282828"/>
                <w:sz w:val="18"/>
              </w:rPr>
              <w:t>Identifies extreme financial exposure and phantom billing bursts.</w:t>
            </w:r>
          </w:p>
        </w:tc>
      </w:tr>
      <w:tr>
        <w:tc>
          <w:tcPr>
            <w:tcW w:type="dxa" w:w="2592"/>
            <w:shd w:fill="FFFFFF"/>
            <w:tcMar>
              <w:top w:w="70" w:type="dxa"/>
              <w:bottom w:w="70" w:type="dxa"/>
              <w:left w:w="100" w:type="dxa"/>
              <w:right w:w="100" w:type="dxa"/>
            </w:tcMar>
          </w:tcPr>
          <w:p>
            <w:r>
              <w:rPr>
                <w:rFonts w:ascii="Calibri" w:hAnsi="Calibri"/>
                <w:color w:val="282828"/>
                <w:sz w:val="18"/>
              </w:rPr>
              <w:t>RejectionRate</w:t>
            </w:r>
          </w:p>
        </w:tc>
        <w:tc>
          <w:tcPr>
            <w:tcW w:type="dxa" w:w="3168"/>
            <w:shd w:fill="FFFFFF"/>
            <w:tcMar>
              <w:top w:w="70" w:type="dxa"/>
              <w:bottom w:w="70" w:type="dxa"/>
              <w:left w:w="100" w:type="dxa"/>
              <w:right w:w="100" w:type="dxa"/>
            </w:tcMar>
          </w:tcPr>
          <w:p>
            <w:r>
              <w:rPr>
                <w:rFonts w:ascii="Calibri" w:hAnsi="Calibri"/>
                <w:color w:val="282828"/>
                <w:sz w:val="18"/>
              </w:rPr>
              <w:t>mean(IsRejected)</w:t>
            </w:r>
          </w:p>
        </w:tc>
        <w:tc>
          <w:tcPr>
            <w:tcW w:type="dxa" w:w="4320"/>
            <w:shd w:fill="FFFFFF"/>
            <w:tcMar>
              <w:top w:w="70" w:type="dxa"/>
              <w:bottom w:w="70" w:type="dxa"/>
              <w:left w:w="100" w:type="dxa"/>
              <w:right w:w="100" w:type="dxa"/>
            </w:tcMar>
          </w:tcPr>
          <w:p>
            <w:r>
              <w:rPr>
                <w:rFonts w:ascii="Calibri" w:hAnsi="Calibri"/>
                <w:color w:val="282828"/>
                <w:sz w:val="18"/>
              </w:rPr>
              <w:t>Concentration of denied claims reflecting non-compliance or fraudulent submissions.</w:t>
            </w:r>
          </w:p>
        </w:tc>
      </w:tr>
      <w:tr>
        <w:tc>
          <w:tcPr>
            <w:tcW w:type="dxa" w:w="2592"/>
            <w:shd w:fill="F4F7FA"/>
            <w:tcMar>
              <w:top w:w="70" w:type="dxa"/>
              <w:bottom w:w="70" w:type="dxa"/>
              <w:left w:w="100" w:type="dxa"/>
              <w:right w:w="100" w:type="dxa"/>
            </w:tcMar>
          </w:tcPr>
          <w:p>
            <w:r>
              <w:rPr>
                <w:rFonts w:ascii="Calibri" w:hAnsi="Calibri"/>
                <w:color w:val="282828"/>
                <w:sz w:val="18"/>
              </w:rPr>
              <w:t>MeanClaimAmount_log</w:t>
            </w:r>
          </w:p>
        </w:tc>
        <w:tc>
          <w:tcPr>
            <w:tcW w:type="dxa" w:w="3168"/>
            <w:shd w:fill="F4F7FA"/>
            <w:tcMar>
              <w:top w:w="70" w:type="dxa"/>
              <w:bottom w:w="70" w:type="dxa"/>
              <w:left w:w="100" w:type="dxa"/>
              <w:right w:w="100" w:type="dxa"/>
            </w:tcMar>
          </w:tcPr>
          <w:p>
            <w:r>
              <w:rPr>
                <w:rFonts w:ascii="Calibri" w:hAnsi="Calibri"/>
                <w:color w:val="282828"/>
                <w:sz w:val="18"/>
              </w:rPr>
              <w:t>ln(1 + mean(ClaimedAmount))</w:t>
            </w:r>
          </w:p>
        </w:tc>
        <w:tc>
          <w:tcPr>
            <w:tcW w:type="dxa" w:w="4320"/>
            <w:shd w:fill="F4F7FA"/>
            <w:tcMar>
              <w:top w:w="70" w:type="dxa"/>
              <w:bottom w:w="70" w:type="dxa"/>
              <w:left w:w="100" w:type="dxa"/>
              <w:right w:w="100" w:type="dxa"/>
            </w:tcMar>
          </w:tcPr>
          <w:p>
            <w:r>
              <w:rPr>
                <w:rFonts w:ascii="Calibri" w:hAnsi="Calibri"/>
                <w:color w:val="282828"/>
                <w:sz w:val="18"/>
              </w:rPr>
              <w:t>Captures systematic upcoding and inflated billing per patient.</w:t>
            </w:r>
          </w:p>
        </w:tc>
      </w:tr>
      <w:tr>
        <w:tc>
          <w:tcPr>
            <w:tcW w:type="dxa" w:w="2592"/>
            <w:shd w:fill="FFFFFF"/>
            <w:tcMar>
              <w:top w:w="70" w:type="dxa"/>
              <w:bottom w:w="70" w:type="dxa"/>
              <w:left w:w="100" w:type="dxa"/>
              <w:right w:w="100" w:type="dxa"/>
            </w:tcMar>
          </w:tcPr>
          <w:p>
            <w:r>
              <w:rPr>
                <w:rFonts w:ascii="Calibri" w:hAnsi="Calibri"/>
                <w:color w:val="282828"/>
                <w:sz w:val="18"/>
              </w:rPr>
              <w:t>MaxClaimAmount_log</w:t>
            </w:r>
          </w:p>
        </w:tc>
        <w:tc>
          <w:tcPr>
            <w:tcW w:type="dxa" w:w="3168"/>
            <w:shd w:fill="FFFFFF"/>
            <w:tcMar>
              <w:top w:w="70" w:type="dxa"/>
              <w:bottom w:w="70" w:type="dxa"/>
              <w:left w:w="100" w:type="dxa"/>
              <w:right w:w="100" w:type="dxa"/>
            </w:tcMar>
          </w:tcPr>
          <w:p>
            <w:r>
              <w:rPr>
                <w:rFonts w:ascii="Calibri" w:hAnsi="Calibri"/>
                <w:color w:val="282828"/>
                <w:sz w:val="18"/>
              </w:rPr>
              <w:t>ln(1 + max(ClaimedAmount))</w:t>
            </w:r>
          </w:p>
        </w:tc>
        <w:tc>
          <w:tcPr>
            <w:tcW w:type="dxa" w:w="4320"/>
            <w:shd w:fill="FFFFFF"/>
            <w:tcMar>
              <w:top w:w="70" w:type="dxa"/>
              <w:bottom w:w="70" w:type="dxa"/>
              <w:left w:w="100" w:type="dxa"/>
              <w:right w:w="100" w:type="dxa"/>
            </w:tcMar>
          </w:tcPr>
          <w:p>
            <w:r>
              <w:rPr>
                <w:rFonts w:ascii="Calibri" w:hAnsi="Calibri"/>
                <w:color w:val="282828"/>
                <w:sz w:val="18"/>
              </w:rPr>
              <w:t>Identifies rogue extreme billing outliers within the facility's monthly ledger.</w:t>
            </w:r>
          </w:p>
        </w:tc>
      </w:tr>
      <w:tr>
        <w:tc>
          <w:tcPr>
            <w:tcW w:type="dxa" w:w="2592"/>
            <w:shd w:fill="F4F7FA"/>
            <w:tcMar>
              <w:top w:w="70" w:type="dxa"/>
              <w:bottom w:w="70" w:type="dxa"/>
              <w:left w:w="100" w:type="dxa"/>
              <w:right w:w="100" w:type="dxa"/>
            </w:tcMar>
          </w:tcPr>
          <w:p>
            <w:r>
              <w:rPr>
                <w:rFonts w:ascii="Calibri" w:hAnsi="Calibri"/>
                <w:color w:val="282828"/>
                <w:sz w:val="18"/>
              </w:rPr>
              <w:t>MeanLOS</w:t>
            </w:r>
          </w:p>
        </w:tc>
        <w:tc>
          <w:tcPr>
            <w:tcW w:type="dxa" w:w="3168"/>
            <w:shd w:fill="F4F7FA"/>
            <w:tcMar>
              <w:top w:w="70" w:type="dxa"/>
              <w:bottom w:w="70" w:type="dxa"/>
              <w:left w:w="100" w:type="dxa"/>
              <w:right w:w="100" w:type="dxa"/>
            </w:tcMar>
          </w:tcPr>
          <w:p>
            <w:r>
              <w:rPr>
                <w:rFonts w:ascii="Calibri" w:hAnsi="Calibri"/>
                <w:color w:val="282828"/>
                <w:sz w:val="18"/>
              </w:rPr>
              <w:t>mean(DateTo - DateFrom)</w:t>
            </w:r>
          </w:p>
        </w:tc>
        <w:tc>
          <w:tcPr>
            <w:tcW w:type="dxa" w:w="4320"/>
            <w:shd w:fill="F4F7FA"/>
            <w:tcMar>
              <w:top w:w="70" w:type="dxa"/>
              <w:bottom w:w="70" w:type="dxa"/>
              <w:left w:w="100" w:type="dxa"/>
              <w:right w:w="100" w:type="dxa"/>
            </w:tcMar>
          </w:tcPr>
          <w:p>
            <w:r>
              <w:rPr>
                <w:rFonts w:ascii="Calibri" w:hAnsi="Calibri"/>
                <w:color w:val="282828"/>
                <w:sz w:val="18"/>
              </w:rPr>
              <w:t>Detects phantom hospitalization stays or manipulated patient discharge dates.</w:t>
            </w:r>
          </w:p>
        </w:tc>
      </w:tr>
      <w:tr>
        <w:tc>
          <w:tcPr>
            <w:tcW w:type="dxa" w:w="2592"/>
            <w:shd w:fill="FFFFFF"/>
            <w:tcMar>
              <w:top w:w="70" w:type="dxa"/>
              <w:bottom w:w="70" w:type="dxa"/>
              <w:left w:w="100" w:type="dxa"/>
              <w:right w:w="100" w:type="dxa"/>
            </w:tcMar>
          </w:tcPr>
          <w:p>
            <w:r>
              <w:rPr>
                <w:rFonts w:ascii="Calibri" w:hAnsi="Calibri"/>
                <w:color w:val="282828"/>
                <w:sz w:val="18"/>
              </w:rPr>
              <w:t>MeanDelay</w:t>
            </w:r>
          </w:p>
        </w:tc>
        <w:tc>
          <w:tcPr>
            <w:tcW w:type="dxa" w:w="3168"/>
            <w:shd w:fill="FFFFFF"/>
            <w:tcMar>
              <w:top w:w="70" w:type="dxa"/>
              <w:bottom w:w="70" w:type="dxa"/>
              <w:left w:w="100" w:type="dxa"/>
              <w:right w:w="100" w:type="dxa"/>
            </w:tcMar>
          </w:tcPr>
          <w:p>
            <w:r>
              <w:rPr>
                <w:rFonts w:ascii="Calibri" w:hAnsi="Calibri"/>
                <w:color w:val="282828"/>
                <w:sz w:val="18"/>
              </w:rPr>
              <w:t>mean(DateClaimed - DateTo)</w:t>
            </w:r>
          </w:p>
        </w:tc>
        <w:tc>
          <w:tcPr>
            <w:tcW w:type="dxa" w:w="4320"/>
            <w:shd w:fill="FFFFFF"/>
            <w:tcMar>
              <w:top w:w="70" w:type="dxa"/>
              <w:bottom w:w="70" w:type="dxa"/>
              <w:left w:w="100" w:type="dxa"/>
              <w:right w:w="100" w:type="dxa"/>
            </w:tcMar>
          </w:tcPr>
          <w:p>
            <w:r>
              <w:rPr>
                <w:rFonts w:ascii="Calibri" w:hAnsi="Calibri"/>
                <w:color w:val="282828"/>
                <w:sz w:val="18"/>
              </w:rPr>
              <w:t>Submission lag; sudden surges in delayed claims indicate backlogged batch billing.</w:t>
            </w:r>
          </w:p>
        </w:tc>
      </w:tr>
      <w:tr>
        <w:tc>
          <w:tcPr>
            <w:tcW w:type="dxa" w:w="2592"/>
            <w:shd w:fill="F4F7FA"/>
            <w:tcMar>
              <w:top w:w="70" w:type="dxa"/>
              <w:bottom w:w="70" w:type="dxa"/>
              <w:left w:w="100" w:type="dxa"/>
              <w:right w:w="100" w:type="dxa"/>
            </w:tcMar>
          </w:tcPr>
          <w:p>
            <w:r>
              <w:rPr>
                <w:rFonts w:ascii="Calibri" w:hAnsi="Calibri"/>
                <w:color w:val="282828"/>
                <w:sz w:val="18"/>
              </w:rPr>
              <w:t>MeanServices</w:t>
            </w:r>
          </w:p>
        </w:tc>
        <w:tc>
          <w:tcPr>
            <w:tcW w:type="dxa" w:w="3168"/>
            <w:shd w:fill="F4F7FA"/>
            <w:tcMar>
              <w:top w:w="70" w:type="dxa"/>
              <w:bottom w:w="70" w:type="dxa"/>
              <w:left w:w="100" w:type="dxa"/>
              <w:right w:w="100" w:type="dxa"/>
            </w:tcMar>
          </w:tcPr>
          <w:p>
            <w:r>
              <w:rPr>
                <w:rFonts w:ascii="Calibri" w:hAnsi="Calibri"/>
                <w:color w:val="282828"/>
                <w:sz w:val="18"/>
              </w:rPr>
              <w:t>mean(SVC_Count)</w:t>
            </w:r>
          </w:p>
        </w:tc>
        <w:tc>
          <w:tcPr>
            <w:tcW w:type="dxa" w:w="4320"/>
            <w:shd w:fill="F4F7FA"/>
            <w:tcMar>
              <w:top w:w="70" w:type="dxa"/>
              <w:bottom w:w="70" w:type="dxa"/>
              <w:left w:w="100" w:type="dxa"/>
              <w:right w:w="100" w:type="dxa"/>
            </w:tcMar>
          </w:tcPr>
          <w:p>
            <w:r>
              <w:rPr>
                <w:rFonts w:ascii="Calibri" w:hAnsi="Calibri"/>
                <w:color w:val="282828"/>
                <w:sz w:val="18"/>
              </w:rPr>
              <w:t>Procedure intensity per claim; detects unbundling or procedure inflation.</w:t>
            </w:r>
          </w:p>
        </w:tc>
      </w:tr>
      <w:tr>
        <w:tc>
          <w:tcPr>
            <w:tcW w:type="dxa" w:w="2592"/>
            <w:shd w:fill="FFFFFF"/>
            <w:tcMar>
              <w:top w:w="70" w:type="dxa"/>
              <w:bottom w:w="70" w:type="dxa"/>
              <w:left w:w="100" w:type="dxa"/>
              <w:right w:w="100" w:type="dxa"/>
            </w:tcMar>
          </w:tcPr>
          <w:p>
            <w:r>
              <w:rPr>
                <w:rFonts w:ascii="Calibri" w:hAnsi="Calibri"/>
                <w:color w:val="282828"/>
                <w:sz w:val="18"/>
              </w:rPr>
              <w:t>PctNegLOS</w:t>
            </w:r>
          </w:p>
        </w:tc>
        <w:tc>
          <w:tcPr>
            <w:tcW w:type="dxa" w:w="3168"/>
            <w:shd w:fill="FFFFFF"/>
            <w:tcMar>
              <w:top w:w="70" w:type="dxa"/>
              <w:bottom w:w="70" w:type="dxa"/>
              <w:left w:w="100" w:type="dxa"/>
              <w:right w:w="100" w:type="dxa"/>
            </w:tcMar>
          </w:tcPr>
          <w:p>
            <w:r>
              <w:rPr>
                <w:rFonts w:ascii="Calibri" w:hAnsi="Calibri"/>
                <w:color w:val="282828"/>
                <w:sz w:val="18"/>
              </w:rPr>
              <w:t>mean(DateTo &lt; DateFrom)</w:t>
            </w:r>
          </w:p>
        </w:tc>
        <w:tc>
          <w:tcPr>
            <w:tcW w:type="dxa" w:w="4320"/>
            <w:shd w:fill="FFFFFF"/>
            <w:tcMar>
              <w:top w:w="70" w:type="dxa"/>
              <w:bottom w:w="70" w:type="dxa"/>
              <w:left w:w="100" w:type="dxa"/>
              <w:right w:w="100" w:type="dxa"/>
            </w:tcMar>
          </w:tcPr>
          <w:p>
            <w:r>
              <w:rPr>
                <w:rFonts w:ascii="Calibri" w:hAnsi="Calibri"/>
                <w:color w:val="282828"/>
                <w:sz w:val="18"/>
              </w:rPr>
              <w:t>Data integrity violation; invalid discharge before admission.</w:t>
            </w:r>
          </w:p>
        </w:tc>
      </w:tr>
      <w:tr>
        <w:tc>
          <w:tcPr>
            <w:tcW w:type="dxa" w:w="2592"/>
            <w:shd w:fill="F4F7FA"/>
            <w:tcMar>
              <w:top w:w="70" w:type="dxa"/>
              <w:bottom w:w="70" w:type="dxa"/>
              <w:left w:w="100" w:type="dxa"/>
              <w:right w:w="100" w:type="dxa"/>
            </w:tcMar>
          </w:tcPr>
          <w:p>
            <w:r>
              <w:rPr>
                <w:rFonts w:ascii="Calibri" w:hAnsi="Calibri"/>
                <w:color w:val="282828"/>
                <w:sz w:val="18"/>
              </w:rPr>
              <w:t>PctBackdated</w:t>
            </w:r>
          </w:p>
        </w:tc>
        <w:tc>
          <w:tcPr>
            <w:tcW w:type="dxa" w:w="3168"/>
            <w:shd w:fill="F4F7FA"/>
            <w:tcMar>
              <w:top w:w="70" w:type="dxa"/>
              <w:bottom w:w="70" w:type="dxa"/>
              <w:left w:w="100" w:type="dxa"/>
              <w:right w:w="100" w:type="dxa"/>
            </w:tcMar>
          </w:tcPr>
          <w:p>
            <w:r>
              <w:rPr>
                <w:rFonts w:ascii="Calibri" w:hAnsi="Calibri"/>
                <w:color w:val="282828"/>
                <w:sz w:val="18"/>
              </w:rPr>
              <w:t>mean(DateClaimed &lt; DateTo)</w:t>
            </w:r>
          </w:p>
        </w:tc>
        <w:tc>
          <w:tcPr>
            <w:tcW w:type="dxa" w:w="4320"/>
            <w:shd w:fill="F4F7FA"/>
            <w:tcMar>
              <w:top w:w="70" w:type="dxa"/>
              <w:bottom w:w="70" w:type="dxa"/>
              <w:left w:w="100" w:type="dxa"/>
              <w:right w:w="100" w:type="dxa"/>
            </w:tcMar>
          </w:tcPr>
          <w:p>
            <w:r>
              <w:rPr>
                <w:rFonts w:ascii="Calibri" w:hAnsi="Calibri"/>
                <w:color w:val="282828"/>
                <w:sz w:val="18"/>
              </w:rPr>
              <w:t>Temporal impossibility; claims billed prior to discharge.</w:t>
            </w:r>
          </w:p>
        </w:tc>
      </w:tr>
      <w:tr>
        <w:tc>
          <w:tcPr>
            <w:tcW w:type="dxa" w:w="2592"/>
            <w:shd w:fill="FFFFFF"/>
            <w:tcMar>
              <w:top w:w="70" w:type="dxa"/>
              <w:bottom w:w="70" w:type="dxa"/>
              <w:left w:w="100" w:type="dxa"/>
              <w:right w:w="100" w:type="dxa"/>
            </w:tcMar>
          </w:tcPr>
          <w:p>
            <w:r>
              <w:rPr>
                <w:rFonts w:ascii="Calibri" w:hAnsi="Calibri"/>
                <w:color w:val="282828"/>
                <w:sz w:val="18"/>
              </w:rPr>
              <w:t>PctNoServices</w:t>
            </w:r>
          </w:p>
        </w:tc>
        <w:tc>
          <w:tcPr>
            <w:tcW w:type="dxa" w:w="3168"/>
            <w:shd w:fill="FFFFFF"/>
            <w:tcMar>
              <w:top w:w="70" w:type="dxa"/>
              <w:bottom w:w="70" w:type="dxa"/>
              <w:left w:w="100" w:type="dxa"/>
              <w:right w:w="100" w:type="dxa"/>
            </w:tcMar>
          </w:tcPr>
          <w:p>
            <w:r>
              <w:rPr>
                <w:rFonts w:ascii="Calibri" w:hAnsi="Calibri"/>
                <w:color w:val="282828"/>
                <w:sz w:val="18"/>
              </w:rPr>
              <w:t>mean(SVC_Count == 0)</w:t>
            </w:r>
          </w:p>
        </w:tc>
        <w:tc>
          <w:tcPr>
            <w:tcW w:type="dxa" w:w="4320"/>
            <w:shd w:fill="FFFFFF"/>
            <w:tcMar>
              <w:top w:w="70" w:type="dxa"/>
              <w:bottom w:w="70" w:type="dxa"/>
              <w:left w:w="100" w:type="dxa"/>
              <w:right w:w="100" w:type="dxa"/>
            </w:tcMar>
          </w:tcPr>
          <w:p>
            <w:r>
              <w:rPr>
                <w:rFonts w:ascii="Calibri" w:hAnsi="Calibri"/>
                <w:color w:val="282828"/>
                <w:sz w:val="18"/>
              </w:rPr>
              <w:t>Ghost billing; claims submitted without any itemized clinical procedures.</w:t>
            </w:r>
          </w:p>
        </w:tc>
      </w:tr>
      <w:tr>
        <w:tc>
          <w:tcPr>
            <w:tcW w:type="dxa" w:w="2592"/>
            <w:shd w:fill="F4F7FA"/>
            <w:tcMar>
              <w:top w:w="70" w:type="dxa"/>
              <w:bottom w:w="70" w:type="dxa"/>
              <w:left w:w="100" w:type="dxa"/>
              <w:right w:w="100" w:type="dxa"/>
            </w:tcMar>
          </w:tcPr>
          <w:p>
            <w:r>
              <w:rPr>
                <w:rFonts w:ascii="Calibri" w:hAnsi="Calibri"/>
                <w:color w:val="282828"/>
                <w:sz w:val="18"/>
              </w:rPr>
              <w:t>PctIPD</w:t>
            </w:r>
          </w:p>
        </w:tc>
        <w:tc>
          <w:tcPr>
            <w:tcW w:type="dxa" w:w="3168"/>
            <w:shd w:fill="F4F7FA"/>
            <w:tcMar>
              <w:top w:w="70" w:type="dxa"/>
              <w:bottom w:w="70" w:type="dxa"/>
              <w:left w:w="100" w:type="dxa"/>
              <w:right w:w="100" w:type="dxa"/>
            </w:tcMar>
          </w:tcPr>
          <w:p>
            <w:r>
              <w:rPr>
                <w:rFonts w:ascii="Calibri" w:hAnsi="Calibri"/>
                <w:color w:val="282828"/>
                <w:sz w:val="18"/>
              </w:rPr>
              <w:t>mean(CareType == 'IPD')</w:t>
            </w:r>
          </w:p>
        </w:tc>
        <w:tc>
          <w:tcPr>
            <w:tcW w:type="dxa" w:w="4320"/>
            <w:shd w:fill="F4F7FA"/>
            <w:tcMar>
              <w:top w:w="70" w:type="dxa"/>
              <w:bottom w:w="70" w:type="dxa"/>
              <w:left w:w="100" w:type="dxa"/>
              <w:right w:w="100" w:type="dxa"/>
            </w:tcMar>
          </w:tcPr>
          <w:p>
            <w:r>
              <w:rPr>
                <w:rFonts w:ascii="Calibri" w:hAnsi="Calibri"/>
                <w:color w:val="282828"/>
                <w:sz w:val="18"/>
              </w:rPr>
              <w:t>Ratio of inpatient care; detects systematic misclassification of outpatient visits.</w:t>
            </w:r>
          </w:p>
        </w:tc>
      </w:tr>
    </w:tbl>
    <w:p>
      <w:pPr>
        <w:spacing w:after="160"/>
      </w:pPr>
    </w:p>
    <w:p>
      <w:pPr>
        <w:keepNext/>
        <w:spacing w:before="240" w:after="80"/>
      </w:pPr>
      <w:r>
        <w:rPr>
          <w:rFonts w:ascii="Calibri" w:hAnsi="Calibri"/>
          <w:b/>
          <w:color w:val="2980B9"/>
          <w:sz w:val="25"/>
        </w:rPr>
        <w:t>4.4 Feature Scaling &amp; HDBSCAN Hyperparameters</w:t>
      </w:r>
    </w:p>
    <w:p>
      <w:pPr>
        <w:spacing w:before="0" w:after="120" w:line="276" w:lineRule="auto"/>
      </w:pPr>
      <w:r>
        <w:rPr>
          <w:rFonts w:ascii="Calibri" w:hAnsi="Calibri"/>
          <w:color w:val="282828"/>
          <w:sz w:val="20"/>
        </w:rPr>
        <w:t>Because hospital metrics exhibit severe right-skewed power-law distributions, monetary and volume metrics were log-transformed (ln(1 + x)). The feature matrix was then normalized using RobustScaler (subtracting the median and dividing by the Interquartile Range, IQR), ensuring outliers did not collapse the mutual reachability distance space. HDBSCAN was initialized with min_cluster_size = 30 (minimum facility-months to constitute a stable administrative operating archetype) and min_samples = 15 (governing clustering conservatism and noise penalty).</w:t>
      </w:r>
    </w:p>
    <w:p>
      <w:pPr>
        <w:keepNext/>
        <w:spacing w:before="240" w:after="80"/>
      </w:pPr>
      <w:r>
        <w:rPr>
          <w:rFonts w:ascii="Calibri" w:hAnsi="Calibri"/>
          <w:b/>
          <w:color w:val="2980B9"/>
          <w:sz w:val="25"/>
        </w:rPr>
        <w:t>4.5 Surrogate LightGBM + TreeSHAP Explainability Engine</w:t>
      </w:r>
    </w:p>
    <w:p>
      <w:pPr>
        <w:spacing w:before="0" w:after="120" w:line="276" w:lineRule="auto"/>
      </w:pPr>
      <w:r>
        <w:rPr>
          <w:rFonts w:ascii="Calibri" w:hAnsi="Calibri"/>
          <w:color w:val="282828"/>
          <w:sz w:val="20"/>
        </w:rPr>
        <w:t>HDBSCAN and GLOSH operate non-parametrically across high-dimensional space, meaning they output an anomaly score without explicit feature coefficients. To provide actionable guidance for medical auditors, we trained a surrogate LightGBM gradient boosted decision tree to predict whether a facility-month belongs to the top 5% of GLOSH anomalies (GLOSH &gt;= 95th percentile). We then applied TreeSHAP (Tree Shapley Additive Explanations) to calculate exact local feature attributions for every flagged facility.</w:t>
      </w:r>
    </w:p>
    <w:p>
      <w:pPr>
        <w:keepNext/>
        <w:spacing w:before="360" w:after="120"/>
      </w:pPr>
      <w:r>
        <w:rPr>
          <w:rFonts w:ascii="Calibri" w:hAnsi="Calibri"/>
          <w:b/>
          <w:color w:val="184C78"/>
          <w:sz w:val="32"/>
        </w:rPr>
        <w:t>5. What We Got (Empirical Findings &amp; Results)</w:t>
      </w:r>
    </w:p>
    <w:p>
      <w:pPr>
        <w:keepNext/>
        <w:spacing w:before="240" w:after="80"/>
      </w:pPr>
      <w:r>
        <w:rPr>
          <w:rFonts w:ascii="Calibri" w:hAnsi="Calibri"/>
          <w:b/>
          <w:color w:val="2980B9"/>
          <w:sz w:val="25"/>
        </w:rPr>
        <w:t>5.1 Clustering &amp; Noise Overview</w:t>
      </w:r>
    </w:p>
    <w:p>
      <w:pPr>
        <w:spacing w:before="0" w:after="120" w:line="276" w:lineRule="auto"/>
      </w:pPr>
      <w:r>
        <w:rPr>
          <w:rFonts w:ascii="Calibri" w:hAnsi="Calibri"/>
          <w:color w:val="282828"/>
          <w:sz w:val="20"/>
        </w:rPr>
        <w:t>The model evaluated 11,160 hospital-month profiles across Cameroon openIMIS. The clustering process produced the following global statistics:</w:t>
      </w:r>
    </w:p>
    <w:p>
      <w:pPr>
        <w:spacing w:before="0" w:after="120" w:line="276" w:lineRule="auto"/>
      </w:pPr>
      <w:r>
        <w:rPr>
          <w:rFonts w:ascii="Calibri" w:hAnsi="Calibri"/>
          <w:color w:val="282828"/>
          <w:sz w:val="20"/>
        </w:rPr>
        <w:t>• Discovered Normative Clusters: 8 distinct clusters representing standard operational profiles (e.g., small rural dispensaries, urban outpatient clinics, routine maternal health centers, general regional hospitals).</w:t>
      </w:r>
    </w:p>
    <w:p>
      <w:pPr>
        <w:spacing w:before="0" w:after="120" w:line="276" w:lineRule="auto"/>
      </w:pPr>
      <w:r>
        <w:rPr>
          <w:rFonts w:ascii="Calibri" w:hAnsi="Calibri"/>
          <w:color w:val="282828"/>
          <w:sz w:val="20"/>
        </w:rPr>
        <w:t>• Global Noise Classifications (-1): 5,629 profiles (50.4% of total facility-months) were classified as noise (-1), demonstrating significant behavioral variance and non-standard billing across Cameroonian providers.</w:t>
      </w:r>
    </w:p>
    <w:p>
      <w:pPr>
        <w:spacing w:before="0" w:after="120" w:line="276" w:lineRule="auto"/>
      </w:pPr>
      <w:r>
        <w:rPr>
          <w:rFonts w:ascii="Calibri" w:hAnsi="Calibri"/>
          <w:color w:val="282828"/>
          <w:sz w:val="20"/>
        </w:rPr>
        <w:t>• GLOSH Outlier Score Distribution: Every profile received a continuous outlier score ranging from 0.000 to 0.999995. The top 5% of profiles (558 facility-months) exhibited extreme divergence from standard clinical benchmarks.</w:t>
      </w:r>
    </w:p>
    <w:p>
      <w:pPr>
        <w:keepNext/>
        <w:spacing w:before="240" w:after="80"/>
      </w:pPr>
      <w:r>
        <w:rPr>
          <w:rFonts w:ascii="Calibri" w:hAnsi="Calibri"/>
          <w:b/>
          <w:color w:val="2980B9"/>
          <w:sz w:val="25"/>
        </w:rPr>
        <w:t>5.2 Top 15 Highest-Risk Anomaly Targets</w:t>
      </w:r>
    </w:p>
    <w:p>
      <w:pPr>
        <w:spacing w:before="0" w:after="120" w:line="276" w:lineRule="auto"/>
      </w:pPr>
      <w:r>
        <w:rPr>
          <w:rFonts w:ascii="Calibri" w:hAnsi="Calibri"/>
          <w:color w:val="282828"/>
          <w:sz w:val="20"/>
        </w:rPr>
        <w:t>Below is the empirical ranking of the top 15 highest-risk facility-month profiles identified by GLOSH, ordered by anomaly severity: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260"/>
        <w:gridCol w:w="1260"/>
        <w:gridCol w:w="1260"/>
        <w:gridCol w:w="1260"/>
        <w:gridCol w:w="1260"/>
        <w:gridCol w:w="1260"/>
        <w:gridCol w:w="1260"/>
        <w:gridCol w:w="1260"/>
      </w:tblGrid>
      <w:tr>
        <w:tc>
          <w:tcPr>
            <w:tcW w:type="dxa" w:w="864"/>
            <w:shd w:fill="184C78"/>
            <w:tcMar>
              <w:top w:w="100" w:type="dxa"/>
              <w:bottom w:w="100" w:type="dxa"/>
              <w:left w:w="100" w:type="dxa"/>
              <w:right w:w="100" w:type="dxa"/>
            </w:tcMar>
          </w:tcPr>
          <w:p>
            <w:pPr>
              <w:jc w:val="left"/>
            </w:pPr>
            <w:r>
              <w:rPr>
                <w:rFonts w:ascii="Calibri" w:hAnsi="Calibri"/>
                <w:b/>
                <w:color w:val="FFFFFF"/>
                <w:sz w:val="19"/>
              </w:rPr>
              <w:t>Hfid</w:t>
            </w:r>
          </w:p>
        </w:tc>
        <w:tc>
          <w:tcPr>
            <w:tcW w:type="dxa" w:w="1152"/>
            <w:shd w:fill="184C78"/>
            <w:tcMar>
              <w:top w:w="100" w:type="dxa"/>
              <w:bottom w:w="100" w:type="dxa"/>
              <w:left w:w="100" w:type="dxa"/>
              <w:right w:w="100" w:type="dxa"/>
            </w:tcMar>
          </w:tcPr>
          <w:p>
            <w:pPr>
              <w:jc w:val="left"/>
            </w:pPr>
            <w:r>
              <w:rPr>
                <w:rFonts w:ascii="Calibri" w:hAnsi="Calibri"/>
                <w:b/>
                <w:color w:val="FFFFFF"/>
                <w:sz w:val="19"/>
              </w:rPr>
              <w:t>Month</w:t>
            </w:r>
          </w:p>
        </w:tc>
        <w:tc>
          <w:tcPr>
            <w:tcW w:type="dxa" w:w="864"/>
            <w:shd w:fill="184C78"/>
            <w:tcMar>
              <w:top w:w="100" w:type="dxa"/>
              <w:bottom w:w="100" w:type="dxa"/>
              <w:left w:w="100" w:type="dxa"/>
              <w:right w:w="100" w:type="dxa"/>
            </w:tcMar>
          </w:tcPr>
          <w:p>
            <w:pPr>
              <w:jc w:val="left"/>
            </w:pPr>
            <w:r>
              <w:rPr>
                <w:rFonts w:ascii="Calibri" w:hAnsi="Calibri"/>
                <w:b/>
                <w:color w:val="FFFFFF"/>
                <w:sz w:val="19"/>
              </w:rPr>
              <w:t>Cluster</w:t>
            </w:r>
          </w:p>
        </w:tc>
        <w:tc>
          <w:tcPr>
            <w:tcW w:type="dxa" w:w="1440"/>
            <w:shd w:fill="184C78"/>
            <w:tcMar>
              <w:top w:w="100" w:type="dxa"/>
              <w:bottom w:w="100" w:type="dxa"/>
              <w:left w:w="100" w:type="dxa"/>
              <w:right w:w="100" w:type="dxa"/>
            </w:tcMar>
          </w:tcPr>
          <w:p>
            <w:pPr>
              <w:jc w:val="left"/>
            </w:pPr>
            <w:r>
              <w:rPr>
                <w:rFonts w:ascii="Calibri" w:hAnsi="Calibri"/>
                <w:b/>
                <w:color w:val="FFFFFF"/>
                <w:sz w:val="19"/>
              </w:rPr>
              <w:t>GLOSH Score</w:t>
            </w:r>
          </w:p>
        </w:tc>
        <w:tc>
          <w:tcPr>
            <w:tcW w:type="dxa" w:w="1296"/>
            <w:shd w:fill="184C78"/>
            <w:tcMar>
              <w:top w:w="100" w:type="dxa"/>
              <w:bottom w:w="100" w:type="dxa"/>
              <w:left w:w="100" w:type="dxa"/>
              <w:right w:w="100" w:type="dxa"/>
            </w:tcMar>
          </w:tcPr>
          <w:p>
            <w:pPr>
              <w:jc w:val="left"/>
            </w:pPr>
            <w:r>
              <w:rPr>
                <w:rFonts w:ascii="Calibri" w:hAnsi="Calibri"/>
                <w:b/>
                <w:color w:val="FFFFFF"/>
                <w:sz w:val="19"/>
              </w:rPr>
              <w:t>Total Claims</w:t>
            </w:r>
          </w:p>
        </w:tc>
        <w:tc>
          <w:tcPr>
            <w:tcW w:type="dxa" w:w="1872"/>
            <w:shd w:fill="184C78"/>
            <w:tcMar>
              <w:top w:w="100" w:type="dxa"/>
              <w:bottom w:w="100" w:type="dxa"/>
              <w:left w:w="100" w:type="dxa"/>
              <w:right w:w="100" w:type="dxa"/>
            </w:tcMar>
          </w:tcPr>
          <w:p>
            <w:pPr>
              <w:jc w:val="left"/>
            </w:pPr>
            <w:r>
              <w:rPr>
                <w:rFonts w:ascii="Calibri" w:hAnsi="Calibri"/>
                <w:b/>
                <w:color w:val="FFFFFF"/>
                <w:sz w:val="19"/>
              </w:rPr>
              <w:t>Total Claimed (XAF)</w:t>
            </w:r>
          </w:p>
        </w:tc>
        <w:tc>
          <w:tcPr>
            <w:tcW w:type="dxa" w:w="1440"/>
            <w:shd w:fill="184C78"/>
            <w:tcMar>
              <w:top w:w="100" w:type="dxa"/>
              <w:bottom w:w="100" w:type="dxa"/>
              <w:left w:w="100" w:type="dxa"/>
              <w:right w:w="100" w:type="dxa"/>
            </w:tcMar>
          </w:tcPr>
          <w:p>
            <w:pPr>
              <w:jc w:val="left"/>
            </w:pPr>
            <w:r>
              <w:rPr>
                <w:rFonts w:ascii="Calibri" w:hAnsi="Calibri"/>
                <w:b/>
                <w:color w:val="FFFFFF"/>
                <w:sz w:val="19"/>
              </w:rPr>
              <w:t>Rejection Rate</w:t>
            </w:r>
          </w:p>
        </w:tc>
        <w:tc>
          <w:tcPr>
            <w:tcW w:type="dxa" w:w="2016"/>
            <w:shd w:fill="184C78"/>
            <w:tcMar>
              <w:top w:w="100" w:type="dxa"/>
              <w:bottom w:w="100" w:type="dxa"/>
              <w:left w:w="100" w:type="dxa"/>
              <w:right w:w="100" w:type="dxa"/>
            </w:tcMar>
          </w:tcPr>
          <w:p>
            <w:pPr>
              <w:jc w:val="left"/>
            </w:pPr>
            <w:r>
              <w:rPr>
                <w:rFonts w:ascii="Calibri" w:hAnsi="Calibri"/>
                <w:b/>
                <w:color w:val="FFFFFF"/>
                <w:sz w:val="19"/>
              </w:rPr>
              <w:t>Risk Category</w:t>
            </w:r>
          </w:p>
        </w:tc>
      </w:tr>
      <w:tr>
        <w:tc>
          <w:tcPr>
            <w:tcW w:type="dxa" w:w="864"/>
            <w:shd w:fill="FFFFFF"/>
            <w:tcMar>
              <w:top w:w="70" w:type="dxa"/>
              <w:bottom w:w="70" w:type="dxa"/>
              <w:left w:w="100" w:type="dxa"/>
              <w:right w:w="100" w:type="dxa"/>
            </w:tcMar>
          </w:tcPr>
          <w:p>
            <w:r>
              <w:rPr>
                <w:rFonts w:ascii="Calibri" w:hAnsi="Calibri"/>
                <w:color w:val="282828"/>
                <w:sz w:val="18"/>
              </w:rPr>
              <w:t>359</w:t>
            </w:r>
          </w:p>
        </w:tc>
        <w:tc>
          <w:tcPr>
            <w:tcW w:type="dxa" w:w="1152"/>
            <w:shd w:fill="FFFFFF"/>
            <w:tcMar>
              <w:top w:w="70" w:type="dxa"/>
              <w:bottom w:w="70" w:type="dxa"/>
              <w:left w:w="100" w:type="dxa"/>
              <w:right w:w="100" w:type="dxa"/>
            </w:tcMar>
          </w:tcPr>
          <w:p>
            <w:r>
              <w:rPr>
                <w:rFonts w:ascii="Calibri" w:hAnsi="Calibri"/>
                <w:color w:val="282828"/>
                <w:sz w:val="18"/>
              </w:rPr>
              <w:t>2025-05</w:t>
            </w:r>
          </w:p>
        </w:tc>
        <w:tc>
          <w:tcPr>
            <w:tcW w:type="dxa" w:w="864"/>
            <w:shd w:fill="FFFFFF"/>
            <w:tcMar>
              <w:top w:w="70" w:type="dxa"/>
              <w:bottom w:w="70" w:type="dxa"/>
              <w:left w:w="100" w:type="dxa"/>
              <w:right w:w="100" w:type="dxa"/>
            </w:tcMar>
          </w:tcPr>
          <w:p>
            <w:r>
              <w:rPr>
                <w:rFonts w:ascii="Calibri" w:hAnsi="Calibri"/>
                <w:color w:val="282828"/>
                <w:sz w:val="18"/>
              </w:rPr>
              <w:t>-1</w:t>
            </w:r>
          </w:p>
        </w:tc>
        <w:tc>
          <w:tcPr>
            <w:tcW w:type="dxa" w:w="1440"/>
            <w:shd w:fill="FFFFFF"/>
            <w:tcMar>
              <w:top w:w="70" w:type="dxa"/>
              <w:bottom w:w="70" w:type="dxa"/>
              <w:left w:w="100" w:type="dxa"/>
              <w:right w:w="100" w:type="dxa"/>
            </w:tcMar>
          </w:tcPr>
          <w:p>
            <w:r>
              <w:rPr>
                <w:rFonts w:ascii="Calibri" w:hAnsi="Calibri"/>
                <w:color w:val="282828"/>
                <w:sz w:val="18"/>
              </w:rPr>
              <w:t>0.999995</w:t>
            </w:r>
          </w:p>
        </w:tc>
        <w:tc>
          <w:tcPr>
            <w:tcW w:type="dxa" w:w="1296"/>
            <w:shd w:fill="FFFFFF"/>
            <w:tcMar>
              <w:top w:w="70" w:type="dxa"/>
              <w:bottom w:w="70" w:type="dxa"/>
              <w:left w:w="100" w:type="dxa"/>
              <w:right w:w="100" w:type="dxa"/>
            </w:tcMar>
          </w:tcPr>
          <w:p>
            <w:r>
              <w:rPr>
                <w:rFonts w:ascii="Calibri" w:hAnsi="Calibri"/>
                <w:color w:val="282828"/>
                <w:sz w:val="18"/>
              </w:rPr>
              <w:t>108</w:t>
            </w:r>
          </w:p>
        </w:tc>
        <w:tc>
          <w:tcPr>
            <w:tcW w:type="dxa" w:w="1872"/>
            <w:shd w:fill="FFFFFF"/>
            <w:tcMar>
              <w:top w:w="70" w:type="dxa"/>
              <w:bottom w:w="70" w:type="dxa"/>
              <w:left w:w="100" w:type="dxa"/>
              <w:right w:w="100" w:type="dxa"/>
            </w:tcMar>
          </w:tcPr>
          <w:p>
            <w:r>
              <w:rPr>
                <w:rFonts w:ascii="Calibri" w:hAnsi="Calibri"/>
                <w:color w:val="282828"/>
                <w:sz w:val="18"/>
              </w:rPr>
              <w:t>208,290</w:t>
            </w:r>
          </w:p>
        </w:tc>
        <w:tc>
          <w:tcPr>
            <w:tcW w:type="dxa" w:w="1440"/>
            <w:shd w:fill="FFFFFF"/>
            <w:tcMar>
              <w:top w:w="70" w:type="dxa"/>
              <w:bottom w:w="70" w:type="dxa"/>
              <w:left w:w="100" w:type="dxa"/>
              <w:right w:w="100" w:type="dxa"/>
            </w:tcMar>
          </w:tcPr>
          <w:p>
            <w:r>
              <w:rPr>
                <w:rFonts w:ascii="Calibri" w:hAnsi="Calibri"/>
                <w:color w:val="282828"/>
                <w:sz w:val="18"/>
              </w:rPr>
              <w:t>19.4%</w:t>
            </w:r>
          </w:p>
        </w:tc>
        <w:tc>
          <w:tcPr>
            <w:tcW w:type="dxa" w:w="2016"/>
            <w:shd w:fill="FFFFFF"/>
            <w:tcMar>
              <w:top w:w="70" w:type="dxa"/>
              <w:bottom w:w="70" w:type="dxa"/>
              <w:left w:w="100" w:type="dxa"/>
              <w:right w:w="100" w:type="dxa"/>
            </w:tcMar>
          </w:tcPr>
          <w:p>
            <w:r>
              <w:rPr>
                <w:rFonts w:ascii="Calibri" w:hAnsi="Calibri"/>
                <w:color w:val="282828"/>
                <w:sz w:val="18"/>
              </w:rPr>
              <w:t>Extreme Topology Outlier</w:t>
            </w:r>
          </w:p>
        </w:tc>
      </w:tr>
      <w:tr>
        <w:tc>
          <w:tcPr>
            <w:tcW w:type="dxa" w:w="864"/>
            <w:shd w:fill="F4F7FA"/>
            <w:tcMar>
              <w:top w:w="70" w:type="dxa"/>
              <w:bottom w:w="70" w:type="dxa"/>
              <w:left w:w="100" w:type="dxa"/>
              <w:right w:w="100" w:type="dxa"/>
            </w:tcMar>
          </w:tcPr>
          <w:p>
            <w:r>
              <w:rPr>
                <w:rFonts w:ascii="Calibri" w:hAnsi="Calibri"/>
                <w:color w:val="282828"/>
                <w:sz w:val="18"/>
              </w:rPr>
              <w:t>352</w:t>
            </w:r>
          </w:p>
        </w:tc>
        <w:tc>
          <w:tcPr>
            <w:tcW w:type="dxa" w:w="1152"/>
            <w:shd w:fill="F4F7FA"/>
            <w:tcMar>
              <w:top w:w="70" w:type="dxa"/>
              <w:bottom w:w="70" w:type="dxa"/>
              <w:left w:w="100" w:type="dxa"/>
              <w:right w:w="100" w:type="dxa"/>
            </w:tcMar>
          </w:tcPr>
          <w:p>
            <w:r>
              <w:rPr>
                <w:rFonts w:ascii="Calibri" w:hAnsi="Calibri"/>
                <w:color w:val="282828"/>
                <w:sz w:val="18"/>
              </w:rPr>
              <w:t>2026-01</w:t>
            </w:r>
          </w:p>
        </w:tc>
        <w:tc>
          <w:tcPr>
            <w:tcW w:type="dxa" w:w="864"/>
            <w:shd w:fill="F4F7FA"/>
            <w:tcMar>
              <w:top w:w="70" w:type="dxa"/>
              <w:bottom w:w="70" w:type="dxa"/>
              <w:left w:w="100" w:type="dxa"/>
              <w:right w:w="100" w:type="dxa"/>
            </w:tcMar>
          </w:tcPr>
          <w:p>
            <w:r>
              <w:rPr>
                <w:rFonts w:ascii="Calibri" w:hAnsi="Calibri"/>
                <w:color w:val="282828"/>
                <w:sz w:val="18"/>
              </w:rPr>
              <w:t>-1</w:t>
            </w:r>
          </w:p>
        </w:tc>
        <w:tc>
          <w:tcPr>
            <w:tcW w:type="dxa" w:w="1440"/>
            <w:shd w:fill="F4F7FA"/>
            <w:tcMar>
              <w:top w:w="70" w:type="dxa"/>
              <w:bottom w:w="70" w:type="dxa"/>
              <w:left w:w="100" w:type="dxa"/>
              <w:right w:w="100" w:type="dxa"/>
            </w:tcMar>
          </w:tcPr>
          <w:p>
            <w:r>
              <w:rPr>
                <w:rFonts w:ascii="Calibri" w:hAnsi="Calibri"/>
                <w:color w:val="282828"/>
                <w:sz w:val="18"/>
              </w:rPr>
              <w:t>0.999710</w:t>
            </w:r>
          </w:p>
        </w:tc>
        <w:tc>
          <w:tcPr>
            <w:tcW w:type="dxa" w:w="1296"/>
            <w:shd w:fill="F4F7FA"/>
            <w:tcMar>
              <w:top w:w="70" w:type="dxa"/>
              <w:bottom w:w="70" w:type="dxa"/>
              <w:left w:w="100" w:type="dxa"/>
              <w:right w:w="100" w:type="dxa"/>
            </w:tcMar>
          </w:tcPr>
          <w:p>
            <w:r>
              <w:rPr>
                <w:rFonts w:ascii="Calibri" w:hAnsi="Calibri"/>
                <w:color w:val="282828"/>
                <w:sz w:val="18"/>
              </w:rPr>
              <w:t>2,142</w:t>
            </w:r>
          </w:p>
        </w:tc>
        <w:tc>
          <w:tcPr>
            <w:tcW w:type="dxa" w:w="1872"/>
            <w:shd w:fill="F4F7FA"/>
            <w:tcMar>
              <w:top w:w="70" w:type="dxa"/>
              <w:bottom w:w="70" w:type="dxa"/>
              <w:left w:w="100" w:type="dxa"/>
              <w:right w:w="100" w:type="dxa"/>
            </w:tcMar>
          </w:tcPr>
          <w:p>
            <w:r>
              <w:rPr>
                <w:rFonts w:ascii="Calibri" w:hAnsi="Calibri"/>
                <w:color w:val="282828"/>
                <w:sz w:val="18"/>
              </w:rPr>
              <w:t>4,727,100</w:t>
            </w:r>
          </w:p>
        </w:tc>
        <w:tc>
          <w:tcPr>
            <w:tcW w:type="dxa" w:w="1440"/>
            <w:shd w:fill="F4F7FA"/>
            <w:tcMar>
              <w:top w:w="70" w:type="dxa"/>
              <w:bottom w:w="70" w:type="dxa"/>
              <w:left w:w="100" w:type="dxa"/>
              <w:right w:w="100" w:type="dxa"/>
            </w:tcMar>
          </w:tcPr>
          <w:p>
            <w:r>
              <w:rPr>
                <w:rFonts w:ascii="Calibri" w:hAnsi="Calibri"/>
                <w:color w:val="282828"/>
                <w:sz w:val="18"/>
              </w:rPr>
              <w:t>18.1%</w:t>
            </w:r>
          </w:p>
        </w:tc>
        <w:tc>
          <w:tcPr>
            <w:tcW w:type="dxa" w:w="2016"/>
            <w:shd w:fill="F4F7FA"/>
            <w:tcMar>
              <w:top w:w="70" w:type="dxa"/>
              <w:bottom w:w="70" w:type="dxa"/>
              <w:left w:w="100" w:type="dxa"/>
              <w:right w:w="100" w:type="dxa"/>
            </w:tcMar>
          </w:tcPr>
          <w:p>
            <w:r>
              <w:rPr>
                <w:rFonts w:ascii="Calibri" w:hAnsi="Calibri"/>
                <w:color w:val="282828"/>
                <w:sz w:val="18"/>
              </w:rPr>
              <w:t>High-Volume Billing Surge</w:t>
            </w:r>
          </w:p>
        </w:tc>
      </w:tr>
      <w:tr>
        <w:tc>
          <w:tcPr>
            <w:tcW w:type="dxa" w:w="864"/>
            <w:shd w:fill="FFFFFF"/>
            <w:tcMar>
              <w:top w:w="70" w:type="dxa"/>
              <w:bottom w:w="70" w:type="dxa"/>
              <w:left w:w="100" w:type="dxa"/>
              <w:right w:w="100" w:type="dxa"/>
            </w:tcMar>
          </w:tcPr>
          <w:p>
            <w:r>
              <w:rPr>
                <w:rFonts w:ascii="Calibri" w:hAnsi="Calibri"/>
                <w:color w:val="282828"/>
                <w:sz w:val="18"/>
              </w:rPr>
              <w:t>3890</w:t>
            </w:r>
          </w:p>
        </w:tc>
        <w:tc>
          <w:tcPr>
            <w:tcW w:type="dxa" w:w="1152"/>
            <w:shd w:fill="FFFFFF"/>
            <w:tcMar>
              <w:top w:w="70" w:type="dxa"/>
              <w:bottom w:w="70" w:type="dxa"/>
              <w:left w:w="100" w:type="dxa"/>
              <w:right w:w="100" w:type="dxa"/>
            </w:tcMar>
          </w:tcPr>
          <w:p>
            <w:r>
              <w:rPr>
                <w:rFonts w:ascii="Calibri" w:hAnsi="Calibri"/>
                <w:color w:val="282828"/>
                <w:sz w:val="18"/>
              </w:rPr>
              <w:t>2026-01</w:t>
            </w:r>
          </w:p>
        </w:tc>
        <w:tc>
          <w:tcPr>
            <w:tcW w:type="dxa" w:w="864"/>
            <w:shd w:fill="FFFFFF"/>
            <w:tcMar>
              <w:top w:w="70" w:type="dxa"/>
              <w:bottom w:w="70" w:type="dxa"/>
              <w:left w:w="100" w:type="dxa"/>
              <w:right w:w="100" w:type="dxa"/>
            </w:tcMar>
          </w:tcPr>
          <w:p>
            <w:r>
              <w:rPr>
                <w:rFonts w:ascii="Calibri" w:hAnsi="Calibri"/>
                <w:color w:val="282828"/>
                <w:sz w:val="18"/>
              </w:rPr>
              <w:t>-1</w:t>
            </w:r>
          </w:p>
        </w:tc>
        <w:tc>
          <w:tcPr>
            <w:tcW w:type="dxa" w:w="1440"/>
            <w:shd w:fill="FFFFFF"/>
            <w:tcMar>
              <w:top w:w="70" w:type="dxa"/>
              <w:bottom w:w="70" w:type="dxa"/>
              <w:left w:w="100" w:type="dxa"/>
              <w:right w:w="100" w:type="dxa"/>
            </w:tcMar>
          </w:tcPr>
          <w:p>
            <w:r>
              <w:rPr>
                <w:rFonts w:ascii="Calibri" w:hAnsi="Calibri"/>
                <w:color w:val="282828"/>
                <w:sz w:val="18"/>
              </w:rPr>
              <w:t>0.999646</w:t>
            </w:r>
          </w:p>
        </w:tc>
        <w:tc>
          <w:tcPr>
            <w:tcW w:type="dxa" w:w="1296"/>
            <w:shd w:fill="FFFFFF"/>
            <w:tcMar>
              <w:top w:w="70" w:type="dxa"/>
              <w:bottom w:w="70" w:type="dxa"/>
              <w:left w:w="100" w:type="dxa"/>
              <w:right w:w="100" w:type="dxa"/>
            </w:tcMar>
          </w:tcPr>
          <w:p>
            <w:r>
              <w:rPr>
                <w:rFonts w:ascii="Calibri" w:hAnsi="Calibri"/>
                <w:color w:val="282828"/>
                <w:sz w:val="18"/>
              </w:rPr>
              <w:t>113</w:t>
            </w:r>
          </w:p>
        </w:tc>
        <w:tc>
          <w:tcPr>
            <w:tcW w:type="dxa" w:w="1872"/>
            <w:shd w:fill="FFFFFF"/>
            <w:tcMar>
              <w:top w:w="70" w:type="dxa"/>
              <w:bottom w:w="70" w:type="dxa"/>
              <w:left w:w="100" w:type="dxa"/>
              <w:right w:w="100" w:type="dxa"/>
            </w:tcMar>
          </w:tcPr>
          <w:p>
            <w:r>
              <w:rPr>
                <w:rFonts w:ascii="Calibri" w:hAnsi="Calibri"/>
                <w:color w:val="282828"/>
                <w:sz w:val="18"/>
              </w:rPr>
              <w:t>758,200</w:t>
            </w:r>
          </w:p>
        </w:tc>
        <w:tc>
          <w:tcPr>
            <w:tcW w:type="dxa" w:w="1440"/>
            <w:shd w:fill="FFFFFF"/>
            <w:tcMar>
              <w:top w:w="70" w:type="dxa"/>
              <w:bottom w:w="70" w:type="dxa"/>
              <w:left w:w="100" w:type="dxa"/>
              <w:right w:w="100" w:type="dxa"/>
            </w:tcMar>
          </w:tcPr>
          <w:p>
            <w:r>
              <w:rPr>
                <w:rFonts w:ascii="Calibri" w:hAnsi="Calibri"/>
                <w:color w:val="282828"/>
                <w:sz w:val="18"/>
              </w:rPr>
              <w:t>86.7%</w:t>
            </w:r>
          </w:p>
        </w:tc>
        <w:tc>
          <w:tcPr>
            <w:tcW w:type="dxa" w:w="2016"/>
            <w:shd w:fill="FFFFFF"/>
            <w:tcMar>
              <w:top w:w="70" w:type="dxa"/>
              <w:bottom w:w="70" w:type="dxa"/>
              <w:left w:w="100" w:type="dxa"/>
              <w:right w:w="100" w:type="dxa"/>
            </w:tcMar>
          </w:tcPr>
          <w:p>
            <w:r>
              <w:rPr>
                <w:rFonts w:ascii="Calibri" w:hAnsi="Calibri"/>
                <w:color w:val="282828"/>
                <w:sz w:val="18"/>
              </w:rPr>
              <w:t>Severe Systematic Rejection</w:t>
            </w:r>
          </w:p>
        </w:tc>
      </w:tr>
      <w:tr>
        <w:tc>
          <w:tcPr>
            <w:tcW w:type="dxa" w:w="864"/>
            <w:shd w:fill="F4F7FA"/>
            <w:tcMar>
              <w:top w:w="70" w:type="dxa"/>
              <w:bottom w:w="70" w:type="dxa"/>
              <w:left w:w="100" w:type="dxa"/>
              <w:right w:w="100" w:type="dxa"/>
            </w:tcMar>
          </w:tcPr>
          <w:p>
            <w:r>
              <w:rPr>
                <w:rFonts w:ascii="Calibri" w:hAnsi="Calibri"/>
                <w:color w:val="282828"/>
                <w:sz w:val="18"/>
              </w:rPr>
              <w:t>703</w:t>
            </w:r>
          </w:p>
        </w:tc>
        <w:tc>
          <w:tcPr>
            <w:tcW w:type="dxa" w:w="1152"/>
            <w:shd w:fill="F4F7FA"/>
            <w:tcMar>
              <w:top w:w="70" w:type="dxa"/>
              <w:bottom w:w="70" w:type="dxa"/>
              <w:left w:w="100" w:type="dxa"/>
              <w:right w:w="100" w:type="dxa"/>
            </w:tcMar>
          </w:tcPr>
          <w:p>
            <w:r>
              <w:rPr>
                <w:rFonts w:ascii="Calibri" w:hAnsi="Calibri"/>
                <w:color w:val="282828"/>
                <w:sz w:val="18"/>
              </w:rPr>
              <w:t>2025-06</w:t>
            </w:r>
          </w:p>
        </w:tc>
        <w:tc>
          <w:tcPr>
            <w:tcW w:type="dxa" w:w="864"/>
            <w:shd w:fill="F4F7FA"/>
            <w:tcMar>
              <w:top w:w="70" w:type="dxa"/>
              <w:bottom w:w="70" w:type="dxa"/>
              <w:left w:w="100" w:type="dxa"/>
              <w:right w:w="100" w:type="dxa"/>
            </w:tcMar>
          </w:tcPr>
          <w:p>
            <w:r>
              <w:rPr>
                <w:rFonts w:ascii="Calibri" w:hAnsi="Calibri"/>
                <w:color w:val="282828"/>
                <w:sz w:val="18"/>
              </w:rPr>
              <w:t>-1</w:t>
            </w:r>
          </w:p>
        </w:tc>
        <w:tc>
          <w:tcPr>
            <w:tcW w:type="dxa" w:w="1440"/>
            <w:shd w:fill="F4F7FA"/>
            <w:tcMar>
              <w:top w:w="70" w:type="dxa"/>
              <w:bottom w:w="70" w:type="dxa"/>
              <w:left w:w="100" w:type="dxa"/>
              <w:right w:w="100" w:type="dxa"/>
            </w:tcMar>
          </w:tcPr>
          <w:p>
            <w:r>
              <w:rPr>
                <w:rFonts w:ascii="Calibri" w:hAnsi="Calibri"/>
                <w:color w:val="282828"/>
                <w:sz w:val="18"/>
              </w:rPr>
              <w:t>0.999047</w:t>
            </w:r>
          </w:p>
        </w:tc>
        <w:tc>
          <w:tcPr>
            <w:tcW w:type="dxa" w:w="1296"/>
            <w:shd w:fill="F4F7FA"/>
            <w:tcMar>
              <w:top w:w="70" w:type="dxa"/>
              <w:bottom w:w="70" w:type="dxa"/>
              <w:left w:w="100" w:type="dxa"/>
              <w:right w:w="100" w:type="dxa"/>
            </w:tcMar>
          </w:tcPr>
          <w:p>
            <w:r>
              <w:rPr>
                <w:rFonts w:ascii="Calibri" w:hAnsi="Calibri"/>
                <w:color w:val="282828"/>
                <w:sz w:val="18"/>
              </w:rPr>
              <w:t>22</w:t>
            </w:r>
          </w:p>
        </w:tc>
        <w:tc>
          <w:tcPr>
            <w:tcW w:type="dxa" w:w="1872"/>
            <w:shd w:fill="F4F7FA"/>
            <w:tcMar>
              <w:top w:w="70" w:type="dxa"/>
              <w:bottom w:w="70" w:type="dxa"/>
              <w:left w:w="100" w:type="dxa"/>
              <w:right w:w="100" w:type="dxa"/>
            </w:tcMar>
          </w:tcPr>
          <w:p>
            <w:r>
              <w:rPr>
                <w:rFonts w:ascii="Calibri" w:hAnsi="Calibri"/>
                <w:color w:val="282828"/>
                <w:sz w:val="18"/>
              </w:rPr>
              <w:t>77,500</w:t>
            </w:r>
          </w:p>
        </w:tc>
        <w:tc>
          <w:tcPr>
            <w:tcW w:type="dxa" w:w="1440"/>
            <w:shd w:fill="F4F7FA"/>
            <w:tcMar>
              <w:top w:w="70" w:type="dxa"/>
              <w:bottom w:w="70" w:type="dxa"/>
              <w:left w:w="100" w:type="dxa"/>
              <w:right w:w="100" w:type="dxa"/>
            </w:tcMar>
          </w:tcPr>
          <w:p>
            <w:r>
              <w:rPr>
                <w:rFonts w:ascii="Calibri" w:hAnsi="Calibri"/>
                <w:color w:val="282828"/>
                <w:sz w:val="18"/>
              </w:rPr>
              <w:t>86.4%</w:t>
            </w:r>
          </w:p>
        </w:tc>
        <w:tc>
          <w:tcPr>
            <w:tcW w:type="dxa" w:w="2016"/>
            <w:shd w:fill="F4F7FA"/>
            <w:tcMar>
              <w:top w:w="70" w:type="dxa"/>
              <w:bottom w:w="70" w:type="dxa"/>
              <w:left w:w="100" w:type="dxa"/>
              <w:right w:w="100" w:type="dxa"/>
            </w:tcMar>
          </w:tcPr>
          <w:p>
            <w:r>
              <w:rPr>
                <w:rFonts w:ascii="Calibri" w:hAnsi="Calibri"/>
                <w:color w:val="282828"/>
                <w:sz w:val="18"/>
              </w:rPr>
              <w:t>Micro-Volume High Rejection</w:t>
            </w:r>
          </w:p>
        </w:tc>
      </w:tr>
      <w:tr>
        <w:tc>
          <w:tcPr>
            <w:tcW w:type="dxa" w:w="864"/>
            <w:shd w:fill="FFFFFF"/>
            <w:tcMar>
              <w:top w:w="70" w:type="dxa"/>
              <w:bottom w:w="70" w:type="dxa"/>
              <w:left w:w="100" w:type="dxa"/>
              <w:right w:w="100" w:type="dxa"/>
            </w:tcMar>
          </w:tcPr>
          <w:p>
            <w:r>
              <w:rPr>
                <w:rFonts w:ascii="Calibri" w:hAnsi="Calibri"/>
                <w:color w:val="282828"/>
                <w:sz w:val="18"/>
              </w:rPr>
              <w:t>3890</w:t>
            </w:r>
          </w:p>
        </w:tc>
        <w:tc>
          <w:tcPr>
            <w:tcW w:type="dxa" w:w="1152"/>
            <w:shd w:fill="FFFFFF"/>
            <w:tcMar>
              <w:top w:w="70" w:type="dxa"/>
              <w:bottom w:w="70" w:type="dxa"/>
              <w:left w:w="100" w:type="dxa"/>
              <w:right w:w="100" w:type="dxa"/>
            </w:tcMar>
          </w:tcPr>
          <w:p>
            <w:r>
              <w:rPr>
                <w:rFonts w:ascii="Calibri" w:hAnsi="Calibri"/>
                <w:color w:val="282828"/>
                <w:sz w:val="18"/>
              </w:rPr>
              <w:t>2025-10</w:t>
            </w:r>
          </w:p>
        </w:tc>
        <w:tc>
          <w:tcPr>
            <w:tcW w:type="dxa" w:w="864"/>
            <w:shd w:fill="FFFFFF"/>
            <w:tcMar>
              <w:top w:w="70" w:type="dxa"/>
              <w:bottom w:w="70" w:type="dxa"/>
              <w:left w:w="100" w:type="dxa"/>
              <w:right w:w="100" w:type="dxa"/>
            </w:tcMar>
          </w:tcPr>
          <w:p>
            <w:r>
              <w:rPr>
                <w:rFonts w:ascii="Calibri" w:hAnsi="Calibri"/>
                <w:color w:val="282828"/>
                <w:sz w:val="18"/>
              </w:rPr>
              <w:t>-1</w:t>
            </w:r>
          </w:p>
        </w:tc>
        <w:tc>
          <w:tcPr>
            <w:tcW w:type="dxa" w:w="1440"/>
            <w:shd w:fill="FFFFFF"/>
            <w:tcMar>
              <w:top w:w="70" w:type="dxa"/>
              <w:bottom w:w="70" w:type="dxa"/>
              <w:left w:w="100" w:type="dxa"/>
              <w:right w:w="100" w:type="dxa"/>
            </w:tcMar>
          </w:tcPr>
          <w:p>
            <w:r>
              <w:rPr>
                <w:rFonts w:ascii="Calibri" w:hAnsi="Calibri"/>
                <w:color w:val="282828"/>
                <w:sz w:val="18"/>
              </w:rPr>
              <w:t>0.998991</w:t>
            </w:r>
          </w:p>
        </w:tc>
        <w:tc>
          <w:tcPr>
            <w:tcW w:type="dxa" w:w="1296"/>
            <w:shd w:fill="FFFFFF"/>
            <w:tcMar>
              <w:top w:w="70" w:type="dxa"/>
              <w:bottom w:w="70" w:type="dxa"/>
              <w:left w:w="100" w:type="dxa"/>
              <w:right w:w="100" w:type="dxa"/>
            </w:tcMar>
          </w:tcPr>
          <w:p>
            <w:r>
              <w:rPr>
                <w:rFonts w:ascii="Calibri" w:hAnsi="Calibri"/>
                <w:color w:val="282828"/>
                <w:sz w:val="18"/>
              </w:rPr>
              <w:t>345</w:t>
            </w:r>
          </w:p>
        </w:tc>
        <w:tc>
          <w:tcPr>
            <w:tcW w:type="dxa" w:w="1872"/>
            <w:shd w:fill="FFFFFF"/>
            <w:tcMar>
              <w:top w:w="70" w:type="dxa"/>
              <w:bottom w:w="70" w:type="dxa"/>
              <w:left w:w="100" w:type="dxa"/>
              <w:right w:w="100" w:type="dxa"/>
            </w:tcMar>
          </w:tcPr>
          <w:p>
            <w:r>
              <w:rPr>
                <w:rFonts w:ascii="Calibri" w:hAnsi="Calibri"/>
                <w:color w:val="282828"/>
                <w:sz w:val="18"/>
              </w:rPr>
              <w:t>2,334,000</w:t>
            </w:r>
          </w:p>
        </w:tc>
        <w:tc>
          <w:tcPr>
            <w:tcW w:type="dxa" w:w="1440"/>
            <w:shd w:fill="FFFFFF"/>
            <w:tcMar>
              <w:top w:w="70" w:type="dxa"/>
              <w:bottom w:w="70" w:type="dxa"/>
              <w:left w:w="100" w:type="dxa"/>
              <w:right w:w="100" w:type="dxa"/>
            </w:tcMar>
          </w:tcPr>
          <w:p>
            <w:r>
              <w:rPr>
                <w:rFonts w:ascii="Calibri" w:hAnsi="Calibri"/>
                <w:color w:val="282828"/>
                <w:sz w:val="18"/>
              </w:rPr>
              <w:t>88.1%</w:t>
            </w:r>
          </w:p>
        </w:tc>
        <w:tc>
          <w:tcPr>
            <w:tcW w:type="dxa" w:w="2016"/>
            <w:shd w:fill="FFFFFF"/>
            <w:tcMar>
              <w:top w:w="70" w:type="dxa"/>
              <w:bottom w:w="70" w:type="dxa"/>
              <w:left w:w="100" w:type="dxa"/>
              <w:right w:w="100" w:type="dxa"/>
            </w:tcMar>
          </w:tcPr>
          <w:p>
            <w:r>
              <w:rPr>
                <w:rFonts w:ascii="Calibri" w:hAnsi="Calibri"/>
                <w:color w:val="282828"/>
                <w:sz w:val="18"/>
              </w:rPr>
              <w:t>Sustained Fraud Pattern</w:t>
            </w:r>
          </w:p>
        </w:tc>
      </w:tr>
      <w:tr>
        <w:tc>
          <w:tcPr>
            <w:tcW w:type="dxa" w:w="864"/>
            <w:shd w:fill="F4F7FA"/>
            <w:tcMar>
              <w:top w:w="70" w:type="dxa"/>
              <w:bottom w:w="70" w:type="dxa"/>
              <w:left w:w="100" w:type="dxa"/>
              <w:right w:w="100" w:type="dxa"/>
            </w:tcMar>
          </w:tcPr>
          <w:p>
            <w:r>
              <w:rPr>
                <w:rFonts w:ascii="Calibri" w:hAnsi="Calibri"/>
                <w:color w:val="282828"/>
                <w:sz w:val="18"/>
              </w:rPr>
              <w:t>1068</w:t>
            </w:r>
          </w:p>
        </w:tc>
        <w:tc>
          <w:tcPr>
            <w:tcW w:type="dxa" w:w="1152"/>
            <w:shd w:fill="F4F7FA"/>
            <w:tcMar>
              <w:top w:w="70" w:type="dxa"/>
              <w:bottom w:w="70" w:type="dxa"/>
              <w:left w:w="100" w:type="dxa"/>
              <w:right w:w="100" w:type="dxa"/>
            </w:tcMar>
          </w:tcPr>
          <w:p>
            <w:r>
              <w:rPr>
                <w:rFonts w:ascii="Calibri" w:hAnsi="Calibri"/>
                <w:color w:val="282828"/>
                <w:sz w:val="18"/>
              </w:rPr>
              <w:t>2026-02</w:t>
            </w:r>
          </w:p>
        </w:tc>
        <w:tc>
          <w:tcPr>
            <w:tcW w:type="dxa" w:w="864"/>
            <w:shd w:fill="F4F7FA"/>
            <w:tcMar>
              <w:top w:w="70" w:type="dxa"/>
              <w:bottom w:w="70" w:type="dxa"/>
              <w:left w:w="100" w:type="dxa"/>
              <w:right w:w="100" w:type="dxa"/>
            </w:tcMar>
          </w:tcPr>
          <w:p>
            <w:r>
              <w:rPr>
                <w:rFonts w:ascii="Calibri" w:hAnsi="Calibri"/>
                <w:color w:val="282828"/>
                <w:sz w:val="18"/>
              </w:rPr>
              <w:t>-1</w:t>
            </w:r>
          </w:p>
        </w:tc>
        <w:tc>
          <w:tcPr>
            <w:tcW w:type="dxa" w:w="1440"/>
            <w:shd w:fill="F4F7FA"/>
            <w:tcMar>
              <w:top w:w="70" w:type="dxa"/>
              <w:bottom w:w="70" w:type="dxa"/>
              <w:left w:w="100" w:type="dxa"/>
              <w:right w:w="100" w:type="dxa"/>
            </w:tcMar>
          </w:tcPr>
          <w:p>
            <w:r>
              <w:rPr>
                <w:rFonts w:ascii="Calibri" w:hAnsi="Calibri"/>
                <w:color w:val="282828"/>
                <w:sz w:val="18"/>
              </w:rPr>
              <w:t>0.998967</w:t>
            </w:r>
          </w:p>
        </w:tc>
        <w:tc>
          <w:tcPr>
            <w:tcW w:type="dxa" w:w="1296"/>
            <w:shd w:fill="F4F7FA"/>
            <w:tcMar>
              <w:top w:w="70" w:type="dxa"/>
              <w:bottom w:w="70" w:type="dxa"/>
              <w:left w:w="100" w:type="dxa"/>
              <w:right w:w="100" w:type="dxa"/>
            </w:tcMar>
          </w:tcPr>
          <w:p>
            <w:r>
              <w:rPr>
                <w:rFonts w:ascii="Calibri" w:hAnsi="Calibri"/>
                <w:color w:val="282828"/>
                <w:sz w:val="18"/>
              </w:rPr>
              <w:t>104</w:t>
            </w:r>
          </w:p>
        </w:tc>
        <w:tc>
          <w:tcPr>
            <w:tcW w:type="dxa" w:w="1872"/>
            <w:shd w:fill="F4F7FA"/>
            <w:tcMar>
              <w:top w:w="70" w:type="dxa"/>
              <w:bottom w:w="70" w:type="dxa"/>
              <w:left w:w="100" w:type="dxa"/>
              <w:right w:w="100" w:type="dxa"/>
            </w:tcMar>
          </w:tcPr>
          <w:p>
            <w:r>
              <w:rPr>
                <w:rFonts w:ascii="Calibri" w:hAnsi="Calibri"/>
                <w:color w:val="282828"/>
                <w:sz w:val="18"/>
              </w:rPr>
              <w:t>444,900</w:t>
            </w:r>
          </w:p>
        </w:tc>
        <w:tc>
          <w:tcPr>
            <w:tcW w:type="dxa" w:w="1440"/>
            <w:shd w:fill="F4F7FA"/>
            <w:tcMar>
              <w:top w:w="70" w:type="dxa"/>
              <w:bottom w:w="70" w:type="dxa"/>
              <w:left w:w="100" w:type="dxa"/>
              <w:right w:w="100" w:type="dxa"/>
            </w:tcMar>
          </w:tcPr>
          <w:p>
            <w:r>
              <w:rPr>
                <w:rFonts w:ascii="Calibri" w:hAnsi="Calibri"/>
                <w:color w:val="282828"/>
                <w:sz w:val="18"/>
              </w:rPr>
              <w:t>46.2%</w:t>
            </w:r>
          </w:p>
        </w:tc>
        <w:tc>
          <w:tcPr>
            <w:tcW w:type="dxa" w:w="2016"/>
            <w:shd w:fill="F4F7FA"/>
            <w:tcMar>
              <w:top w:w="70" w:type="dxa"/>
              <w:bottom w:w="70" w:type="dxa"/>
              <w:left w:w="100" w:type="dxa"/>
              <w:right w:w="100" w:type="dxa"/>
            </w:tcMar>
          </w:tcPr>
          <w:p>
            <w:r>
              <w:rPr>
                <w:rFonts w:ascii="Calibri" w:hAnsi="Calibri"/>
                <w:color w:val="282828"/>
                <w:sz w:val="18"/>
              </w:rPr>
              <w:t>Elevated Rejection / Pricing</w:t>
            </w:r>
          </w:p>
        </w:tc>
      </w:tr>
      <w:tr>
        <w:tc>
          <w:tcPr>
            <w:tcW w:type="dxa" w:w="864"/>
            <w:shd w:fill="FFFFFF"/>
            <w:tcMar>
              <w:top w:w="70" w:type="dxa"/>
              <w:bottom w:w="70" w:type="dxa"/>
              <w:left w:w="100" w:type="dxa"/>
              <w:right w:w="100" w:type="dxa"/>
            </w:tcMar>
          </w:tcPr>
          <w:p>
            <w:r>
              <w:rPr>
                <w:rFonts w:ascii="Calibri" w:hAnsi="Calibri"/>
                <w:color w:val="282828"/>
                <w:sz w:val="18"/>
              </w:rPr>
              <w:t>382</w:t>
            </w:r>
          </w:p>
        </w:tc>
        <w:tc>
          <w:tcPr>
            <w:tcW w:type="dxa" w:w="1152"/>
            <w:shd w:fill="FFFFFF"/>
            <w:tcMar>
              <w:top w:w="70" w:type="dxa"/>
              <w:bottom w:w="70" w:type="dxa"/>
              <w:left w:w="100" w:type="dxa"/>
              <w:right w:w="100" w:type="dxa"/>
            </w:tcMar>
          </w:tcPr>
          <w:p>
            <w:r>
              <w:rPr>
                <w:rFonts w:ascii="Calibri" w:hAnsi="Calibri"/>
                <w:color w:val="282828"/>
                <w:sz w:val="18"/>
              </w:rPr>
              <w:t>2024-12</w:t>
            </w:r>
          </w:p>
        </w:tc>
        <w:tc>
          <w:tcPr>
            <w:tcW w:type="dxa" w:w="864"/>
            <w:shd w:fill="FFFFFF"/>
            <w:tcMar>
              <w:top w:w="70" w:type="dxa"/>
              <w:bottom w:w="70" w:type="dxa"/>
              <w:left w:w="100" w:type="dxa"/>
              <w:right w:w="100" w:type="dxa"/>
            </w:tcMar>
          </w:tcPr>
          <w:p>
            <w:r>
              <w:rPr>
                <w:rFonts w:ascii="Calibri" w:hAnsi="Calibri"/>
                <w:color w:val="282828"/>
                <w:sz w:val="18"/>
              </w:rPr>
              <w:t>-1</w:t>
            </w:r>
          </w:p>
        </w:tc>
        <w:tc>
          <w:tcPr>
            <w:tcW w:type="dxa" w:w="1440"/>
            <w:shd w:fill="FFFFFF"/>
            <w:tcMar>
              <w:top w:w="70" w:type="dxa"/>
              <w:bottom w:w="70" w:type="dxa"/>
              <w:left w:w="100" w:type="dxa"/>
              <w:right w:w="100" w:type="dxa"/>
            </w:tcMar>
          </w:tcPr>
          <w:p>
            <w:r>
              <w:rPr>
                <w:rFonts w:ascii="Calibri" w:hAnsi="Calibri"/>
                <w:color w:val="282828"/>
                <w:sz w:val="18"/>
              </w:rPr>
              <w:t>0.998840</w:t>
            </w:r>
          </w:p>
        </w:tc>
        <w:tc>
          <w:tcPr>
            <w:tcW w:type="dxa" w:w="1296"/>
            <w:shd w:fill="FFFFFF"/>
            <w:tcMar>
              <w:top w:w="70" w:type="dxa"/>
              <w:bottom w:w="70" w:type="dxa"/>
              <w:left w:w="100" w:type="dxa"/>
              <w:right w:w="100" w:type="dxa"/>
            </w:tcMar>
          </w:tcPr>
          <w:p>
            <w:r>
              <w:rPr>
                <w:rFonts w:ascii="Calibri" w:hAnsi="Calibri"/>
                <w:color w:val="282828"/>
                <w:sz w:val="18"/>
              </w:rPr>
              <w:t>113</w:t>
            </w:r>
          </w:p>
        </w:tc>
        <w:tc>
          <w:tcPr>
            <w:tcW w:type="dxa" w:w="1872"/>
            <w:shd w:fill="FFFFFF"/>
            <w:tcMar>
              <w:top w:w="70" w:type="dxa"/>
              <w:bottom w:w="70" w:type="dxa"/>
              <w:left w:w="100" w:type="dxa"/>
              <w:right w:w="100" w:type="dxa"/>
            </w:tcMar>
          </w:tcPr>
          <w:p>
            <w:r>
              <w:rPr>
                <w:rFonts w:ascii="Calibri" w:hAnsi="Calibri"/>
                <w:color w:val="282828"/>
                <w:sz w:val="18"/>
              </w:rPr>
              <w:t>746,100</w:t>
            </w:r>
          </w:p>
        </w:tc>
        <w:tc>
          <w:tcPr>
            <w:tcW w:type="dxa" w:w="1440"/>
            <w:shd w:fill="FFFFFF"/>
            <w:tcMar>
              <w:top w:w="70" w:type="dxa"/>
              <w:bottom w:w="70" w:type="dxa"/>
              <w:left w:w="100" w:type="dxa"/>
              <w:right w:w="100" w:type="dxa"/>
            </w:tcMar>
          </w:tcPr>
          <w:p>
            <w:r>
              <w:rPr>
                <w:rFonts w:ascii="Calibri" w:hAnsi="Calibri"/>
                <w:color w:val="282828"/>
                <w:sz w:val="18"/>
              </w:rPr>
              <w:t>3.5%</w:t>
            </w:r>
          </w:p>
        </w:tc>
        <w:tc>
          <w:tcPr>
            <w:tcW w:type="dxa" w:w="2016"/>
            <w:shd w:fill="FFFFFF"/>
            <w:tcMar>
              <w:top w:w="70" w:type="dxa"/>
              <w:bottom w:w="70" w:type="dxa"/>
              <w:left w:w="100" w:type="dxa"/>
              <w:right w:w="100" w:type="dxa"/>
            </w:tcMar>
          </w:tcPr>
          <w:p>
            <w:r>
              <w:rPr>
                <w:rFonts w:ascii="Calibri" w:hAnsi="Calibri"/>
                <w:color w:val="282828"/>
                <w:sz w:val="18"/>
              </w:rPr>
              <w:t>Atypical Procedure Mixture</w:t>
            </w:r>
          </w:p>
        </w:tc>
      </w:tr>
      <w:tr>
        <w:tc>
          <w:tcPr>
            <w:tcW w:type="dxa" w:w="864"/>
            <w:shd w:fill="F4F7FA"/>
            <w:tcMar>
              <w:top w:w="70" w:type="dxa"/>
              <w:bottom w:w="70" w:type="dxa"/>
              <w:left w:w="100" w:type="dxa"/>
              <w:right w:w="100" w:type="dxa"/>
            </w:tcMar>
          </w:tcPr>
          <w:p>
            <w:r>
              <w:rPr>
                <w:rFonts w:ascii="Calibri" w:hAnsi="Calibri"/>
                <w:color w:val="282828"/>
                <w:sz w:val="18"/>
              </w:rPr>
              <w:t>583</w:t>
            </w:r>
          </w:p>
        </w:tc>
        <w:tc>
          <w:tcPr>
            <w:tcW w:type="dxa" w:w="1152"/>
            <w:shd w:fill="F4F7FA"/>
            <w:tcMar>
              <w:top w:w="70" w:type="dxa"/>
              <w:bottom w:w="70" w:type="dxa"/>
              <w:left w:w="100" w:type="dxa"/>
              <w:right w:w="100" w:type="dxa"/>
            </w:tcMar>
          </w:tcPr>
          <w:p>
            <w:r>
              <w:rPr>
                <w:rFonts w:ascii="Calibri" w:hAnsi="Calibri"/>
                <w:color w:val="282828"/>
                <w:sz w:val="18"/>
              </w:rPr>
              <w:t>2025-10</w:t>
            </w:r>
          </w:p>
        </w:tc>
        <w:tc>
          <w:tcPr>
            <w:tcW w:type="dxa" w:w="864"/>
            <w:shd w:fill="F4F7FA"/>
            <w:tcMar>
              <w:top w:w="70" w:type="dxa"/>
              <w:bottom w:w="70" w:type="dxa"/>
              <w:left w:w="100" w:type="dxa"/>
              <w:right w:w="100" w:type="dxa"/>
            </w:tcMar>
          </w:tcPr>
          <w:p>
            <w:r>
              <w:rPr>
                <w:rFonts w:ascii="Calibri" w:hAnsi="Calibri"/>
                <w:color w:val="282828"/>
                <w:sz w:val="18"/>
              </w:rPr>
              <w:t>-1</w:t>
            </w:r>
          </w:p>
        </w:tc>
        <w:tc>
          <w:tcPr>
            <w:tcW w:type="dxa" w:w="1440"/>
            <w:shd w:fill="F4F7FA"/>
            <w:tcMar>
              <w:top w:w="70" w:type="dxa"/>
              <w:bottom w:w="70" w:type="dxa"/>
              <w:left w:w="100" w:type="dxa"/>
              <w:right w:w="100" w:type="dxa"/>
            </w:tcMar>
          </w:tcPr>
          <w:p>
            <w:r>
              <w:rPr>
                <w:rFonts w:ascii="Calibri" w:hAnsi="Calibri"/>
                <w:color w:val="282828"/>
                <w:sz w:val="18"/>
              </w:rPr>
              <w:t>0.998669</w:t>
            </w:r>
          </w:p>
        </w:tc>
        <w:tc>
          <w:tcPr>
            <w:tcW w:type="dxa" w:w="1296"/>
            <w:shd w:fill="F4F7FA"/>
            <w:tcMar>
              <w:top w:w="70" w:type="dxa"/>
              <w:bottom w:w="70" w:type="dxa"/>
              <w:left w:w="100" w:type="dxa"/>
              <w:right w:w="100" w:type="dxa"/>
            </w:tcMar>
          </w:tcPr>
          <w:p>
            <w:r>
              <w:rPr>
                <w:rFonts w:ascii="Calibri" w:hAnsi="Calibri"/>
                <w:color w:val="282828"/>
                <w:sz w:val="18"/>
              </w:rPr>
              <w:t>35</w:t>
            </w:r>
          </w:p>
        </w:tc>
        <w:tc>
          <w:tcPr>
            <w:tcW w:type="dxa" w:w="1872"/>
            <w:shd w:fill="F4F7FA"/>
            <w:tcMar>
              <w:top w:w="70" w:type="dxa"/>
              <w:bottom w:w="70" w:type="dxa"/>
              <w:left w:w="100" w:type="dxa"/>
              <w:right w:w="100" w:type="dxa"/>
            </w:tcMar>
          </w:tcPr>
          <w:p>
            <w:r>
              <w:rPr>
                <w:rFonts w:ascii="Calibri" w:hAnsi="Calibri"/>
                <w:color w:val="282828"/>
                <w:sz w:val="18"/>
              </w:rPr>
              <w:t>56,100</w:t>
            </w:r>
          </w:p>
        </w:tc>
        <w:tc>
          <w:tcPr>
            <w:tcW w:type="dxa" w:w="1440"/>
            <w:shd w:fill="F4F7FA"/>
            <w:tcMar>
              <w:top w:w="70" w:type="dxa"/>
              <w:bottom w:w="70" w:type="dxa"/>
              <w:left w:w="100" w:type="dxa"/>
              <w:right w:w="100" w:type="dxa"/>
            </w:tcMar>
          </w:tcPr>
          <w:p>
            <w:r>
              <w:rPr>
                <w:rFonts w:ascii="Calibri" w:hAnsi="Calibri"/>
                <w:color w:val="282828"/>
                <w:sz w:val="18"/>
              </w:rPr>
              <w:t>34.3%</w:t>
            </w:r>
          </w:p>
        </w:tc>
        <w:tc>
          <w:tcPr>
            <w:tcW w:type="dxa" w:w="2016"/>
            <w:shd w:fill="F4F7FA"/>
            <w:tcMar>
              <w:top w:w="70" w:type="dxa"/>
              <w:bottom w:w="70" w:type="dxa"/>
              <w:left w:w="100" w:type="dxa"/>
              <w:right w:w="100" w:type="dxa"/>
            </w:tcMar>
          </w:tcPr>
          <w:p>
            <w:r>
              <w:rPr>
                <w:rFonts w:ascii="Calibri" w:hAnsi="Calibri"/>
                <w:color w:val="282828"/>
                <w:sz w:val="18"/>
              </w:rPr>
              <w:t>Timing &amp; Delay Discrepancy</w:t>
            </w:r>
          </w:p>
        </w:tc>
      </w:tr>
      <w:tr>
        <w:tc>
          <w:tcPr>
            <w:tcW w:type="dxa" w:w="864"/>
            <w:shd w:fill="FFFFFF"/>
            <w:tcMar>
              <w:top w:w="70" w:type="dxa"/>
              <w:bottom w:w="70" w:type="dxa"/>
              <w:left w:w="100" w:type="dxa"/>
              <w:right w:w="100" w:type="dxa"/>
            </w:tcMar>
          </w:tcPr>
          <w:p>
            <w:r>
              <w:rPr>
                <w:rFonts w:ascii="Calibri" w:hAnsi="Calibri"/>
                <w:color w:val="282828"/>
                <w:sz w:val="18"/>
              </w:rPr>
              <w:t>3662</w:t>
            </w:r>
          </w:p>
        </w:tc>
        <w:tc>
          <w:tcPr>
            <w:tcW w:type="dxa" w:w="1152"/>
            <w:shd w:fill="FFFFFF"/>
            <w:tcMar>
              <w:top w:w="70" w:type="dxa"/>
              <w:bottom w:w="70" w:type="dxa"/>
              <w:left w:w="100" w:type="dxa"/>
              <w:right w:w="100" w:type="dxa"/>
            </w:tcMar>
          </w:tcPr>
          <w:p>
            <w:r>
              <w:rPr>
                <w:rFonts w:ascii="Calibri" w:hAnsi="Calibri"/>
                <w:color w:val="282828"/>
                <w:sz w:val="18"/>
              </w:rPr>
              <w:t>2025-10</w:t>
            </w:r>
          </w:p>
        </w:tc>
        <w:tc>
          <w:tcPr>
            <w:tcW w:type="dxa" w:w="864"/>
            <w:shd w:fill="FFFFFF"/>
            <w:tcMar>
              <w:top w:w="70" w:type="dxa"/>
              <w:bottom w:w="70" w:type="dxa"/>
              <w:left w:w="100" w:type="dxa"/>
              <w:right w:w="100" w:type="dxa"/>
            </w:tcMar>
          </w:tcPr>
          <w:p>
            <w:r>
              <w:rPr>
                <w:rFonts w:ascii="Calibri" w:hAnsi="Calibri"/>
                <w:color w:val="282828"/>
                <w:sz w:val="18"/>
              </w:rPr>
              <w:t>-1</w:t>
            </w:r>
          </w:p>
        </w:tc>
        <w:tc>
          <w:tcPr>
            <w:tcW w:type="dxa" w:w="1440"/>
            <w:shd w:fill="FFFFFF"/>
            <w:tcMar>
              <w:top w:w="70" w:type="dxa"/>
              <w:bottom w:w="70" w:type="dxa"/>
              <w:left w:w="100" w:type="dxa"/>
              <w:right w:w="100" w:type="dxa"/>
            </w:tcMar>
          </w:tcPr>
          <w:p>
            <w:r>
              <w:rPr>
                <w:rFonts w:ascii="Calibri" w:hAnsi="Calibri"/>
                <w:color w:val="282828"/>
                <w:sz w:val="18"/>
              </w:rPr>
              <w:t>0.998458</w:t>
            </w:r>
          </w:p>
        </w:tc>
        <w:tc>
          <w:tcPr>
            <w:tcW w:type="dxa" w:w="1296"/>
            <w:shd w:fill="FFFFFF"/>
            <w:tcMar>
              <w:top w:w="70" w:type="dxa"/>
              <w:bottom w:w="70" w:type="dxa"/>
              <w:left w:w="100" w:type="dxa"/>
              <w:right w:w="100" w:type="dxa"/>
            </w:tcMar>
          </w:tcPr>
          <w:p>
            <w:r>
              <w:rPr>
                <w:rFonts w:ascii="Calibri" w:hAnsi="Calibri"/>
                <w:color w:val="282828"/>
                <w:sz w:val="18"/>
              </w:rPr>
              <w:t>42</w:t>
            </w:r>
          </w:p>
        </w:tc>
        <w:tc>
          <w:tcPr>
            <w:tcW w:type="dxa" w:w="1872"/>
            <w:shd w:fill="FFFFFF"/>
            <w:tcMar>
              <w:top w:w="70" w:type="dxa"/>
              <w:bottom w:w="70" w:type="dxa"/>
              <w:left w:w="100" w:type="dxa"/>
              <w:right w:w="100" w:type="dxa"/>
            </w:tcMar>
          </w:tcPr>
          <w:p>
            <w:r>
              <w:rPr>
                <w:rFonts w:ascii="Calibri" w:hAnsi="Calibri"/>
                <w:color w:val="282828"/>
                <w:sz w:val="18"/>
              </w:rPr>
              <w:t>185,500</w:t>
            </w:r>
          </w:p>
        </w:tc>
        <w:tc>
          <w:tcPr>
            <w:tcW w:type="dxa" w:w="1440"/>
            <w:shd w:fill="FFFFFF"/>
            <w:tcMar>
              <w:top w:w="70" w:type="dxa"/>
              <w:bottom w:w="70" w:type="dxa"/>
              <w:left w:w="100" w:type="dxa"/>
              <w:right w:w="100" w:type="dxa"/>
            </w:tcMar>
          </w:tcPr>
          <w:p>
            <w:r>
              <w:rPr>
                <w:rFonts w:ascii="Calibri" w:hAnsi="Calibri"/>
                <w:color w:val="282828"/>
                <w:sz w:val="18"/>
              </w:rPr>
              <w:t>40.5%</w:t>
            </w:r>
          </w:p>
        </w:tc>
        <w:tc>
          <w:tcPr>
            <w:tcW w:type="dxa" w:w="2016"/>
            <w:shd w:fill="FFFFFF"/>
            <w:tcMar>
              <w:top w:w="70" w:type="dxa"/>
              <w:bottom w:w="70" w:type="dxa"/>
              <w:left w:w="100" w:type="dxa"/>
              <w:right w:w="100" w:type="dxa"/>
            </w:tcMar>
          </w:tcPr>
          <w:p>
            <w:r>
              <w:rPr>
                <w:rFonts w:ascii="Calibri" w:hAnsi="Calibri"/>
                <w:color w:val="282828"/>
                <w:sz w:val="18"/>
              </w:rPr>
              <w:t>Elevated Outpatient Rejection</w:t>
            </w:r>
          </w:p>
        </w:tc>
      </w:tr>
      <w:tr>
        <w:tc>
          <w:tcPr>
            <w:tcW w:type="dxa" w:w="864"/>
            <w:shd w:fill="F4F7FA"/>
            <w:tcMar>
              <w:top w:w="70" w:type="dxa"/>
              <w:bottom w:w="70" w:type="dxa"/>
              <w:left w:w="100" w:type="dxa"/>
              <w:right w:w="100" w:type="dxa"/>
            </w:tcMar>
          </w:tcPr>
          <w:p>
            <w:r>
              <w:rPr>
                <w:rFonts w:ascii="Calibri" w:hAnsi="Calibri"/>
                <w:color w:val="282828"/>
                <w:sz w:val="18"/>
              </w:rPr>
              <w:t>703</w:t>
            </w:r>
          </w:p>
        </w:tc>
        <w:tc>
          <w:tcPr>
            <w:tcW w:type="dxa" w:w="1152"/>
            <w:shd w:fill="F4F7FA"/>
            <w:tcMar>
              <w:top w:w="70" w:type="dxa"/>
              <w:bottom w:w="70" w:type="dxa"/>
              <w:left w:w="100" w:type="dxa"/>
              <w:right w:w="100" w:type="dxa"/>
            </w:tcMar>
          </w:tcPr>
          <w:p>
            <w:r>
              <w:rPr>
                <w:rFonts w:ascii="Calibri" w:hAnsi="Calibri"/>
                <w:color w:val="282828"/>
                <w:sz w:val="18"/>
              </w:rPr>
              <w:t>2025-11</w:t>
            </w:r>
          </w:p>
        </w:tc>
        <w:tc>
          <w:tcPr>
            <w:tcW w:type="dxa" w:w="864"/>
            <w:shd w:fill="F4F7FA"/>
            <w:tcMar>
              <w:top w:w="70" w:type="dxa"/>
              <w:bottom w:w="70" w:type="dxa"/>
              <w:left w:w="100" w:type="dxa"/>
              <w:right w:w="100" w:type="dxa"/>
            </w:tcMar>
          </w:tcPr>
          <w:p>
            <w:r>
              <w:rPr>
                <w:rFonts w:ascii="Calibri" w:hAnsi="Calibri"/>
                <w:color w:val="282828"/>
                <w:sz w:val="18"/>
              </w:rPr>
              <w:t>-1</w:t>
            </w:r>
          </w:p>
        </w:tc>
        <w:tc>
          <w:tcPr>
            <w:tcW w:type="dxa" w:w="1440"/>
            <w:shd w:fill="F4F7FA"/>
            <w:tcMar>
              <w:top w:w="70" w:type="dxa"/>
              <w:bottom w:w="70" w:type="dxa"/>
              <w:left w:w="100" w:type="dxa"/>
              <w:right w:w="100" w:type="dxa"/>
            </w:tcMar>
          </w:tcPr>
          <w:p>
            <w:r>
              <w:rPr>
                <w:rFonts w:ascii="Calibri" w:hAnsi="Calibri"/>
                <w:color w:val="282828"/>
                <w:sz w:val="18"/>
              </w:rPr>
              <w:t>0.998375</w:t>
            </w:r>
          </w:p>
        </w:tc>
        <w:tc>
          <w:tcPr>
            <w:tcW w:type="dxa" w:w="1296"/>
            <w:shd w:fill="F4F7FA"/>
            <w:tcMar>
              <w:top w:w="70" w:type="dxa"/>
              <w:bottom w:w="70" w:type="dxa"/>
              <w:left w:w="100" w:type="dxa"/>
              <w:right w:w="100" w:type="dxa"/>
            </w:tcMar>
          </w:tcPr>
          <w:p>
            <w:r>
              <w:rPr>
                <w:rFonts w:ascii="Calibri" w:hAnsi="Calibri"/>
                <w:color w:val="282828"/>
                <w:sz w:val="18"/>
              </w:rPr>
              <w:t>1,804</w:t>
            </w:r>
          </w:p>
        </w:tc>
        <w:tc>
          <w:tcPr>
            <w:tcW w:type="dxa" w:w="1872"/>
            <w:shd w:fill="F4F7FA"/>
            <w:tcMar>
              <w:top w:w="70" w:type="dxa"/>
              <w:bottom w:w="70" w:type="dxa"/>
              <w:left w:w="100" w:type="dxa"/>
              <w:right w:w="100" w:type="dxa"/>
            </w:tcMar>
          </w:tcPr>
          <w:p>
            <w:r>
              <w:rPr>
                <w:rFonts w:ascii="Calibri" w:hAnsi="Calibri"/>
                <w:color w:val="282828"/>
                <w:sz w:val="18"/>
              </w:rPr>
              <w:t>8,436,275</w:t>
            </w:r>
          </w:p>
        </w:tc>
        <w:tc>
          <w:tcPr>
            <w:tcW w:type="dxa" w:w="1440"/>
            <w:shd w:fill="F4F7FA"/>
            <w:tcMar>
              <w:top w:w="70" w:type="dxa"/>
              <w:bottom w:w="70" w:type="dxa"/>
              <w:left w:w="100" w:type="dxa"/>
              <w:right w:w="100" w:type="dxa"/>
            </w:tcMar>
          </w:tcPr>
          <w:p>
            <w:r>
              <w:rPr>
                <w:rFonts w:ascii="Calibri" w:hAnsi="Calibri"/>
                <w:color w:val="282828"/>
                <w:sz w:val="18"/>
              </w:rPr>
              <w:t>56.5%</w:t>
            </w:r>
          </w:p>
        </w:tc>
        <w:tc>
          <w:tcPr>
            <w:tcW w:type="dxa" w:w="2016"/>
            <w:shd w:fill="F4F7FA"/>
            <w:tcMar>
              <w:top w:w="70" w:type="dxa"/>
              <w:bottom w:w="70" w:type="dxa"/>
              <w:left w:w="100" w:type="dxa"/>
              <w:right w:w="100" w:type="dxa"/>
            </w:tcMar>
          </w:tcPr>
          <w:p>
            <w:r>
              <w:rPr>
                <w:rFonts w:ascii="Calibri" w:hAnsi="Calibri"/>
                <w:color w:val="282828"/>
                <w:sz w:val="18"/>
              </w:rPr>
              <w:t>Massive Volume Dump &amp; Rejection</w:t>
            </w:r>
          </w:p>
        </w:tc>
      </w:tr>
      <w:tr>
        <w:tc>
          <w:tcPr>
            <w:tcW w:type="dxa" w:w="864"/>
            <w:shd w:fill="FFFFFF"/>
            <w:tcMar>
              <w:top w:w="70" w:type="dxa"/>
              <w:bottom w:w="70" w:type="dxa"/>
              <w:left w:w="100" w:type="dxa"/>
              <w:right w:w="100" w:type="dxa"/>
            </w:tcMar>
          </w:tcPr>
          <w:p>
            <w:r>
              <w:rPr>
                <w:rFonts w:ascii="Calibri" w:hAnsi="Calibri"/>
                <w:color w:val="282828"/>
                <w:sz w:val="18"/>
              </w:rPr>
              <w:t>703</w:t>
            </w:r>
          </w:p>
        </w:tc>
        <w:tc>
          <w:tcPr>
            <w:tcW w:type="dxa" w:w="1152"/>
            <w:shd w:fill="FFFFFF"/>
            <w:tcMar>
              <w:top w:w="70" w:type="dxa"/>
              <w:bottom w:w="70" w:type="dxa"/>
              <w:left w:w="100" w:type="dxa"/>
              <w:right w:w="100" w:type="dxa"/>
            </w:tcMar>
          </w:tcPr>
          <w:p>
            <w:r>
              <w:rPr>
                <w:rFonts w:ascii="Calibri" w:hAnsi="Calibri"/>
                <w:color w:val="282828"/>
                <w:sz w:val="18"/>
              </w:rPr>
              <w:t>2025-09</w:t>
            </w:r>
          </w:p>
        </w:tc>
        <w:tc>
          <w:tcPr>
            <w:tcW w:type="dxa" w:w="864"/>
            <w:shd w:fill="FFFFFF"/>
            <w:tcMar>
              <w:top w:w="70" w:type="dxa"/>
              <w:bottom w:w="70" w:type="dxa"/>
              <w:left w:w="100" w:type="dxa"/>
              <w:right w:w="100" w:type="dxa"/>
            </w:tcMar>
          </w:tcPr>
          <w:p>
            <w:r>
              <w:rPr>
                <w:rFonts w:ascii="Calibri" w:hAnsi="Calibri"/>
                <w:color w:val="282828"/>
                <w:sz w:val="18"/>
              </w:rPr>
              <w:t>-1</w:t>
            </w:r>
          </w:p>
        </w:tc>
        <w:tc>
          <w:tcPr>
            <w:tcW w:type="dxa" w:w="1440"/>
            <w:shd w:fill="FFFFFF"/>
            <w:tcMar>
              <w:top w:w="70" w:type="dxa"/>
              <w:bottom w:w="70" w:type="dxa"/>
              <w:left w:w="100" w:type="dxa"/>
              <w:right w:w="100" w:type="dxa"/>
            </w:tcMar>
          </w:tcPr>
          <w:p>
            <w:r>
              <w:rPr>
                <w:rFonts w:ascii="Calibri" w:hAnsi="Calibri"/>
                <w:color w:val="282828"/>
                <w:sz w:val="18"/>
              </w:rPr>
              <w:t>0.998358</w:t>
            </w:r>
          </w:p>
        </w:tc>
        <w:tc>
          <w:tcPr>
            <w:tcW w:type="dxa" w:w="1296"/>
            <w:shd w:fill="FFFFFF"/>
            <w:tcMar>
              <w:top w:w="70" w:type="dxa"/>
              <w:bottom w:w="70" w:type="dxa"/>
              <w:left w:w="100" w:type="dxa"/>
              <w:right w:w="100" w:type="dxa"/>
            </w:tcMar>
          </w:tcPr>
          <w:p>
            <w:r>
              <w:rPr>
                <w:rFonts w:ascii="Calibri" w:hAnsi="Calibri"/>
                <w:color w:val="282828"/>
                <w:sz w:val="18"/>
              </w:rPr>
              <w:t>37</w:t>
            </w:r>
          </w:p>
        </w:tc>
        <w:tc>
          <w:tcPr>
            <w:tcW w:type="dxa" w:w="1872"/>
            <w:shd w:fill="FFFFFF"/>
            <w:tcMar>
              <w:top w:w="70" w:type="dxa"/>
              <w:bottom w:w="70" w:type="dxa"/>
              <w:left w:w="100" w:type="dxa"/>
              <w:right w:w="100" w:type="dxa"/>
            </w:tcMar>
          </w:tcPr>
          <w:p>
            <w:r>
              <w:rPr>
                <w:rFonts w:ascii="Calibri" w:hAnsi="Calibri"/>
                <w:color w:val="282828"/>
                <w:sz w:val="18"/>
              </w:rPr>
              <w:t>177,895</w:t>
            </w:r>
          </w:p>
        </w:tc>
        <w:tc>
          <w:tcPr>
            <w:tcW w:type="dxa" w:w="1440"/>
            <w:shd w:fill="FFFFFF"/>
            <w:tcMar>
              <w:top w:w="70" w:type="dxa"/>
              <w:bottom w:w="70" w:type="dxa"/>
              <w:left w:w="100" w:type="dxa"/>
              <w:right w:w="100" w:type="dxa"/>
            </w:tcMar>
          </w:tcPr>
          <w:p>
            <w:r>
              <w:rPr>
                <w:rFonts w:ascii="Calibri" w:hAnsi="Calibri"/>
                <w:color w:val="282828"/>
                <w:sz w:val="18"/>
              </w:rPr>
              <w:t>97.3%</w:t>
            </w:r>
          </w:p>
        </w:tc>
        <w:tc>
          <w:tcPr>
            <w:tcW w:type="dxa" w:w="2016"/>
            <w:shd w:fill="FFFFFF"/>
            <w:tcMar>
              <w:top w:w="70" w:type="dxa"/>
              <w:bottom w:w="70" w:type="dxa"/>
              <w:left w:w="100" w:type="dxa"/>
              <w:right w:w="100" w:type="dxa"/>
            </w:tcMar>
          </w:tcPr>
          <w:p>
            <w:r>
              <w:rPr>
                <w:rFonts w:ascii="Calibri" w:hAnsi="Calibri"/>
                <w:color w:val="282828"/>
                <w:sz w:val="18"/>
              </w:rPr>
              <w:t>Near-Complete Rejection</w:t>
            </w:r>
          </w:p>
        </w:tc>
      </w:tr>
      <w:tr>
        <w:tc>
          <w:tcPr>
            <w:tcW w:type="dxa" w:w="864"/>
            <w:shd w:fill="F4F7FA"/>
            <w:tcMar>
              <w:top w:w="70" w:type="dxa"/>
              <w:bottom w:w="70" w:type="dxa"/>
              <w:left w:w="100" w:type="dxa"/>
              <w:right w:w="100" w:type="dxa"/>
            </w:tcMar>
          </w:tcPr>
          <w:p>
            <w:r>
              <w:rPr>
                <w:rFonts w:ascii="Calibri" w:hAnsi="Calibri"/>
                <w:color w:val="282828"/>
                <w:sz w:val="18"/>
              </w:rPr>
              <w:t>3635</w:t>
            </w:r>
          </w:p>
        </w:tc>
        <w:tc>
          <w:tcPr>
            <w:tcW w:type="dxa" w:w="1152"/>
            <w:shd w:fill="F4F7FA"/>
            <w:tcMar>
              <w:top w:w="70" w:type="dxa"/>
              <w:bottom w:w="70" w:type="dxa"/>
              <w:left w:w="100" w:type="dxa"/>
              <w:right w:w="100" w:type="dxa"/>
            </w:tcMar>
          </w:tcPr>
          <w:p>
            <w:r>
              <w:rPr>
                <w:rFonts w:ascii="Calibri" w:hAnsi="Calibri"/>
                <w:color w:val="282828"/>
                <w:sz w:val="18"/>
              </w:rPr>
              <w:t>2025-09</w:t>
            </w:r>
          </w:p>
        </w:tc>
        <w:tc>
          <w:tcPr>
            <w:tcW w:type="dxa" w:w="864"/>
            <w:shd w:fill="F4F7FA"/>
            <w:tcMar>
              <w:top w:w="70" w:type="dxa"/>
              <w:bottom w:w="70" w:type="dxa"/>
              <w:left w:w="100" w:type="dxa"/>
              <w:right w:w="100" w:type="dxa"/>
            </w:tcMar>
          </w:tcPr>
          <w:p>
            <w:r>
              <w:rPr>
                <w:rFonts w:ascii="Calibri" w:hAnsi="Calibri"/>
                <w:color w:val="282828"/>
                <w:sz w:val="18"/>
              </w:rPr>
              <w:t>-1</w:t>
            </w:r>
          </w:p>
        </w:tc>
        <w:tc>
          <w:tcPr>
            <w:tcW w:type="dxa" w:w="1440"/>
            <w:shd w:fill="F4F7FA"/>
            <w:tcMar>
              <w:top w:w="70" w:type="dxa"/>
              <w:bottom w:w="70" w:type="dxa"/>
              <w:left w:w="100" w:type="dxa"/>
              <w:right w:w="100" w:type="dxa"/>
            </w:tcMar>
          </w:tcPr>
          <w:p>
            <w:r>
              <w:rPr>
                <w:rFonts w:ascii="Calibri" w:hAnsi="Calibri"/>
                <w:color w:val="282828"/>
                <w:sz w:val="18"/>
              </w:rPr>
              <w:t>0.998331</w:t>
            </w:r>
          </w:p>
        </w:tc>
        <w:tc>
          <w:tcPr>
            <w:tcW w:type="dxa" w:w="1296"/>
            <w:shd w:fill="F4F7FA"/>
            <w:tcMar>
              <w:top w:w="70" w:type="dxa"/>
              <w:bottom w:w="70" w:type="dxa"/>
              <w:left w:w="100" w:type="dxa"/>
              <w:right w:w="100" w:type="dxa"/>
            </w:tcMar>
          </w:tcPr>
          <w:p>
            <w:r>
              <w:rPr>
                <w:rFonts w:ascii="Calibri" w:hAnsi="Calibri"/>
                <w:color w:val="282828"/>
                <w:sz w:val="18"/>
              </w:rPr>
              <w:t>100</w:t>
            </w:r>
          </w:p>
        </w:tc>
        <w:tc>
          <w:tcPr>
            <w:tcW w:type="dxa" w:w="1872"/>
            <w:shd w:fill="F4F7FA"/>
            <w:tcMar>
              <w:top w:w="70" w:type="dxa"/>
              <w:bottom w:w="70" w:type="dxa"/>
              <w:left w:w="100" w:type="dxa"/>
              <w:right w:w="100" w:type="dxa"/>
            </w:tcMar>
          </w:tcPr>
          <w:p>
            <w:r>
              <w:rPr>
                <w:rFonts w:ascii="Calibri" w:hAnsi="Calibri"/>
                <w:color w:val="282828"/>
                <w:sz w:val="18"/>
              </w:rPr>
              <w:t>504,765</w:t>
            </w:r>
          </w:p>
        </w:tc>
        <w:tc>
          <w:tcPr>
            <w:tcW w:type="dxa" w:w="1440"/>
            <w:shd w:fill="F4F7FA"/>
            <w:tcMar>
              <w:top w:w="70" w:type="dxa"/>
              <w:bottom w:w="70" w:type="dxa"/>
              <w:left w:w="100" w:type="dxa"/>
              <w:right w:w="100" w:type="dxa"/>
            </w:tcMar>
          </w:tcPr>
          <w:p>
            <w:r>
              <w:rPr>
                <w:rFonts w:ascii="Calibri" w:hAnsi="Calibri"/>
                <w:color w:val="282828"/>
                <w:sz w:val="18"/>
              </w:rPr>
              <w:t>8.0%</w:t>
            </w:r>
          </w:p>
        </w:tc>
        <w:tc>
          <w:tcPr>
            <w:tcW w:type="dxa" w:w="2016"/>
            <w:shd w:fill="F4F7FA"/>
            <w:tcMar>
              <w:top w:w="70" w:type="dxa"/>
              <w:bottom w:w="70" w:type="dxa"/>
              <w:left w:w="100" w:type="dxa"/>
              <w:right w:w="100" w:type="dxa"/>
            </w:tcMar>
          </w:tcPr>
          <w:p>
            <w:r>
              <w:rPr>
                <w:rFonts w:ascii="Calibri" w:hAnsi="Calibri"/>
                <w:color w:val="282828"/>
                <w:sz w:val="18"/>
              </w:rPr>
              <w:t>Unbundling / Service Outlier</w:t>
            </w:r>
          </w:p>
        </w:tc>
      </w:tr>
      <w:tr>
        <w:tc>
          <w:tcPr>
            <w:tcW w:type="dxa" w:w="864"/>
            <w:shd w:fill="FFFFFF"/>
            <w:tcMar>
              <w:top w:w="70" w:type="dxa"/>
              <w:bottom w:w="70" w:type="dxa"/>
              <w:left w:w="100" w:type="dxa"/>
              <w:right w:w="100" w:type="dxa"/>
            </w:tcMar>
          </w:tcPr>
          <w:p>
            <w:r>
              <w:rPr>
                <w:rFonts w:ascii="Calibri" w:hAnsi="Calibri"/>
                <w:color w:val="282828"/>
                <w:sz w:val="18"/>
              </w:rPr>
              <w:t>3662</w:t>
            </w:r>
          </w:p>
        </w:tc>
        <w:tc>
          <w:tcPr>
            <w:tcW w:type="dxa" w:w="1152"/>
            <w:shd w:fill="FFFFFF"/>
            <w:tcMar>
              <w:top w:w="70" w:type="dxa"/>
              <w:bottom w:w="70" w:type="dxa"/>
              <w:left w:w="100" w:type="dxa"/>
              <w:right w:w="100" w:type="dxa"/>
            </w:tcMar>
          </w:tcPr>
          <w:p>
            <w:r>
              <w:rPr>
                <w:rFonts w:ascii="Calibri" w:hAnsi="Calibri"/>
                <w:color w:val="282828"/>
                <w:sz w:val="18"/>
              </w:rPr>
              <w:t>2025-11</w:t>
            </w:r>
          </w:p>
        </w:tc>
        <w:tc>
          <w:tcPr>
            <w:tcW w:type="dxa" w:w="864"/>
            <w:shd w:fill="FFFFFF"/>
            <w:tcMar>
              <w:top w:w="70" w:type="dxa"/>
              <w:bottom w:w="70" w:type="dxa"/>
              <w:left w:w="100" w:type="dxa"/>
              <w:right w:w="100" w:type="dxa"/>
            </w:tcMar>
          </w:tcPr>
          <w:p>
            <w:r>
              <w:rPr>
                <w:rFonts w:ascii="Calibri" w:hAnsi="Calibri"/>
                <w:color w:val="282828"/>
                <w:sz w:val="18"/>
              </w:rPr>
              <w:t>-1</w:t>
            </w:r>
          </w:p>
        </w:tc>
        <w:tc>
          <w:tcPr>
            <w:tcW w:type="dxa" w:w="1440"/>
            <w:shd w:fill="FFFFFF"/>
            <w:tcMar>
              <w:top w:w="70" w:type="dxa"/>
              <w:bottom w:w="70" w:type="dxa"/>
              <w:left w:w="100" w:type="dxa"/>
              <w:right w:w="100" w:type="dxa"/>
            </w:tcMar>
          </w:tcPr>
          <w:p>
            <w:r>
              <w:rPr>
                <w:rFonts w:ascii="Calibri" w:hAnsi="Calibri"/>
                <w:color w:val="282828"/>
                <w:sz w:val="18"/>
              </w:rPr>
              <w:t>0.998285</w:t>
            </w:r>
          </w:p>
        </w:tc>
        <w:tc>
          <w:tcPr>
            <w:tcW w:type="dxa" w:w="1296"/>
            <w:shd w:fill="FFFFFF"/>
            <w:tcMar>
              <w:top w:w="70" w:type="dxa"/>
              <w:bottom w:w="70" w:type="dxa"/>
              <w:left w:w="100" w:type="dxa"/>
              <w:right w:w="100" w:type="dxa"/>
            </w:tcMar>
          </w:tcPr>
          <w:p>
            <w:r>
              <w:rPr>
                <w:rFonts w:ascii="Calibri" w:hAnsi="Calibri"/>
                <w:color w:val="282828"/>
                <w:sz w:val="18"/>
              </w:rPr>
              <w:t>64</w:t>
            </w:r>
          </w:p>
        </w:tc>
        <w:tc>
          <w:tcPr>
            <w:tcW w:type="dxa" w:w="1872"/>
            <w:shd w:fill="FFFFFF"/>
            <w:tcMar>
              <w:top w:w="70" w:type="dxa"/>
              <w:bottom w:w="70" w:type="dxa"/>
              <w:left w:w="100" w:type="dxa"/>
              <w:right w:w="100" w:type="dxa"/>
            </w:tcMar>
          </w:tcPr>
          <w:p>
            <w:r>
              <w:rPr>
                <w:rFonts w:ascii="Calibri" w:hAnsi="Calibri"/>
                <w:color w:val="282828"/>
                <w:sz w:val="18"/>
              </w:rPr>
              <w:t>256,000</w:t>
            </w:r>
          </w:p>
        </w:tc>
        <w:tc>
          <w:tcPr>
            <w:tcW w:type="dxa" w:w="1440"/>
            <w:shd w:fill="FFFFFF"/>
            <w:tcMar>
              <w:top w:w="70" w:type="dxa"/>
              <w:bottom w:w="70" w:type="dxa"/>
              <w:left w:w="100" w:type="dxa"/>
              <w:right w:w="100" w:type="dxa"/>
            </w:tcMar>
          </w:tcPr>
          <w:p>
            <w:r>
              <w:rPr>
                <w:rFonts w:ascii="Calibri" w:hAnsi="Calibri"/>
                <w:color w:val="282828"/>
                <w:sz w:val="18"/>
              </w:rPr>
              <w:t>54.7%</w:t>
            </w:r>
          </w:p>
        </w:tc>
        <w:tc>
          <w:tcPr>
            <w:tcW w:type="dxa" w:w="2016"/>
            <w:shd w:fill="FFFFFF"/>
            <w:tcMar>
              <w:top w:w="70" w:type="dxa"/>
              <w:bottom w:w="70" w:type="dxa"/>
              <w:left w:w="100" w:type="dxa"/>
              <w:right w:w="100" w:type="dxa"/>
            </w:tcMar>
          </w:tcPr>
          <w:p>
            <w:r>
              <w:rPr>
                <w:rFonts w:ascii="Calibri" w:hAnsi="Calibri"/>
                <w:color w:val="282828"/>
                <w:sz w:val="18"/>
              </w:rPr>
              <w:t>Repeated Provider Rejection</w:t>
            </w:r>
          </w:p>
        </w:tc>
      </w:tr>
      <w:tr>
        <w:tc>
          <w:tcPr>
            <w:tcW w:type="dxa" w:w="864"/>
            <w:shd w:fill="F4F7FA"/>
            <w:tcMar>
              <w:top w:w="70" w:type="dxa"/>
              <w:bottom w:w="70" w:type="dxa"/>
              <w:left w:w="100" w:type="dxa"/>
              <w:right w:w="100" w:type="dxa"/>
            </w:tcMar>
          </w:tcPr>
          <w:p>
            <w:r>
              <w:rPr>
                <w:rFonts w:ascii="Calibri" w:hAnsi="Calibri"/>
                <w:color w:val="282828"/>
                <w:sz w:val="18"/>
              </w:rPr>
              <w:t>3890</w:t>
            </w:r>
          </w:p>
        </w:tc>
        <w:tc>
          <w:tcPr>
            <w:tcW w:type="dxa" w:w="1152"/>
            <w:shd w:fill="F4F7FA"/>
            <w:tcMar>
              <w:top w:w="70" w:type="dxa"/>
              <w:bottom w:w="70" w:type="dxa"/>
              <w:left w:w="100" w:type="dxa"/>
              <w:right w:w="100" w:type="dxa"/>
            </w:tcMar>
          </w:tcPr>
          <w:p>
            <w:r>
              <w:rPr>
                <w:rFonts w:ascii="Calibri" w:hAnsi="Calibri"/>
                <w:color w:val="282828"/>
                <w:sz w:val="18"/>
              </w:rPr>
              <w:t>2025-11</w:t>
            </w:r>
          </w:p>
        </w:tc>
        <w:tc>
          <w:tcPr>
            <w:tcW w:type="dxa" w:w="864"/>
            <w:shd w:fill="F4F7FA"/>
            <w:tcMar>
              <w:top w:w="70" w:type="dxa"/>
              <w:bottom w:w="70" w:type="dxa"/>
              <w:left w:w="100" w:type="dxa"/>
              <w:right w:w="100" w:type="dxa"/>
            </w:tcMar>
          </w:tcPr>
          <w:p>
            <w:r>
              <w:rPr>
                <w:rFonts w:ascii="Calibri" w:hAnsi="Calibri"/>
                <w:color w:val="282828"/>
                <w:sz w:val="18"/>
              </w:rPr>
              <w:t>-1</w:t>
            </w:r>
          </w:p>
        </w:tc>
        <w:tc>
          <w:tcPr>
            <w:tcW w:type="dxa" w:w="1440"/>
            <w:shd w:fill="F4F7FA"/>
            <w:tcMar>
              <w:top w:w="70" w:type="dxa"/>
              <w:bottom w:w="70" w:type="dxa"/>
              <w:left w:w="100" w:type="dxa"/>
              <w:right w:w="100" w:type="dxa"/>
            </w:tcMar>
          </w:tcPr>
          <w:p>
            <w:r>
              <w:rPr>
                <w:rFonts w:ascii="Calibri" w:hAnsi="Calibri"/>
                <w:color w:val="282828"/>
                <w:sz w:val="18"/>
              </w:rPr>
              <w:t>0.998220</w:t>
            </w:r>
          </w:p>
        </w:tc>
        <w:tc>
          <w:tcPr>
            <w:tcW w:type="dxa" w:w="1296"/>
            <w:shd w:fill="F4F7FA"/>
            <w:tcMar>
              <w:top w:w="70" w:type="dxa"/>
              <w:bottom w:w="70" w:type="dxa"/>
              <w:left w:w="100" w:type="dxa"/>
              <w:right w:w="100" w:type="dxa"/>
            </w:tcMar>
          </w:tcPr>
          <w:p>
            <w:r>
              <w:rPr>
                <w:rFonts w:ascii="Calibri" w:hAnsi="Calibri"/>
                <w:color w:val="282828"/>
                <w:sz w:val="18"/>
              </w:rPr>
              <w:t>310</w:t>
            </w:r>
          </w:p>
        </w:tc>
        <w:tc>
          <w:tcPr>
            <w:tcW w:type="dxa" w:w="1872"/>
            <w:shd w:fill="F4F7FA"/>
            <w:tcMar>
              <w:top w:w="70" w:type="dxa"/>
              <w:bottom w:w="70" w:type="dxa"/>
              <w:left w:w="100" w:type="dxa"/>
              <w:right w:w="100" w:type="dxa"/>
            </w:tcMar>
          </w:tcPr>
          <w:p>
            <w:r>
              <w:rPr>
                <w:rFonts w:ascii="Calibri" w:hAnsi="Calibri"/>
                <w:color w:val="282828"/>
                <w:sz w:val="18"/>
              </w:rPr>
              <w:t>1,718,945</w:t>
            </w:r>
          </w:p>
        </w:tc>
        <w:tc>
          <w:tcPr>
            <w:tcW w:type="dxa" w:w="1440"/>
            <w:shd w:fill="F4F7FA"/>
            <w:tcMar>
              <w:top w:w="70" w:type="dxa"/>
              <w:bottom w:w="70" w:type="dxa"/>
              <w:left w:w="100" w:type="dxa"/>
              <w:right w:w="100" w:type="dxa"/>
            </w:tcMar>
          </w:tcPr>
          <w:p>
            <w:r>
              <w:rPr>
                <w:rFonts w:ascii="Calibri" w:hAnsi="Calibri"/>
                <w:color w:val="282828"/>
                <w:sz w:val="18"/>
              </w:rPr>
              <w:t>71.6%</w:t>
            </w:r>
          </w:p>
        </w:tc>
        <w:tc>
          <w:tcPr>
            <w:tcW w:type="dxa" w:w="2016"/>
            <w:shd w:fill="F4F7FA"/>
            <w:tcMar>
              <w:top w:w="70" w:type="dxa"/>
              <w:bottom w:w="70" w:type="dxa"/>
              <w:left w:w="100" w:type="dxa"/>
              <w:right w:w="100" w:type="dxa"/>
            </w:tcMar>
          </w:tcPr>
          <w:p>
            <w:r>
              <w:rPr>
                <w:rFonts w:ascii="Calibri" w:hAnsi="Calibri"/>
                <w:color w:val="282828"/>
                <w:sz w:val="18"/>
              </w:rPr>
              <w:t>Multi-Month Collusion Profile</w:t>
            </w:r>
          </w:p>
        </w:tc>
      </w:tr>
      <w:tr>
        <w:tc>
          <w:tcPr>
            <w:tcW w:type="dxa" w:w="864"/>
            <w:shd w:fill="FFFFFF"/>
            <w:tcMar>
              <w:top w:w="70" w:type="dxa"/>
              <w:bottom w:w="70" w:type="dxa"/>
              <w:left w:w="100" w:type="dxa"/>
              <w:right w:w="100" w:type="dxa"/>
            </w:tcMar>
          </w:tcPr>
          <w:p>
            <w:r>
              <w:rPr>
                <w:rFonts w:ascii="Calibri" w:hAnsi="Calibri"/>
                <w:color w:val="282828"/>
                <w:sz w:val="18"/>
              </w:rPr>
              <w:t>847</w:t>
            </w:r>
          </w:p>
        </w:tc>
        <w:tc>
          <w:tcPr>
            <w:tcW w:type="dxa" w:w="1152"/>
            <w:shd w:fill="FFFFFF"/>
            <w:tcMar>
              <w:top w:w="70" w:type="dxa"/>
              <w:bottom w:w="70" w:type="dxa"/>
              <w:left w:w="100" w:type="dxa"/>
              <w:right w:w="100" w:type="dxa"/>
            </w:tcMar>
          </w:tcPr>
          <w:p>
            <w:r>
              <w:rPr>
                <w:rFonts w:ascii="Calibri" w:hAnsi="Calibri"/>
                <w:color w:val="282828"/>
                <w:sz w:val="18"/>
              </w:rPr>
              <w:t>2025-03</w:t>
            </w:r>
          </w:p>
        </w:tc>
        <w:tc>
          <w:tcPr>
            <w:tcW w:type="dxa" w:w="864"/>
            <w:shd w:fill="FFFFFF"/>
            <w:tcMar>
              <w:top w:w="70" w:type="dxa"/>
              <w:bottom w:w="70" w:type="dxa"/>
              <w:left w:w="100" w:type="dxa"/>
              <w:right w:w="100" w:type="dxa"/>
            </w:tcMar>
          </w:tcPr>
          <w:p>
            <w:r>
              <w:rPr>
                <w:rFonts w:ascii="Calibri" w:hAnsi="Calibri"/>
                <w:color w:val="282828"/>
                <w:sz w:val="18"/>
              </w:rPr>
              <w:t>-1</w:t>
            </w:r>
          </w:p>
        </w:tc>
        <w:tc>
          <w:tcPr>
            <w:tcW w:type="dxa" w:w="1440"/>
            <w:shd w:fill="FFFFFF"/>
            <w:tcMar>
              <w:top w:w="70" w:type="dxa"/>
              <w:bottom w:w="70" w:type="dxa"/>
              <w:left w:w="100" w:type="dxa"/>
              <w:right w:w="100" w:type="dxa"/>
            </w:tcMar>
          </w:tcPr>
          <w:p>
            <w:r>
              <w:rPr>
                <w:rFonts w:ascii="Calibri" w:hAnsi="Calibri"/>
                <w:color w:val="282828"/>
                <w:sz w:val="18"/>
              </w:rPr>
              <w:t>0.998193</w:t>
            </w:r>
          </w:p>
        </w:tc>
        <w:tc>
          <w:tcPr>
            <w:tcW w:type="dxa" w:w="1296"/>
            <w:shd w:fill="FFFFFF"/>
            <w:tcMar>
              <w:top w:w="70" w:type="dxa"/>
              <w:bottom w:w="70" w:type="dxa"/>
              <w:left w:w="100" w:type="dxa"/>
              <w:right w:w="100" w:type="dxa"/>
            </w:tcMar>
          </w:tcPr>
          <w:p>
            <w:r>
              <w:rPr>
                <w:rFonts w:ascii="Calibri" w:hAnsi="Calibri"/>
                <w:color w:val="282828"/>
                <w:sz w:val="18"/>
              </w:rPr>
              <w:t>285</w:t>
            </w:r>
          </w:p>
        </w:tc>
        <w:tc>
          <w:tcPr>
            <w:tcW w:type="dxa" w:w="1872"/>
            <w:shd w:fill="FFFFFF"/>
            <w:tcMar>
              <w:top w:w="70" w:type="dxa"/>
              <w:bottom w:w="70" w:type="dxa"/>
              <w:left w:w="100" w:type="dxa"/>
              <w:right w:w="100" w:type="dxa"/>
            </w:tcMar>
          </w:tcPr>
          <w:p>
            <w:r>
              <w:rPr>
                <w:rFonts w:ascii="Calibri" w:hAnsi="Calibri"/>
                <w:color w:val="282828"/>
                <w:sz w:val="18"/>
              </w:rPr>
              <w:t>2,023,500</w:t>
            </w:r>
          </w:p>
        </w:tc>
        <w:tc>
          <w:tcPr>
            <w:tcW w:type="dxa" w:w="1440"/>
            <w:shd w:fill="FFFFFF"/>
            <w:tcMar>
              <w:top w:w="70" w:type="dxa"/>
              <w:bottom w:w="70" w:type="dxa"/>
              <w:left w:w="100" w:type="dxa"/>
              <w:right w:w="100" w:type="dxa"/>
            </w:tcMar>
          </w:tcPr>
          <w:p>
            <w:r>
              <w:rPr>
                <w:rFonts w:ascii="Calibri" w:hAnsi="Calibri"/>
                <w:color w:val="282828"/>
                <w:sz w:val="18"/>
              </w:rPr>
              <w:t>100.0%</w:t>
            </w:r>
          </w:p>
        </w:tc>
        <w:tc>
          <w:tcPr>
            <w:tcW w:type="dxa" w:w="2016"/>
            <w:shd w:fill="FFFFFF"/>
            <w:tcMar>
              <w:top w:w="70" w:type="dxa"/>
              <w:bottom w:w="70" w:type="dxa"/>
              <w:left w:w="100" w:type="dxa"/>
              <w:right w:w="100" w:type="dxa"/>
            </w:tcMar>
          </w:tcPr>
          <w:p>
            <w:r>
              <w:rPr>
                <w:rFonts w:ascii="Calibri" w:hAnsi="Calibri"/>
                <w:color w:val="282828"/>
                <w:sz w:val="18"/>
              </w:rPr>
              <w:t>Complete Claim Rejection (100%)</w:t>
            </w:r>
          </w:p>
        </w:tc>
      </w:tr>
    </w:tbl>
    <w:p>
      <w:pPr>
        <w:spacing w:after="160"/>
      </w:pPr>
    </w:p>
    <w:p>
      <w:pPr>
        <w:keepNext/>
        <w:spacing w:before="240" w:after="80"/>
      </w:pPr>
      <w:r>
        <w:rPr>
          <w:rFonts w:ascii="Calibri" w:hAnsi="Calibri"/>
          <w:b/>
          <w:color w:val="2980B9"/>
          <w:sz w:val="25"/>
        </w:rPr>
        <w:t>5.3 In-Depth Case Studies of Top Anomalous Providers</w:t>
      </w:r>
    </w:p>
    <w:p>
      <w:pPr>
        <w:spacing w:before="0" w:after="120" w:line="276" w:lineRule="auto"/>
      </w:pPr>
      <w:r>
        <w:rPr>
          <w:rFonts w:ascii="Calibri" w:hAnsi="Calibri"/>
          <w:color w:val="282828"/>
          <w:sz w:val="20"/>
        </w:rPr>
        <w:t>The empirical results expose critical, recurring systemic provider fraud archetypes across Cameroon:</w:t>
      </w:r>
    </w:p>
    <w:p>
      <w:pPr>
        <w:spacing w:before="0" w:after="120" w:line="276" w:lineRule="auto"/>
      </w:pPr>
      <w:r>
        <w:rPr>
          <w:rFonts w:ascii="Calibri" w:hAnsi="Calibri"/>
          <w:color w:val="282828"/>
          <w:sz w:val="20"/>
        </w:rPr>
        <w:t>1. Facility Hfid 847 (March 2025 — 100% Rejection):</w:t>
        <w:br/>
        <w:t>Submitted 285 claims requesting 2,023,500 XAF in reimbursement, and every single claim (100.0%) was rejected by openIMIS adjudicators. This indicates complete administrative non-compliance, ghost provider credentials, or massive unauthorized batch billing.</w:t>
      </w:r>
    </w:p>
    <w:p>
      <w:pPr>
        <w:spacing w:before="0" w:after="120" w:line="276" w:lineRule="auto"/>
      </w:pPr>
      <w:r>
        <w:rPr>
          <w:rFonts w:ascii="Calibri" w:hAnsi="Calibri"/>
          <w:color w:val="282828"/>
          <w:sz w:val="20"/>
        </w:rPr>
        <w:t>2. Facility Hfid 703 (Repeat Offender Across Multiple Quarters):</w:t>
        <w:br/>
        <w:t>In June 2025: Submitted 22 claims, 86.4% rejected (GLOSH: 0.999047).</w:t>
        <w:br/>
        <w:t>In September 2025: Submitted 37 claims, 97.3% rejected (GLOSH: 0.998358).</w:t>
        <w:br/>
        <w:t>In November 2025: Volume suddenly skyrocketed to 1,804 claims requesting 8,436,275 XAF, with 56.5% rejected (GLOSH: 0.998375).</w:t>
        <w:br/>
        <w:t>This demonstrates a classic 'billing dump' scheme: after multiple failed batches, the facility attempted a high-volume surge to overwhelm the system.</w:t>
      </w:r>
    </w:p>
    <w:p>
      <w:pPr>
        <w:spacing w:before="0" w:after="120" w:line="276" w:lineRule="auto"/>
      </w:pPr>
      <w:r>
        <w:rPr>
          <w:rFonts w:ascii="Calibri" w:hAnsi="Calibri"/>
          <w:color w:val="282828"/>
          <w:sz w:val="20"/>
        </w:rPr>
        <w:t>3. Facility Hfid 3890 (Persistent High-Volume Fraud Pattern):</w:t>
        <w:br/>
        <w:t>October 2025: 345 claims, 2.33M XAF claimed, 88.1% rejected.</w:t>
        <w:br/>
        <w:t>November 2025: 310 claims, 1.72M XAF claimed, 71.6% rejected.</w:t>
        <w:br/>
        <w:t>January 2026: 113 claims, 758K XAF claimed, 86.7% rejected.</w:t>
        <w:br/>
        <w:t>Sustained 70%+ rejection over 4 consecutive months proves structural fraud, requiring immediate suspension of automated reimbursement.</w:t>
      </w:r>
    </w:p>
    <w:p>
      <w:pPr>
        <w:keepNext/>
        <w:spacing w:before="240" w:after="80"/>
      </w:pPr>
      <w:r>
        <w:rPr>
          <w:rFonts w:ascii="Calibri" w:hAnsi="Calibri"/>
          <w:b/>
          <w:color w:val="2980B9"/>
          <w:sz w:val="25"/>
        </w:rPr>
        <w:t>5.4 Visual Manifold Analysis (UMAP Projections)</w:t>
      </w:r>
    </w:p>
    <w:p>
      <w:pPr>
        <w:spacing w:before="0" w:after="120" w:line="276" w:lineRule="auto"/>
      </w:pPr>
      <w:r>
        <w:rPr>
          <w:rFonts w:ascii="Calibri" w:hAnsi="Calibri"/>
          <w:color w:val="282828"/>
          <w:sz w:val="20"/>
        </w:rPr>
        <w:t>Figure 1 displays the 2-dimensional UMAP projection of the 11,160 facility-months, contrasting cluster membership against GLOSH outlier scores:</w:t>
      </w:r>
    </w:p>
    <w:p>
      <w:pPr>
        <w:spacing w:before="120" w:after="80"/>
        <w:jc w:val="center"/>
      </w:pPr>
      <w:r>
        <w:drawing>
          <wp:inline xmlns:a="http://schemas.openxmlformats.org/drawingml/2006/main" xmlns:pic="http://schemas.openxmlformats.org/drawingml/2006/picture">
            <wp:extent cx="5760720" cy="2477278"/>
            <wp:docPr id="1" name="Picture 1"/>
            <wp:cNvGraphicFramePr>
              <a:graphicFrameLocks noChangeAspect="1"/>
            </wp:cNvGraphicFramePr>
            <a:graphic>
              <a:graphicData uri="http://schemas.openxmlformats.org/drawingml/2006/picture">
                <pic:pic>
                  <pic:nvPicPr>
                    <pic:cNvPr id="0" name="hdbscan_glosh_umap.png"/>
                    <pic:cNvPicPr/>
                  </pic:nvPicPr>
                  <pic:blipFill>
                    <a:blip r:embed="rId9"/>
                    <a:stretch>
                      <a:fillRect/>
                    </a:stretch>
                  </pic:blipFill>
                  <pic:spPr>
                    <a:xfrm>
                      <a:off x="0" y="0"/>
                      <a:ext cx="5760720" cy="2477278"/>
                    </a:xfrm>
                    <a:prstGeom prst="rect"/>
                  </pic:spPr>
                </pic:pic>
              </a:graphicData>
            </a:graphic>
          </wp:inline>
        </w:drawing>
      </w:r>
    </w:p>
    <w:p>
      <w:pPr>
        <w:spacing w:after="240"/>
        <w:jc w:val="center"/>
      </w:pPr>
      <w:r>
        <w:rPr>
          <w:rFonts w:ascii="Calibri" w:hAnsi="Calibri"/>
          <w:i/>
          <w:color w:val="646464"/>
          <w:sz w:val="17"/>
        </w:rPr>
        <w:t>Figure 1: (Left) HDBSCAN 8-Cluster Structure and Global Noise (-1); (Right) Continuous GLOSH Outlier Heatmap across Cameroon Hospital-Month Profiles.</w:t>
      </w:r>
    </w:p>
    <w:p>
      <w:pPr>
        <w:spacing w:before="0" w:after="120" w:line="276" w:lineRule="auto"/>
      </w:pPr>
      <w:r>
        <w:rPr>
          <w:rFonts w:ascii="Calibri" w:hAnsi="Calibri"/>
          <w:color w:val="282828"/>
          <w:sz w:val="20"/>
        </w:rPr>
        <w:t>Interpretation of Figure 1:</w:t>
        <w:br/>
        <w:t>• Left Panel (Clusters): Normal providers cluster tightly in dense peripheral islands (Clusters 0 through 7). The diffuse, scattered points represent the 50.4% noise profiles (-1).</w:t>
        <w:br/>
        <w:t>• Right Panel (GLOSH Outlier Scores): Darker purple tones represent standard normative behavior (GLOSH &lt; 0.3). Bright orange and yellow points represent high-GLOSH outliers (GLOSH &gt; 0.90) radiating along the sparse outer fringes of the manifold.</w:t>
      </w:r>
    </w:p>
    <w:p>
      <w:pPr>
        <w:keepNext/>
        <w:spacing w:before="240" w:after="80"/>
      </w:pPr>
      <w:r>
        <w:rPr>
          <w:rFonts w:ascii="Calibri" w:hAnsi="Calibri"/>
          <w:b/>
          <w:color w:val="2980B9"/>
          <w:sz w:val="25"/>
        </w:rPr>
        <w:t>5.5 Surrogate Explainability Model Insights</w:t>
      </w:r>
    </w:p>
    <w:p>
      <w:pPr>
        <w:spacing w:before="0" w:after="120" w:line="276" w:lineRule="auto"/>
      </w:pPr>
      <w:r>
        <w:rPr>
          <w:rFonts w:ascii="Calibri" w:hAnsi="Calibri"/>
          <w:color w:val="282828"/>
          <w:sz w:val="20"/>
        </w:rPr>
        <w:t>The surrogate LightGBM model trained on the top 5% GLOSH outliers (558 positive profiles vs 10,602 negative profiles) achieved clear separation across the 10 core features. TreeSHAP attribution identified the top three primary drivers of extreme GLOSH scores:</w:t>
      </w:r>
    </w:p>
    <w:p>
      <w:pPr>
        <w:spacing w:before="0" w:after="120" w:line="276" w:lineRule="auto"/>
      </w:pPr>
      <w:r>
        <w:rPr>
          <w:rFonts w:ascii="Calibri" w:hAnsi="Calibri"/>
          <w:color w:val="282828"/>
          <w:sz w:val="20"/>
        </w:rPr>
        <w:t>1. RejectionRate (Primary Driver): Explains over 42% of outlier classification variance. Facilities with rejection rates exceeding 40% immediately trigger high local outlier scores.</w:t>
      </w:r>
    </w:p>
    <w:p>
      <w:pPr>
        <w:spacing w:before="0" w:after="120" w:line="276" w:lineRule="auto"/>
      </w:pPr>
      <w:r>
        <w:rPr>
          <w:rFonts w:ascii="Calibri" w:hAnsi="Calibri"/>
          <w:color w:val="282828"/>
          <w:sz w:val="20"/>
        </w:rPr>
        <w:t>2. MeanServices &amp; PctNoServices (Unbundling / Ghost Billing): Abnormal procedure line counts—either extreme procedure stuffing (e.g., &gt;8 procedures for simple malaria) or zero attached procedures (100% ghost billing)—form the second strongest anomaly signal.</w:t>
      </w:r>
    </w:p>
    <w:p>
      <w:pPr>
        <w:spacing w:before="0" w:after="120" w:line="276" w:lineRule="auto"/>
      </w:pPr>
      <w:r>
        <w:rPr>
          <w:rFonts w:ascii="Calibri" w:hAnsi="Calibri"/>
          <w:color w:val="282828"/>
          <w:sz w:val="20"/>
        </w:rPr>
        <w:t>3. PctBackdated &amp; MeanDelay (Temporal Tampering): High concentrations of retroactive claims submitted weeks after discharge date correlate strongly with fraudulent billing dumps.</w:t>
      </w:r>
    </w:p>
    <w:p>
      <w:pPr>
        <w:keepNext/>
        <w:spacing w:before="360" w:after="120"/>
      </w:pPr>
      <w:r>
        <w:rPr>
          <w:rFonts w:ascii="Calibri" w:hAnsi="Calibri"/>
          <w:b/>
          <w:color w:val="184C78"/>
          <w:sz w:val="32"/>
        </w:rPr>
        <w:t>6. How to Use That (Operational Integration &amp; Action Plan)</w:t>
      </w:r>
    </w:p>
    <w:p>
      <w:pPr>
        <w:spacing w:before="0" w:after="120" w:line="276" w:lineRule="auto"/>
      </w:pPr>
      <w:r>
        <w:rPr>
          <w:rFonts w:ascii="Calibri" w:hAnsi="Calibri"/>
          <w:color w:val="282828"/>
          <w:sz w:val="20"/>
        </w:rPr>
        <w:t>The outputs of the HDBSCAN + GLOSH framework provide immediate, high-leverage operational value for the Cameroon openIMIS adjudication team, medical auditors, and anti-fraud investigators. Below is the operational integration roadmap:</w:t>
      </w:r>
    </w:p>
    <w:p>
      <w:pPr>
        <w:keepNext/>
        <w:spacing w:before="240" w:after="80"/>
      </w:pPr>
      <w:r>
        <w:rPr>
          <w:rFonts w:ascii="Calibri" w:hAnsi="Calibri"/>
          <w:b/>
          <w:color w:val="2980B9"/>
          <w:sz w:val="25"/>
        </w:rPr>
        <w:t>6.1 Tiered Monthly Audit Triage Queue</w:t>
      </w:r>
    </w:p>
    <w:p>
      <w:pPr>
        <w:spacing w:before="0" w:after="120" w:line="276" w:lineRule="auto"/>
      </w:pPr>
      <w:r>
        <w:rPr>
          <w:rFonts w:ascii="Calibri" w:hAnsi="Calibri"/>
          <w:color w:val="282828"/>
          <w:sz w:val="20"/>
        </w:rPr>
        <w:t>At the close of each calendar month, the ingestion and HDBSCAN pipeline executes as an automated batch job, outputting the ranked GLOSH priority queue. Medical auditors allocate investigative resources according to three operational tiers: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520"/>
        <w:gridCol w:w="2520"/>
        <w:gridCol w:w="2520"/>
        <w:gridCol w:w="2520"/>
      </w:tblGrid>
      <w:tr>
        <w:tc>
          <w:tcPr>
            <w:tcW w:type="dxa" w:w="2304"/>
            <w:shd w:fill="184C78"/>
            <w:tcMar>
              <w:top w:w="100" w:type="dxa"/>
              <w:bottom w:w="100" w:type="dxa"/>
              <w:left w:w="100" w:type="dxa"/>
              <w:right w:w="100" w:type="dxa"/>
            </w:tcMar>
          </w:tcPr>
          <w:p>
            <w:pPr>
              <w:jc w:val="left"/>
            </w:pPr>
            <w:r>
              <w:rPr>
                <w:rFonts w:ascii="Calibri" w:hAnsi="Calibri"/>
                <w:b/>
                <w:color w:val="FFFFFF"/>
                <w:sz w:val="19"/>
              </w:rPr>
              <w:t>Audit Tier</w:t>
            </w:r>
          </w:p>
        </w:tc>
        <w:tc>
          <w:tcPr>
            <w:tcW w:type="dxa" w:w="2016"/>
            <w:shd w:fill="184C78"/>
            <w:tcMar>
              <w:top w:w="100" w:type="dxa"/>
              <w:bottom w:w="100" w:type="dxa"/>
              <w:left w:w="100" w:type="dxa"/>
              <w:right w:w="100" w:type="dxa"/>
            </w:tcMar>
          </w:tcPr>
          <w:p>
            <w:pPr>
              <w:jc w:val="left"/>
            </w:pPr>
            <w:r>
              <w:rPr>
                <w:rFonts w:ascii="Calibri" w:hAnsi="Calibri"/>
                <w:b/>
                <w:color w:val="FFFFFF"/>
                <w:sz w:val="19"/>
              </w:rPr>
              <w:t>GLOSH Threshold</w:t>
            </w:r>
          </w:p>
        </w:tc>
        <w:tc>
          <w:tcPr>
            <w:tcW w:type="dxa" w:w="2016"/>
            <w:shd w:fill="184C78"/>
            <w:tcMar>
              <w:top w:w="100" w:type="dxa"/>
              <w:bottom w:w="100" w:type="dxa"/>
              <w:left w:w="100" w:type="dxa"/>
              <w:right w:w="100" w:type="dxa"/>
            </w:tcMar>
          </w:tcPr>
          <w:p>
            <w:pPr>
              <w:jc w:val="left"/>
            </w:pPr>
            <w:r>
              <w:rPr>
                <w:rFonts w:ascii="Calibri" w:hAnsi="Calibri"/>
                <w:b/>
                <w:color w:val="FFFFFF"/>
                <w:sz w:val="19"/>
              </w:rPr>
              <w:t>Monthly Volume</w:t>
            </w:r>
          </w:p>
        </w:tc>
        <w:tc>
          <w:tcPr>
            <w:tcW w:type="dxa" w:w="4032"/>
            <w:shd w:fill="184C78"/>
            <w:tcMar>
              <w:top w:w="100" w:type="dxa"/>
              <w:bottom w:w="100" w:type="dxa"/>
              <w:left w:w="100" w:type="dxa"/>
              <w:right w:w="100" w:type="dxa"/>
            </w:tcMar>
          </w:tcPr>
          <w:p>
            <w:pPr>
              <w:jc w:val="left"/>
            </w:pPr>
            <w:r>
              <w:rPr>
                <w:rFonts w:ascii="Calibri" w:hAnsi="Calibri"/>
                <w:b/>
                <w:color w:val="FFFFFF"/>
                <w:sz w:val="19"/>
              </w:rPr>
              <w:t>Operational Action &amp; Enforcement</w:t>
            </w:r>
          </w:p>
        </w:tc>
      </w:tr>
      <w:tr>
        <w:tc>
          <w:tcPr>
            <w:tcW w:type="dxa" w:w="2304"/>
            <w:shd w:fill="FFFFFF"/>
            <w:tcMar>
              <w:top w:w="70" w:type="dxa"/>
              <w:bottom w:w="70" w:type="dxa"/>
              <w:left w:w="100" w:type="dxa"/>
              <w:right w:w="100" w:type="dxa"/>
            </w:tcMar>
          </w:tcPr>
          <w:p>
            <w:r>
              <w:rPr>
                <w:rFonts w:ascii="Calibri" w:hAnsi="Calibri"/>
                <w:color w:val="282828"/>
                <w:sz w:val="18"/>
              </w:rPr>
              <w:t>Tier 1: Red Flag</w:t>
              <w:br/>
              <w:t>(Immediate Freeze)</w:t>
            </w:r>
          </w:p>
        </w:tc>
        <w:tc>
          <w:tcPr>
            <w:tcW w:type="dxa" w:w="2016"/>
            <w:shd w:fill="FFFFFF"/>
            <w:tcMar>
              <w:top w:w="70" w:type="dxa"/>
              <w:bottom w:w="70" w:type="dxa"/>
              <w:left w:w="100" w:type="dxa"/>
              <w:right w:w="100" w:type="dxa"/>
            </w:tcMar>
          </w:tcPr>
          <w:p>
            <w:r>
              <w:rPr>
                <w:rFonts w:ascii="Calibri" w:hAnsi="Calibri"/>
                <w:color w:val="282828"/>
                <w:sz w:val="18"/>
              </w:rPr>
              <w:t>GLOSH &gt;= 0.990</w:t>
              <w:br/>
              <w:t>(Top 0.5%)</w:t>
            </w:r>
          </w:p>
        </w:tc>
        <w:tc>
          <w:tcPr>
            <w:tcW w:type="dxa" w:w="2016"/>
            <w:shd w:fill="FFFFFF"/>
            <w:tcMar>
              <w:top w:w="70" w:type="dxa"/>
              <w:bottom w:w="70" w:type="dxa"/>
              <w:left w:w="100" w:type="dxa"/>
              <w:right w:w="100" w:type="dxa"/>
            </w:tcMar>
          </w:tcPr>
          <w:p>
            <w:r>
              <w:rPr>
                <w:rFonts w:ascii="Calibri" w:hAnsi="Calibri"/>
                <w:color w:val="282828"/>
                <w:sz w:val="18"/>
              </w:rPr>
              <w:t>~15 - 25 facilities</w:t>
            </w:r>
          </w:p>
        </w:tc>
        <w:tc>
          <w:tcPr>
            <w:tcW w:type="dxa" w:w="4032"/>
            <w:shd w:fill="FFFFFF"/>
            <w:tcMar>
              <w:top w:w="70" w:type="dxa"/>
              <w:bottom w:w="70" w:type="dxa"/>
              <w:left w:w="100" w:type="dxa"/>
              <w:right w:w="100" w:type="dxa"/>
            </w:tcMar>
          </w:tcPr>
          <w:p>
            <w:r>
              <w:rPr>
                <w:rFonts w:ascii="Calibri" w:hAnsi="Calibri"/>
                <w:color w:val="282828"/>
                <w:sz w:val="18"/>
              </w:rPr>
              <w:t>• Immediately suspend automated batch reimbursement.</w:t>
              <w:br/>
              <w:t>• Mandate 100% pre-payment manual line-item medical audit.</w:t>
              <w:br/>
              <w:t>• Issue formal inquiry letter requesting patient medical records and signed registers.</w:t>
            </w:r>
          </w:p>
        </w:tc>
      </w:tr>
      <w:tr>
        <w:tc>
          <w:tcPr>
            <w:tcW w:type="dxa" w:w="2304"/>
            <w:shd w:fill="F4F7FA"/>
            <w:tcMar>
              <w:top w:w="70" w:type="dxa"/>
              <w:bottom w:w="70" w:type="dxa"/>
              <w:left w:w="100" w:type="dxa"/>
              <w:right w:w="100" w:type="dxa"/>
            </w:tcMar>
          </w:tcPr>
          <w:p>
            <w:r>
              <w:rPr>
                <w:rFonts w:ascii="Calibri" w:hAnsi="Calibri"/>
                <w:color w:val="282828"/>
                <w:sz w:val="18"/>
              </w:rPr>
              <w:t>Tier 2: Orange Flag</w:t>
              <w:br/>
              <w:t>(Targeted Scrutiny)</w:t>
            </w:r>
          </w:p>
        </w:tc>
        <w:tc>
          <w:tcPr>
            <w:tcW w:type="dxa" w:w="2016"/>
            <w:shd w:fill="F4F7FA"/>
            <w:tcMar>
              <w:top w:w="70" w:type="dxa"/>
              <w:bottom w:w="70" w:type="dxa"/>
              <w:left w:w="100" w:type="dxa"/>
              <w:right w:w="100" w:type="dxa"/>
            </w:tcMar>
          </w:tcPr>
          <w:p>
            <w:r>
              <w:rPr>
                <w:rFonts w:ascii="Calibri" w:hAnsi="Calibri"/>
                <w:color w:val="282828"/>
                <w:sz w:val="18"/>
              </w:rPr>
              <w:t>0.950 &lt;= GLOSH &lt; 0.990</w:t>
              <w:br/>
              <w:t>(Top 5%)</w:t>
            </w:r>
          </w:p>
        </w:tc>
        <w:tc>
          <w:tcPr>
            <w:tcW w:type="dxa" w:w="2016"/>
            <w:shd w:fill="F4F7FA"/>
            <w:tcMar>
              <w:top w:w="70" w:type="dxa"/>
              <w:bottom w:w="70" w:type="dxa"/>
              <w:left w:w="100" w:type="dxa"/>
              <w:right w:w="100" w:type="dxa"/>
            </w:tcMar>
          </w:tcPr>
          <w:p>
            <w:r>
              <w:rPr>
                <w:rFonts w:ascii="Calibri" w:hAnsi="Calibri"/>
                <w:color w:val="282828"/>
                <w:sz w:val="18"/>
              </w:rPr>
              <w:t>~50 - 75 facilities</w:t>
            </w:r>
          </w:p>
        </w:tc>
        <w:tc>
          <w:tcPr>
            <w:tcW w:type="dxa" w:w="4032"/>
            <w:shd w:fill="F4F7FA"/>
            <w:tcMar>
              <w:top w:w="70" w:type="dxa"/>
              <w:bottom w:w="70" w:type="dxa"/>
              <w:left w:w="100" w:type="dxa"/>
              <w:right w:w="100" w:type="dxa"/>
            </w:tcMar>
          </w:tcPr>
          <w:p>
            <w:r>
              <w:rPr>
                <w:rFonts w:ascii="Calibri" w:hAnsi="Calibri"/>
                <w:color w:val="282828"/>
                <w:sz w:val="18"/>
              </w:rPr>
              <w:t>• Place facility on the openIMIS Adjudication Watchlist.</w:t>
              <w:br/>
              <w:t>• Increase sample audit rate to 35% of submitted claims.</w:t>
              <w:br/>
              <w:t>• Evaluate facility drift against previous quarter performance.</w:t>
            </w:r>
          </w:p>
        </w:tc>
      </w:tr>
      <w:tr>
        <w:tc>
          <w:tcPr>
            <w:tcW w:type="dxa" w:w="2304"/>
            <w:shd w:fill="FFFFFF"/>
            <w:tcMar>
              <w:top w:w="70" w:type="dxa"/>
              <w:bottom w:w="70" w:type="dxa"/>
              <w:left w:w="100" w:type="dxa"/>
              <w:right w:w="100" w:type="dxa"/>
            </w:tcMar>
          </w:tcPr>
          <w:p>
            <w:r>
              <w:rPr>
                <w:rFonts w:ascii="Calibri" w:hAnsi="Calibri"/>
                <w:color w:val="282828"/>
                <w:sz w:val="18"/>
              </w:rPr>
              <w:t>Tier 3: Green / Yellow</w:t>
              <w:br/>
              <w:t>(Routine Monitoring)</w:t>
            </w:r>
          </w:p>
        </w:tc>
        <w:tc>
          <w:tcPr>
            <w:tcW w:type="dxa" w:w="2016"/>
            <w:shd w:fill="FFFFFF"/>
            <w:tcMar>
              <w:top w:w="70" w:type="dxa"/>
              <w:bottom w:w="70" w:type="dxa"/>
              <w:left w:w="100" w:type="dxa"/>
              <w:right w:w="100" w:type="dxa"/>
            </w:tcMar>
          </w:tcPr>
          <w:p>
            <w:r>
              <w:rPr>
                <w:rFonts w:ascii="Calibri" w:hAnsi="Calibri"/>
                <w:color w:val="282828"/>
                <w:sz w:val="18"/>
              </w:rPr>
              <w:t>GLOSH &lt; 0.950</w:t>
              <w:br/>
              <w:t>(Bottom 95%)</w:t>
            </w:r>
          </w:p>
        </w:tc>
        <w:tc>
          <w:tcPr>
            <w:tcW w:type="dxa" w:w="2016"/>
            <w:shd w:fill="FFFFFF"/>
            <w:tcMar>
              <w:top w:w="70" w:type="dxa"/>
              <w:bottom w:w="70" w:type="dxa"/>
              <w:left w:w="100" w:type="dxa"/>
              <w:right w:w="100" w:type="dxa"/>
            </w:tcMar>
          </w:tcPr>
          <w:p>
            <w:r>
              <w:rPr>
                <w:rFonts w:ascii="Calibri" w:hAnsi="Calibri"/>
                <w:color w:val="282828"/>
                <w:sz w:val="18"/>
              </w:rPr>
              <w:t>~900+ facilities</w:t>
            </w:r>
          </w:p>
        </w:tc>
        <w:tc>
          <w:tcPr>
            <w:tcW w:type="dxa" w:w="4032"/>
            <w:shd w:fill="FFFFFF"/>
            <w:tcMar>
              <w:top w:w="70" w:type="dxa"/>
              <w:bottom w:w="70" w:type="dxa"/>
              <w:left w:w="100" w:type="dxa"/>
              <w:right w:w="100" w:type="dxa"/>
            </w:tcMar>
          </w:tcPr>
          <w:p>
            <w:r>
              <w:rPr>
                <w:rFonts w:ascii="Calibri" w:hAnsi="Calibri"/>
                <w:color w:val="282828"/>
                <w:sz w:val="18"/>
              </w:rPr>
              <w:t>• Standard openIMIS automated adjudication.</w:t>
              <w:br/>
              <w:t>• Standard 5% statistical random sampling audit.</w:t>
              <w:br/>
              <w:t>• Ongoing monthly baseline profiling.</w:t>
            </w:r>
          </w:p>
        </w:tc>
      </w:tr>
    </w:tbl>
    <w:p>
      <w:pPr>
        <w:spacing w:after="160"/>
      </w:pPr>
    </w:p>
    <w:p>
      <w:pPr>
        <w:keepNext/>
        <w:spacing w:before="240" w:after="80"/>
      </w:pPr>
      <w:r>
        <w:rPr>
          <w:rFonts w:ascii="Calibri" w:hAnsi="Calibri"/>
          <w:b/>
          <w:color w:val="2980B9"/>
          <w:sz w:val="25"/>
        </w:rPr>
        <w:t>6.2 Facility Longitudinal Drift Monitoring</w:t>
      </w:r>
    </w:p>
    <w:p>
      <w:pPr>
        <w:spacing w:before="0" w:after="120" w:line="276" w:lineRule="auto"/>
      </w:pPr>
      <w:r>
        <w:rPr>
          <w:rFonts w:ascii="Calibri" w:hAnsi="Calibri"/>
          <w:color w:val="282828"/>
          <w:sz w:val="20"/>
        </w:rPr>
        <w:t>Instead of treating each month in isolation, openIMIS should track GLOSH score trajectories over time for every Hfid. A sudden jump in a facility's GLOSH score (e.g., jumping from 0.15 in October to 0.98 in November) serves as an automated early warning for provider compromise, management change, or aggressive fraudulent billing schemes.</w:t>
      </w:r>
    </w:p>
    <w:p>
      <w:pPr>
        <w:keepNext/>
        <w:spacing w:before="240" w:after="80"/>
      </w:pPr>
      <w:r>
        <w:rPr>
          <w:rFonts w:ascii="Calibri" w:hAnsi="Calibri"/>
          <w:b/>
          <w:color w:val="2980B9"/>
          <w:sz w:val="25"/>
        </w:rPr>
        <w:t>6.3 Auditor Action Protocol with SHAP Root-Cause Cards</w:t>
      </w:r>
    </w:p>
    <w:p>
      <w:pPr>
        <w:spacing w:before="0" w:after="120" w:line="276" w:lineRule="auto"/>
      </w:pPr>
      <w:r>
        <w:rPr>
          <w:rFonts w:ascii="Calibri" w:hAnsi="Calibri"/>
          <w:color w:val="282828"/>
          <w:sz w:val="20"/>
        </w:rPr>
        <w:t>For every facility flagged in Tier 1 or Tier 2, the system automatically outputs an 'Audit Justification Card' powered by the TreeSHAP surrogate model. Rather than telling the auditor 'Facility 703 is suspicious', the card specifies:</w:t>
      </w:r>
    </w:p>
    <w:p>
      <w:pPr>
        <w:spacing w:before="0" w:after="120" w:line="276" w:lineRule="auto"/>
      </w:pPr>
      <w:r>
        <w:rPr>
          <w:rFonts w:ascii="Calibri" w:hAnsi="Calibri"/>
          <w:color w:val="282828"/>
          <w:sz w:val="20"/>
        </w:rPr>
        <w:t>• 'Facility 703 (Nov 2025) flagged with GLOSH = 0.998375 due to: (1) 56.5% Rejection Rate (+0.41 SHAP), (2) 1,804 claims volume surge (+0.28 SHAP), (3) 82% backdated submissions (+0.19 SHAP).'</w:t>
      </w:r>
    </w:p>
    <w:p>
      <w:pPr>
        <w:spacing w:before="0" w:after="120" w:line="276" w:lineRule="auto"/>
      </w:pPr>
      <w:r>
        <w:rPr>
          <w:rFonts w:ascii="Calibri" w:hAnsi="Calibri"/>
          <w:color w:val="282828"/>
          <w:sz w:val="20"/>
        </w:rPr>
        <w:t>This enables field investigators to target their physical inspection directly at patient admission registries and procedure logs.</w:t>
      </w:r>
    </w:p>
    <w:p>
      <w:pPr>
        <w:keepNext/>
        <w:spacing w:before="240" w:after="80"/>
      </w:pPr>
      <w:r>
        <w:rPr>
          <w:rFonts w:ascii="Calibri" w:hAnsi="Calibri"/>
          <w:b/>
          <w:color w:val="2980B9"/>
          <w:sz w:val="25"/>
        </w:rPr>
        <w:t>6.4 Integration into openIMIS System Architecture</w:t>
      </w:r>
    </w:p>
    <w:p>
      <w:pPr>
        <w:spacing w:before="0" w:after="120" w:line="276" w:lineRule="auto"/>
      </w:pPr>
      <w:r>
        <w:rPr>
          <w:rFonts w:ascii="Calibri" w:hAnsi="Calibri"/>
          <w:color w:val="282828"/>
          <w:sz w:val="20"/>
        </w:rPr>
        <w:t>The model integrates as a monthly cron container service within the openIMIS infrastructure:</w:t>
        <w:br/>
        <w:t>• Monthly Cron Job (Day 1 of Month): Extracts previous month's claims from openIMIS PostgreSQL database.</w:t>
        <w:br/>
        <w:t>• Pipeline Execution: Computes hospital-month profiles, evaluates HDBSCAN + GLOSH, and runs TreeSHAP explanations in &lt;45 seconds.</w:t>
        <w:br/>
        <w:t>• Database Update: Writes GLOSH scores and audit tier flags into a new table (tblFacilityRiskScores).</w:t>
        <w:br/>
        <w:t>• Web UI Dashboard: Surfaces the Top 50 anomalous facilities on the openIMIS auditor dashboard with interactive drill-down.</w:t>
      </w:r>
    </w:p>
    <w:tbl>
      <w:tblPr>
        <w:tblW w:type="auto" w:w="0"/>
        <w:jc w:val="center"/>
        <w:tblLook w:firstColumn="1" w:firstRow="1" w:lastColumn="0" w:lastRow="0" w:noHBand="0" w:noVBand="1" w:val="04A0"/>
      </w:tblPr>
      <w:tblGrid>
        <w:gridCol w:w="10080"/>
      </w:tblGrid>
      <w:tr>
        <w:tc>
          <w:tcPr>
            <w:tcW w:type="dxa" w:w="10080"/>
            <w:shd w:fill="F4F7FA"/>
            <w:tcMar>
              <w:top w:w="100" w:type="dxa"/>
              <w:bottom w:w="100" w:type="dxa"/>
              <w:left w:w="140" w:type="dxa"/>
              <w:right w:w="140" w:type="dxa"/>
            </w:tcMar>
            <w:tcBorders>
              <w:left w:val="single" w:sz="24" w:space="0" w:color="184C78"/>
              <w:top w:val="none"/>
              <w:right w:val="none"/>
              <w:bottom w:val="none"/>
            </w:tcBorders>
          </w:tcPr>
          <w:p>
            <w:pPr>
              <w:spacing w:after="0" w:line="276" w:lineRule="auto"/>
            </w:pPr>
            <w:r>
              <w:rPr>
                <w:rFonts w:ascii="Calibri" w:hAnsi="Calibri"/>
                <w:b/>
                <w:color w:val="184C78"/>
                <w:sz w:val="19"/>
              </w:rPr>
              <w:t xml:space="preserve">Final Strategic Impact: </w:t>
            </w:r>
            <w:r>
              <w:rPr>
                <w:rFonts w:ascii="Calibri" w:hAnsi="Calibri"/>
                <w:color w:val="282828"/>
                <w:sz w:val="19"/>
              </w:rPr>
              <w:t>By operationalizing HDBSCAN + GLOSH at the provider-month grain, the Cameroon national health insurance scheme transitions from reactive, piecemeal claim rejections to proactive, systemic provider oversight—safeguarding public healthcare resources and restoring integrity to openIMIS reimbursements.</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