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Times New Roman" w:cs="Times New Roman" w:eastAsia="Times New Roman" w:hAnsi="Times New Roman"/>
          <w:b/>
          <w:bCs/>
          <w:sz w:val="36"/>
          <w:szCs w:val="36"/>
        </w:rPr>
        <w:t xml:space="preserve">Agentic RAG Pipeline for Transparent Research Impact Summarisation Using Multi-Source Evidence Retrieval and Gemini-as-Judge Faithfulness Evaluation</w:t>
      </w:r>
    </w:p>
    <w:p>
      <w:pPr>
        <w:spacing w:after="40" w:before="0"/>
        <w:jc w:val="center"/>
      </w:pPr>
      <w:r>
        <w:rPr>
          <w:rFonts w:ascii="Times New Roman" w:cs="Times New Roman" w:eastAsia="Times New Roman" w:hAnsi="Times New Roman"/>
          <w:b/>
          <w:bCs/>
          <w:sz w:val="22"/>
          <w:szCs w:val="22"/>
        </w:rPr>
        <w:t xml:space="preserve">Soham Dharne</w:t>
      </w:r>
    </w:p>
    <w:p>
      <w:pPr>
        <w:spacing w:after="0" w:before="0"/>
        <w:jc w:val="center"/>
      </w:pPr>
      <w:r>
        <w:rPr>
          <w:rFonts w:ascii="Times New Roman" w:cs="Times New Roman" w:eastAsia="Times New Roman" w:hAnsi="Times New Roman"/>
          <w:i/>
          <w:iCs/>
          <w:sz w:val="20"/>
          <w:szCs w:val="20"/>
        </w:rPr>
        <w:t xml:space="preserve">Department of Computer Science</w:t>
      </w:r>
    </w:p>
    <w:p>
      <w:pPr>
        <w:spacing w:after="200" w:before="0"/>
        <w:jc w:val="center"/>
      </w:pPr>
      <w:r>
        <w:rPr>
          <w:rFonts w:ascii="Times New Roman" w:cs="Times New Roman" w:eastAsia="Times New Roman" w:hAnsi="Times New Roman"/>
          <w:color w:val="444444"/>
          <w:sz w:val="18"/>
          <w:szCs w:val="18"/>
        </w:rPr>
        <w:t xml:space="preserve">Email: soham.dharne@university.ac.uk</w:t>
      </w:r>
    </w:p>
    <w:p>
      <w:pPr>
        <w:pBdr>
          <w:bottom w:val="single" w:color="003366" w:sz="6"/>
        </w:pBd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pPr>
              <w:spacing w:after="60" w:before="0" w:line="240" w:lineRule="auto"/>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The proliferation of academic literature has made it increasingly difficult for researchers, impact officers, and funding bodies to assess the real-world influence of scholarly work beyond simple citation counts. This paper presents the AI Research Impact Summariser—a production-grade agentic Retrieval-Augmented Generation (RAG) system that transforms a paper identifier (DOI, title, or arXiv ID) into a transparent, multi-source, evidence-grounded impact analysis. The system employs a LangGraph-orchestrated directed acyclic graph of five autonomous agents that concurrently query five external scholarly APIs (CrossRef, Semantic Scholar, OpenAlex, GitHub, and Google Patents), embed retrieved evidence into a ChromaDB vector store using sentence-transformers, and synthesise a scholarly impact narrative using the Google Gemini API (gemini-2.5-flash). A faithfulness guardrail employs Gemini-as-judge to score the alignment between generated claims and retrieved evidence on a 0–1 scale, flagging outputs for review when the score falls below 0.75. The system additionally generates UK Research Excellence Framework (REF) Impact Case Studies. A glass-box UI built with React and TypeScript presents all retrieved evidence alongside generated narratives, ensuring every AI claim is auditable. Evaluation against a single-source CrossRef baseline demonstrates that the agentic pipeline retrieves substantially richer evidence (median 23 items vs. 1) while maintaining comparable faithfulness scores. The system is fully containerised via Docker and operates at near-zero running cost using public scholarly APIs and Hugging Face embeddings.</w:t>
            </w:r>
          </w:p>
          <w:p>
            <w:pPr>
              <w:spacing w:after="0" w:before="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Retrieval-Augmented Generation, Agentic AI, Research Impact Assessment, LangGraph, Gemini API, ChromaDB, Faithfulness Evaluation, Multi-Source Retrieval, REF Impact Case Study, Glass-Box AI</w:t>
            </w:r>
          </w:p>
        </w:tc>
      </w:tr>
    </w:tbl>
    <w:p>
      <w:pPr>
        <w:spacing w:after="0" w:before="160"/>
      </w:pP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60" w:before="180" w:line="240" w:lineRule="auto"/>
        <w:jc w:val="center"/>
      </w:pPr>
      <w:r>
        <w:rPr>
          <w:rFonts w:ascii="Times New Roman" w:cs="Times New Roman" w:eastAsia="Times New Roman" w:hAnsi="Times New Roman"/>
          <w:b/>
          <w:bCs/>
          <w:caps/>
          <w:sz w:val="20"/>
          <w:szCs w:val="20"/>
        </w:rPr>
        <w:t xml:space="preserve">I.  Introduction</w:t>
      </w:r>
    </w:p>
    <w:p>
      <w:pPr>
        <w:spacing w:after="60" w:before="0" w:line="240" w:lineRule="auto"/>
        <w:ind w:firstLine="360"/>
        <w:jc w:val="both"/>
      </w:pPr>
      <w:r>
        <w:rPr>
          <w:rFonts w:ascii="Times New Roman" w:cs="Times New Roman" w:eastAsia="Times New Roman" w:hAnsi="Times New Roman"/>
          <w:sz w:val="20"/>
          <w:szCs w:val="20"/>
        </w:rPr>
        <w:t xml:space="preserve">The assessment of research impact is a critical activity in modern academia, informing funding decisions, institutional rankings, and policy. Traditional approaches rely heavily on citation counts obtained from databases such as Google Scholar, Scopus, or Web of Science. While these metrics provide a quantitative proxy for scholarly influence, they fail to capture the breadth of real-world impact—including software adoption, patent citations, media coverage, and policy uptake.</w:t>
      </w:r>
    </w:p>
    <w:p>
      <w:pPr>
        <w:spacing w:after="60" w:before="0" w:line="240" w:lineRule="auto"/>
        <w:ind w:firstLine="360"/>
        <w:jc w:val="both"/>
      </w:pPr>
      <w:r>
        <w:rPr>
          <w:rFonts w:ascii="Times New Roman" w:cs="Times New Roman" w:eastAsia="Times New Roman" w:hAnsi="Times New Roman"/>
          <w:sz w:val="20"/>
          <w:szCs w:val="20"/>
        </w:rPr>
        <w:t xml:space="preserve">The UK Research Excellence Framework (REF) explicitly requires universities to demonstrate “reach and significance” of research impact through structured case studies that document evidence beyond citation metrics. Preparing such case studies is labour-intensive, requiring manual aggregation of evidence from heterogeneous sources.</w:t>
      </w:r>
    </w:p>
    <w:p>
      <w:pPr>
        <w:spacing w:after="60" w:before="0" w:line="240" w:lineRule="auto"/>
        <w:ind w:firstLine="360"/>
        <w:jc w:val="both"/>
      </w:pPr>
      <w:r>
        <w:rPr>
          <w:rFonts w:ascii="Times New Roman" w:cs="Times New Roman" w:eastAsia="Times New Roman" w:hAnsi="Times New Roman"/>
          <w:sz w:val="20"/>
          <w:szCs w:val="20"/>
        </w:rPr>
        <w:t xml:space="preserve">Meanwhile, the emergence of Large Language Models (LLMs) has created new possibilities for automated text synthesis. However, LLM-generated research summaries suffer from hallucination—the fabrication of plausible but unsupported claims—which is particularly dangerous in academic contexts where credibility depends on verifiability.</w:t>
      </w:r>
    </w:p>
    <w:p>
      <w:pPr>
        <w:spacing w:after="40" w:before="80"/>
        <w:jc w:val="both"/>
      </w:pPr>
      <w:r>
        <w:rPr>
          <w:rFonts w:ascii="Times New Roman" w:cs="Times New Roman" w:eastAsia="Times New Roman" w:hAnsi="Times New Roman"/>
          <w:b/>
          <w:bCs/>
          <w:sz w:val="20"/>
          <w:szCs w:val="20"/>
        </w:rPr>
        <w:t xml:space="preserve">This paper makes the following contributions:</w:t>
      </w:r>
    </w:p>
    <w:p>
      <w:pPr>
        <w:pStyle w:val="ListParagraph"/>
        <w:numPr>
          <w:ilvl w:val="0"/>
          <w:numId w:val="2"/>
        </w:numPr>
        <w:spacing w:after="40" w:before="0"/>
        <w:jc w:val="both"/>
      </w:pPr>
      <w:r>
        <w:rPr>
          <w:rFonts w:ascii="Times New Roman" w:cs="Times New Roman" w:eastAsia="Times New Roman" w:hAnsi="Times New Roman"/>
          <w:sz w:val="20"/>
          <w:szCs w:val="20"/>
        </w:rPr>
        <w:t xml:space="preserve">A five-agent LangGraph pipeline that retrieves evidence concurrently from CrossRef, Semantic Scholar, OpenAlex, GitHub, and Google Patents.</w:t>
      </w:r>
    </w:p>
    <w:p>
      <w:pPr>
        <w:pStyle w:val="ListParagraph"/>
        <w:numPr>
          <w:ilvl w:val="0"/>
          <w:numId w:val="2"/>
        </w:numPr>
        <w:spacing w:after="40" w:before="0"/>
        <w:jc w:val="both"/>
      </w:pPr>
      <w:r>
        <w:rPr>
          <w:rFonts w:ascii="Times New Roman" w:cs="Times New Roman" w:eastAsia="Times New Roman" w:hAnsi="Times New Roman"/>
          <w:sz w:val="20"/>
          <w:szCs w:val="20"/>
        </w:rPr>
        <w:t xml:space="preserve">A ChromaDB-backed RAG system using sentence-transformers embeddings that grounds synthesis in retrieved evidence chunks.</w:t>
      </w:r>
    </w:p>
    <w:p>
      <w:pPr>
        <w:pStyle w:val="ListParagraph"/>
        <w:numPr>
          <w:ilvl w:val="0"/>
          <w:numId w:val="2"/>
        </w:numPr>
        <w:spacing w:after="40" w:before="0"/>
        <w:jc w:val="both"/>
      </w:pPr>
      <w:r>
        <w:rPr>
          <w:rFonts w:ascii="Times New Roman" w:cs="Times New Roman" w:eastAsia="Times New Roman" w:hAnsi="Times New Roman"/>
          <w:sz w:val="20"/>
          <w:szCs w:val="20"/>
        </w:rPr>
        <w:t xml:space="preserve">Integration of Google Gemini (gemini-2.5-flash) for scholarly narrative generation and as-a-judge faithfulness evaluation.</w:t>
      </w:r>
    </w:p>
    <w:p>
      <w:pPr>
        <w:pStyle w:val="ListParagraph"/>
        <w:numPr>
          <w:ilvl w:val="0"/>
          <w:numId w:val="2"/>
        </w:numPr>
        <w:spacing w:after="40" w:before="0"/>
        <w:jc w:val="both"/>
      </w:pPr>
      <w:r>
        <w:rPr>
          <w:rFonts w:ascii="Times New Roman" w:cs="Times New Roman" w:eastAsia="Times New Roman" w:hAnsi="Times New Roman"/>
          <w:sz w:val="20"/>
          <w:szCs w:val="20"/>
        </w:rPr>
        <w:t xml:space="preserve">A “glass-box” React UI that presents all evidence items alongside AI narratives, enabling per-claim auditability.</w:t>
      </w:r>
    </w:p>
    <w:p>
      <w:pPr>
        <w:pStyle w:val="ListParagraph"/>
        <w:numPr>
          <w:ilvl w:val="0"/>
          <w:numId w:val="2"/>
        </w:numPr>
        <w:spacing w:after="40" w:before="0"/>
        <w:jc w:val="both"/>
      </w:pPr>
      <w:r>
        <w:rPr>
          <w:rFonts w:ascii="Times New Roman" w:cs="Times New Roman" w:eastAsia="Times New Roman" w:hAnsi="Times New Roman"/>
          <w:sz w:val="20"/>
          <w:szCs w:val="20"/>
        </w:rPr>
        <w:t xml:space="preserve">Automated generation of REF Impact Case Studies in compliance with Research England guidelines.</w:t>
      </w:r>
    </w:p>
    <w:p>
      <w:pPr>
        <w:pStyle w:val="ListParagraph"/>
        <w:numPr>
          <w:ilvl w:val="0"/>
          <w:numId w:val="2"/>
        </w:numPr>
        <w:spacing w:after="100" w:before="0"/>
        <w:jc w:val="both"/>
      </w:pPr>
      <w:r>
        <w:rPr>
          <w:rFonts w:ascii="Times New Roman" w:cs="Times New Roman" w:eastAsia="Times New Roman" w:hAnsi="Times New Roman"/>
          <w:sz w:val="20"/>
          <w:szCs w:val="20"/>
        </w:rPr>
        <w:t xml:space="preserve">Quantitative comparison against a single-source CrossRef baseline.</w:t>
      </w:r>
    </w:p>
    <w:p>
      <w:pPr>
        <w:spacing w:after="60" w:before="180" w:line="240" w:lineRule="auto"/>
        <w:jc w:val="center"/>
      </w:pPr>
      <w:r>
        <w:rPr>
          <w:rFonts w:ascii="Times New Roman" w:cs="Times New Roman" w:eastAsia="Times New Roman" w:hAnsi="Times New Roman"/>
          <w:b/>
          <w:bCs/>
          <w:caps/>
          <w:sz w:val="20"/>
          <w:szCs w:val="20"/>
        </w:rPr>
        <w:t xml:space="preserve">II.  Related Work</w:t>
      </w:r>
    </w:p>
    <w:p>
      <w:pPr>
        <w:spacing w:after="40" w:before="120" w:line="240" w:lineRule="auto"/>
        <w:jc w:val="left"/>
      </w:pPr>
      <w:r>
        <w:rPr>
          <w:rFonts w:ascii="Times New Roman" w:cs="Times New Roman" w:eastAsia="Times New Roman" w:hAnsi="Times New Roman"/>
          <w:b/>
          <w:bCs/>
          <w:i/>
          <w:iCs/>
          <w:sz w:val="20"/>
          <w:szCs w:val="20"/>
        </w:rPr>
        <w:t xml:space="preserve">A.  Retrieval-Augmented Generation (RAG)</w:t>
      </w:r>
    </w:p>
    <w:p>
      <w:pPr>
        <w:spacing w:after="60" w:before="0" w:line="240" w:lineRule="auto"/>
        <w:ind w:firstLine="360"/>
        <w:jc w:val="both"/>
      </w:pPr>
      <w:r>
        <w:rPr>
          <w:rFonts w:ascii="Times New Roman" w:cs="Times New Roman" w:eastAsia="Times New Roman" w:hAnsi="Times New Roman"/>
          <w:sz w:val="20"/>
          <w:szCs w:val="20"/>
        </w:rPr>
        <w:t xml:space="preserve">Lewis et al. [1] introduced RAG as a method for conditioning language model generation on retrieved documents, dramatically reducing hallucination by grounding outputs in factual evidence. Subsequent work by Gao et al. [2] identified key challenges including retrieval quality, context window limits, and faithfulness evaluation—challenges directly addressed by this system through ChromaDB semantic retrieval and Gemini-as-judge scoring.</w:t>
      </w:r>
    </w:p>
    <w:p>
      <w:pPr>
        <w:spacing w:after="40" w:before="120" w:line="240" w:lineRule="auto"/>
        <w:jc w:val="left"/>
      </w:pPr>
      <w:r>
        <w:rPr>
          <w:rFonts w:ascii="Times New Roman" w:cs="Times New Roman" w:eastAsia="Times New Roman" w:hAnsi="Times New Roman"/>
          <w:b/>
          <w:bCs/>
          <w:i/>
          <w:iCs/>
          <w:sz w:val="20"/>
          <w:szCs w:val="20"/>
        </w:rPr>
        <w:t xml:space="preserve">B.  Agentic AI Systems</w:t>
      </w:r>
    </w:p>
    <w:p>
      <w:pPr>
        <w:spacing w:after="60" w:before="0" w:line="240" w:lineRule="auto"/>
        <w:ind w:firstLine="360"/>
        <w:jc w:val="both"/>
      </w:pPr>
      <w:r>
        <w:rPr>
          <w:rFonts w:ascii="Times New Roman" w:cs="Times New Roman" w:eastAsia="Times New Roman" w:hAnsi="Times New Roman"/>
          <w:sz w:val="20"/>
          <w:szCs w:val="20"/>
        </w:rPr>
        <w:t xml:space="preserve">The concept of LLM-based agents capable of planning, tool use, and self-correction has been advanced by frameworks including AutoGPT, LangChain Agents, and LangGraph. Harrison Chase’s LangGraph [5] specifically addresses the need for stateful, directed multi-agent workflows, representing agent coordination as a typed state graph. This system adopts LangGraph as its orchestration backbone, defining the pipeline as a compiled StateGraph with immutable state propagation.</w:t>
      </w:r>
    </w:p>
    <w:p>
      <w:pPr>
        <w:spacing w:after="40" w:before="120" w:line="240" w:lineRule="auto"/>
        <w:jc w:val="left"/>
      </w:pPr>
      <w:r>
        <w:rPr>
          <w:rFonts w:ascii="Times New Roman" w:cs="Times New Roman" w:eastAsia="Times New Roman" w:hAnsi="Times New Roman"/>
          <w:b/>
          <w:bCs/>
          <w:i/>
          <w:iCs/>
          <w:sz w:val="20"/>
          <w:szCs w:val="20"/>
        </w:rPr>
        <w:t xml:space="preserve">C.  Research Impact Assessment Tools</w:t>
      </w:r>
    </w:p>
    <w:p>
      <w:pPr>
        <w:spacing w:after="60" w:before="0" w:line="240" w:lineRule="auto"/>
        <w:ind w:firstLine="360"/>
        <w:jc w:val="both"/>
      </w:pPr>
      <w:r>
        <w:rPr>
          <w:rFonts w:ascii="Times New Roman" w:cs="Times New Roman" w:eastAsia="Times New Roman" w:hAnsi="Times New Roman"/>
          <w:sz w:val="20"/>
          <w:szCs w:val="20"/>
        </w:rPr>
        <w:t xml:space="preserve">Existing tools for research impact assessment include Altmetric (media and social mentions), Dimensions (funder and policy connections), and scite (smart citations). These tools are typically proprietary and expensive. OpenAlex [3] provides an open alternative for scholarly metadata. This system synthesises OpenAlex with GitHub, Google Patents, and Semantic Scholar to provide a broader evidence base at near-zero cost.</w:t>
      </w:r>
    </w:p>
    <w:p>
      <w:pPr>
        <w:spacing w:after="40" w:before="120" w:line="240" w:lineRule="auto"/>
        <w:jc w:val="left"/>
      </w:pPr>
      <w:r>
        <w:rPr>
          <w:rFonts w:ascii="Times New Roman" w:cs="Times New Roman" w:eastAsia="Times New Roman" w:hAnsi="Times New Roman"/>
          <w:b/>
          <w:bCs/>
          <w:i/>
          <w:iCs/>
          <w:sz w:val="20"/>
          <w:szCs w:val="20"/>
        </w:rPr>
        <w:t xml:space="preserve">D.  Faithfulness Evaluation</w:t>
      </w:r>
    </w:p>
    <w:p>
      <w:pPr>
        <w:spacing w:after="60" w:before="0" w:line="240" w:lineRule="auto"/>
        <w:ind w:firstLine="360"/>
        <w:jc w:val="both"/>
      </w:pPr>
      <w:r>
        <w:rPr>
          <w:rFonts w:ascii="Times New Roman" w:cs="Times New Roman" w:eastAsia="Times New Roman" w:hAnsi="Times New Roman"/>
          <w:sz w:val="20"/>
          <w:szCs w:val="20"/>
        </w:rPr>
        <w:t xml:space="preserve">RAGAS [4] proposed a suite of metrics for RAG system evaluation including faithfulness (claim-evidence alignment), answer relevance, and context recall. The faithfulness metric in this work is adapted from RAGAS methodology, using Gemini-2.5-flash as the judge LLM rather than GPT-4, with a heuristic term-overlap fallback for keyless environments.</w:t>
      </w:r>
    </w:p>
    <w:p>
      <w:pPr>
        <w:spacing w:after="40" w:before="120" w:line="240" w:lineRule="auto"/>
        <w:jc w:val="left"/>
      </w:pPr>
      <w:r>
        <w:rPr>
          <w:rFonts w:ascii="Times New Roman" w:cs="Times New Roman" w:eastAsia="Times New Roman" w:hAnsi="Times New Roman"/>
          <w:b/>
          <w:bCs/>
          <w:i/>
          <w:iCs/>
          <w:sz w:val="20"/>
          <w:szCs w:val="20"/>
        </w:rPr>
        <w:t xml:space="preserve">E.  UK REF Impact Case Studies</w:t>
      </w:r>
    </w:p>
    <w:p>
      <w:pPr>
        <w:spacing w:after="60" w:before="0" w:line="240" w:lineRule="auto"/>
        <w:ind w:firstLine="360"/>
        <w:jc w:val="both"/>
      </w:pPr>
      <w:r>
        <w:rPr>
          <w:rFonts w:ascii="Times New Roman" w:cs="Times New Roman" w:eastAsia="Times New Roman" w:hAnsi="Times New Roman"/>
          <w:sz w:val="20"/>
          <w:szCs w:val="20"/>
        </w:rPr>
        <w:t xml:space="preserve">Research England’s REF 2021 framework [6] required case studies documenting impact with a four-section structure: Summary of Impact, Underpinning Research, Details of Impact, and References to the Research. Automated generation of such case studies using agentic AI has not been previously demonstrated in the literature.</w:t>
      </w:r>
    </w:p>
    <w:p>
      <w:pPr>
        <w:spacing w:after="60" w:before="180" w:line="240" w:lineRule="auto"/>
        <w:jc w:val="center"/>
      </w:pPr>
      <w:r>
        <w:rPr>
          <w:rFonts w:ascii="Times New Roman" w:cs="Times New Roman" w:eastAsia="Times New Roman" w:hAnsi="Times New Roman"/>
          <w:b/>
          <w:bCs/>
          <w:caps/>
          <w:sz w:val="20"/>
          <w:szCs w:val="20"/>
        </w:rPr>
        <w:t xml:space="preserve">III.  System Architecture</w:t>
      </w:r>
    </w:p>
    <w:p>
      <w:pPr>
        <w:spacing w:after="40" w:before="120" w:line="240" w:lineRule="auto"/>
        <w:jc w:val="left"/>
      </w:pPr>
      <w:r>
        <w:rPr>
          <w:rFonts w:ascii="Times New Roman" w:cs="Times New Roman" w:eastAsia="Times New Roman" w:hAnsi="Times New Roman"/>
          <w:b/>
          <w:bCs/>
          <w:i/>
          <w:iCs/>
          <w:sz w:val="20"/>
          <w:szCs w:val="20"/>
        </w:rPr>
        <w:t xml:space="preserve">A.  Architectural Overview</w:t>
      </w:r>
    </w:p>
    <w:p>
      <w:pPr>
        <w:spacing w:after="60" w:before="0" w:line="240" w:lineRule="auto"/>
        <w:ind w:firstLine="360"/>
        <w:jc w:val="both"/>
      </w:pPr>
      <w:r>
        <w:rPr>
          <w:rFonts w:ascii="Times New Roman" w:cs="Times New Roman" w:eastAsia="Times New Roman" w:hAnsi="Times New Roman"/>
          <w:sz w:val="20"/>
          <w:szCs w:val="20"/>
        </w:rPr>
        <w:t xml:space="preserve">The system adopts a two-tier web architecture: a React/TypeScript single-page application (SPA) as the client tier, and a Python/FastAPI service as the backend tier. The backend embeds the agentic LangGraph pipeline, ChromaDB vector store, and Gemini API client. All external scholarly data is retrieved at request time—the system maintains no user database, operating as a stateless analysis service.</w:t>
      </w:r>
    </w:p>
    <w:p>
      <w:pPr>
        <w:spacing w:after="40" w:before="120" w:line="240" w:lineRule="auto"/>
        <w:jc w:val="left"/>
      </w:pPr>
      <w:r>
        <w:rPr>
          <w:rFonts w:ascii="Times New Roman" w:cs="Times New Roman" w:eastAsia="Times New Roman" w:hAnsi="Times New Roman"/>
          <w:b/>
          <w:bCs/>
          <w:i/>
          <w:iCs/>
          <w:sz w:val="20"/>
          <w:szCs w:val="20"/>
        </w:rPr>
        <w:t xml:space="preserve">B.  LangGraph Directed Acyclic Graph</w:t>
      </w:r>
    </w:p>
    <w:p>
      <w:pPr>
        <w:spacing w:after="60" w:before="0" w:line="240" w:lineRule="auto"/>
        <w:ind w:firstLine="360"/>
        <w:jc w:val="both"/>
      </w:pPr>
      <w:r>
        <w:rPr>
          <w:rFonts w:ascii="Times New Roman" w:cs="Times New Roman" w:eastAsia="Times New Roman" w:hAnsi="Times New Roman"/>
          <w:sz w:val="20"/>
          <w:szCs w:val="20"/>
        </w:rPr>
        <w:t xml:space="preserve">The pipeline is defined as a LangGraph StateGraph with five sequential nodes sharing a typed AnalysisState (TypedDict). Fig. 1 illustrates the graph topology. The sequential DAG architecture is justified by strict data dependencies: metadata resolution is prerequisite for retrieval queries (requiring the DOI and canonical title), retrieval must complete before embedding (requiring the evidence list), and synthesis requires both RAG contexts and retrieved evidence.</w:t>
      </w:r>
    </w:p>
    <w:p>
      <w:pPr>
        <w:spacing w:after="40" w:before="80"/>
      </w:pPr>
    </w:p>
    <w:tbl>
      <w:tblPr>
        <w:tblW w:type="dxa" w:w="8640"/>
        <w:tblBorders>
          <w:top w:val="single" w:color="CCCCCC" w:sz="4"/>
          <w:left w:val="single" w:color="CCCCCC" w:sz="4"/>
          <w:bottom w:val="single" w:color="CCCCCC" w:sz="4"/>
          <w:right w:val="single" w:color="CCCCCC"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START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metadata_node     |  CrossRef DOI/title lookup</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retrieval_node    |  5 concurrent asyncio tasks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Scholar | OpenAlex|</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GitHub  | Patents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rag_node          |  ChromaDB embed + query</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synthesis_node    |  Gemini impact narrative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ref_node          |  Gemini REF case study</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END</w:t>
            </w:r>
          </w:p>
        </w:tc>
      </w:tr>
    </w:tbl>
    <w:p>
      <w:pPr>
        <w:spacing w:after="120" w:before="60" w:line="240" w:lineRule="auto"/>
        <w:jc w:val="center"/>
      </w:pPr>
      <w:r>
        <w:rPr>
          <w:rFonts w:ascii="Times New Roman" w:cs="Times New Roman" w:eastAsia="Times New Roman" w:hAnsi="Times New Roman"/>
          <w:i/>
          <w:iCs/>
          <w:sz w:val="18"/>
          <w:szCs w:val="18"/>
        </w:rPr>
        <w:t xml:space="preserve">Fig. 1.  LangGraph pipeline DAG. Each node reads and writes the shared AnalysisState TypedDict. Failure in any node produces a warning status and continues.</w:t>
      </w:r>
    </w:p>
    <w:p>
      <w:pPr>
        <w:spacing w:after="40" w:before="120" w:line="240" w:lineRule="auto"/>
        <w:jc w:val="left"/>
      </w:pPr>
      <w:r>
        <w:rPr>
          <w:rFonts w:ascii="Times New Roman" w:cs="Times New Roman" w:eastAsia="Times New Roman" w:hAnsi="Times New Roman"/>
          <w:b/>
          <w:bCs/>
          <w:i/>
          <w:iCs/>
          <w:sz w:val="20"/>
          <w:szCs w:val="20"/>
        </w:rPr>
        <w:t xml:space="preserve">C.  AnalysisState Schema</w:t>
      </w:r>
    </w:p>
    <w:p>
      <w:pPr>
        <w:spacing w:after="60" w:before="0" w:line="240" w:lineRule="auto"/>
        <w:ind w:firstLine="360"/>
        <w:jc w:val="both"/>
      </w:pPr>
      <w:r>
        <w:rPr>
          <w:rFonts w:ascii="Times New Roman" w:cs="Times New Roman" w:eastAsia="Times New Roman" w:hAnsi="Times New Roman"/>
          <w:sz w:val="20"/>
          <w:szCs w:val="20"/>
        </w:rPr>
        <w:t xml:space="preserve">The AnalysisState TypedDict carries 17 fields propagated through the graph: query, metadata (PaperMetadata), citation_count, topics, evidence (list[EvidenceItem]), statuses (list[AgentStatus]), logs (list[TraceLog]), rag_contexts, embedding_provider, summary, sections (list[ImpactSection]), faithfulness, limitations, model_provider, guardrail_status, and ref_report. All state mutations return new dictionaries ({**state, key: value}), preserving immutability and enabling LangGraph’s checkpointing.</w:t>
      </w:r>
    </w:p>
    <w:p>
      <w:pPr>
        <w:spacing w:after="40" w:before="120" w:line="240" w:lineRule="auto"/>
        <w:jc w:val="left"/>
      </w:pPr>
      <w:r>
        <w:rPr>
          <w:rFonts w:ascii="Times New Roman" w:cs="Times New Roman" w:eastAsia="Times New Roman" w:hAnsi="Times New Roman"/>
          <w:b/>
          <w:bCs/>
          <w:i/>
          <w:iCs/>
          <w:sz w:val="20"/>
          <w:szCs w:val="20"/>
        </w:rPr>
        <w:t xml:space="preserve">D.  Backend Component Architecture</w:t>
      </w:r>
    </w:p>
    <w:p>
      <w:pPr>
        <w:spacing w:after="60" w:before="0" w:line="240" w:lineRule="auto"/>
        <w:ind w:firstLine="360"/>
        <w:jc w:val="both"/>
      </w:pPr>
      <w:r>
        <w:rPr>
          <w:rFonts w:ascii="Times New Roman" w:cs="Times New Roman" w:eastAsia="Times New Roman" w:hAnsi="Times New Roman"/>
          <w:sz w:val="20"/>
          <w:szCs w:val="20"/>
        </w:rPr>
        <w:t xml:space="preserve">The backend comprises six Python modules: (1) main.py—FastAPI application, CORS middleware, route definitions (/health, POST /api/analyze); (2) models.py—Pydantic v2 BaseModel schemas for all I/O types; (3) services.py—LangGraph graph construction and all five agent node functions; (4) rag.py—EmbeddingProvider class and ChromaDB management; (5) llm.py—Gemini API client with three public async functions; (6) services_support.py—shared TraceLog factory.</w:t>
      </w:r>
    </w:p>
    <w:p>
      <w:pPr>
        <w:spacing w:after="40" w:before="120" w:line="240" w:lineRule="auto"/>
        <w:jc w:val="left"/>
      </w:pPr>
      <w:r>
        <w:rPr>
          <w:rFonts w:ascii="Times New Roman" w:cs="Times New Roman" w:eastAsia="Times New Roman" w:hAnsi="Times New Roman"/>
          <w:b/>
          <w:bCs/>
          <w:i/>
          <w:iCs/>
          <w:sz w:val="20"/>
          <w:szCs w:val="20"/>
        </w:rPr>
        <w:t xml:space="preserve">E.  Frontend Architecture</w:t>
      </w:r>
    </w:p>
    <w:p>
      <w:pPr>
        <w:spacing w:after="60" w:before="0" w:line="240" w:lineRule="auto"/>
        <w:ind w:firstLine="360"/>
        <w:jc w:val="both"/>
      </w:pPr>
      <w:r>
        <w:rPr>
          <w:rFonts w:ascii="Times New Roman" w:cs="Times New Roman" w:eastAsia="Times New Roman" w:hAnsi="Times New Roman"/>
          <w:sz w:val="20"/>
          <w:szCs w:val="20"/>
        </w:rPr>
        <w:t xml:space="preserve">The frontend comprises four React components: main.tsx (BrowserRouter, route definitions, ProtectedRoute guard), LandingPage.tsx (marketing hero), LoginModal.tsx (authentication modal), and Dashboard.tsx (core analysis interface). Dashboard.tsx is the most complex component, maintaining six state variables (query, result, loading, error, history, evidenceFilter) and three memoised derived values (filteredEvidence, evidenceKinds, faithfulnessLabel).</w:t>
      </w:r>
    </w:p>
    <w:p>
      <w:pPr>
        <w:spacing w:after="60" w:before="180" w:line="240" w:lineRule="auto"/>
        <w:jc w:val="center"/>
      </w:pPr>
      <w:r>
        <w:rPr>
          <w:rFonts w:ascii="Times New Roman" w:cs="Times New Roman" w:eastAsia="Times New Roman" w:hAnsi="Times New Roman"/>
          <w:b/>
          <w:bCs/>
          <w:caps/>
          <w:sz w:val="20"/>
          <w:szCs w:val="20"/>
        </w:rPr>
        <w:t xml:space="preserve">IV.  Methodology</w:t>
      </w:r>
    </w:p>
    <w:p>
      <w:pPr>
        <w:spacing w:after="40" w:before="120" w:line="240" w:lineRule="auto"/>
        <w:jc w:val="left"/>
      </w:pPr>
      <w:r>
        <w:rPr>
          <w:rFonts w:ascii="Times New Roman" w:cs="Times New Roman" w:eastAsia="Times New Roman" w:hAnsi="Times New Roman"/>
          <w:b/>
          <w:bCs/>
          <w:i/>
          <w:iCs/>
          <w:sz w:val="20"/>
          <w:szCs w:val="20"/>
        </w:rPr>
        <w:t xml:space="preserve">A.  Agent 1: Metadata Resolution (CrossRef)</w:t>
      </w:r>
    </w:p>
    <w:p>
      <w:pPr>
        <w:spacing w:after="60" w:before="0" w:line="240" w:lineRule="auto"/>
        <w:ind w:firstLine="360"/>
        <w:jc w:val="both"/>
      </w:pPr>
      <w:r>
        <w:rPr>
          <w:rFonts w:ascii="Times New Roman" w:cs="Times New Roman" w:eastAsia="Times New Roman" w:hAnsi="Times New Roman"/>
          <w:sz w:val="20"/>
          <w:szCs w:val="20"/>
        </w:rPr>
        <w:t xml:space="preserve">The metadata_node queries the CrossRef REST API [8] to resolve paper identity. DOI detection uses the regex pattern 10\.\d{4,9}/[-._();/:A-Z0-9]+ (case-insensitive). On a DOI match, a direct lookup is performed against /works/{doi}; otherwise a title search with rows=1 is executed. Extracted fields include title, up to 8 authors as “Given Family” strings, publication year (preferred from published-print, fallback to published-online or created), DOI, and HTML-stripped abstract. A polite-pool User-Agent header with a mailto address accesses CrossRef’s enhanced rate limits. Any failure falls back to using the raw query string as the paper title, with an agent warning status.</w:t>
      </w:r>
    </w:p>
    <w:p>
      <w:pPr>
        <w:spacing w:after="40" w:before="120" w:line="240" w:lineRule="auto"/>
        <w:jc w:val="left"/>
      </w:pPr>
      <w:r>
        <w:rPr>
          <w:rFonts w:ascii="Times New Roman" w:cs="Times New Roman" w:eastAsia="Times New Roman" w:hAnsi="Times New Roman"/>
          <w:b/>
          <w:bCs/>
          <w:i/>
          <w:iCs/>
          <w:sz w:val="20"/>
          <w:szCs w:val="20"/>
        </w:rPr>
        <w:t xml:space="preserve">B.  Agent 2: Multi-Source Evidence Retrieval</w:t>
      </w:r>
    </w:p>
    <w:p>
      <w:pPr>
        <w:spacing w:after="60" w:before="0" w:line="240" w:lineRule="auto"/>
        <w:ind w:firstLine="360"/>
        <w:jc w:val="both"/>
      </w:pPr>
      <w:r>
        <w:rPr>
          <w:rFonts w:ascii="Times New Roman" w:cs="Times New Roman" w:eastAsia="Times New Roman" w:hAnsi="Times New Roman"/>
          <w:sz w:val="20"/>
          <w:szCs w:val="20"/>
        </w:rPr>
        <w:t xml:space="preserve">The retrieval_node dispatches five concurrent HTTP calls using asyncio.gather, eliminating sequential API latency. Fig. 2 illustrates the evidence fan-out architecture.</w:t>
      </w:r>
    </w:p>
    <w:p>
      <w:pPr>
        <w:spacing w:after="40" w:before="80"/>
      </w:pPr>
    </w:p>
    <w:tbl>
      <w:tblPr>
        <w:tblW w:type="dxa" w:w="8640"/>
        <w:tblBorders>
          <w:top w:val="single" w:color="CCCCCC" w:sz="4"/>
          <w:left w:val="single" w:color="CCCCCC" w:sz="4"/>
          <w:bottom w:val="single" w:color="CCCCCC" w:sz="4"/>
          <w:right w:val="single" w:color="CCCCCC"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retrieval_node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asyncio.gather()</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____|____________________</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      |    |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      v      v    v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S2  OpenAlex OpenAlex GH PAT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Cit  Fall-  Enrich-  Re- ent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ati  back   ment    po   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ons  (x8)   Topic   (x6) (x5)</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(x20)       Funder</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      |    |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dedupe_evidence()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key: (url or title).lower()</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evidence[]  (max 32)</w:t>
            </w:r>
          </w:p>
        </w:tc>
      </w:tr>
    </w:tbl>
    <w:p>
      <w:pPr>
        <w:spacing w:after="120" w:before="60" w:line="240" w:lineRule="auto"/>
        <w:jc w:val="center"/>
      </w:pPr>
      <w:r>
        <w:rPr>
          <w:rFonts w:ascii="Times New Roman" w:cs="Times New Roman" w:eastAsia="Times New Roman" w:hAnsi="Times New Roman"/>
          <w:i/>
          <w:iCs/>
          <w:sz w:val="18"/>
          <w:szCs w:val="18"/>
        </w:rPr>
        <w:t xml:space="preserve">Fig. 2.  Concurrent multi-source retrieval architecture. Five asyncio tasks execute in parallel; results are merged and deduplicated by normalised URL/title key.</w:t>
      </w:r>
    </w:p>
    <w:p>
      <w:pPr>
        <w:spacing w:after="60" w:before="0" w:line="240" w:lineRule="auto"/>
        <w:ind w:firstLine="360"/>
        <w:jc w:val="both"/>
      </w:pPr>
      <w:r>
        <w:rPr>
          <w:rFonts w:ascii="Times New Roman" w:cs="Times New Roman" w:eastAsia="Times New Roman" w:hAnsi="Times New Roman"/>
          <w:sz w:val="20"/>
          <w:szCs w:val="20"/>
        </w:rPr>
        <w:t xml:space="preserve">Semantic Scholar [7] is queried with fields covering title, year, authors, citationCount, url, abstract, and up to 20 citing papers. OpenAlex is used in two roles: citation fallback (title search, 8 results) and enrichment (topic labels, open-access links, funder records). GitHub repositories are searched by quoted paper title, filtered by a meaningful-terms guard requiring at least 2 non-generic tokens (tokens longer than 3 characters, excluding terms such as “deep”, “learning”, “model”). Google Patents is queried via its XHR API endpoint with a URL-encoded quoted title, extracting publication number, assignee, publication date, and snippet.</w:t>
      </w:r>
    </w:p>
    <w:p>
      <w:pPr>
        <w:spacing w:after="40" w:before="120" w:line="240" w:lineRule="auto"/>
        <w:jc w:val="left"/>
      </w:pPr>
      <w:r>
        <w:rPr>
          <w:rFonts w:ascii="Times New Roman" w:cs="Times New Roman" w:eastAsia="Times New Roman" w:hAnsi="Times New Roman"/>
          <w:b/>
          <w:bCs/>
          <w:i/>
          <w:iCs/>
          <w:sz w:val="20"/>
          <w:szCs w:val="20"/>
        </w:rPr>
        <w:t xml:space="preserve">C.  Agent 3: RAG Indexing and Retrieval (ChromaDB)</w:t>
      </w:r>
    </w:p>
    <w:p>
      <w:pPr>
        <w:spacing w:after="60" w:before="0" w:line="240" w:lineRule="auto"/>
        <w:ind w:firstLine="360"/>
        <w:jc w:val="both"/>
      </w:pPr>
      <w:r>
        <w:rPr>
          <w:rFonts w:ascii="Times New Roman" w:cs="Times New Roman" w:eastAsia="Times New Roman" w:hAnsi="Times New Roman"/>
          <w:sz w:val="20"/>
          <w:szCs w:val="20"/>
        </w:rPr>
        <w:t xml:space="preserve">The rag_node serialises each evidence item to a multi-line text document comprising: kind, title, authors, source name, snippet, and metric label/value. Fig. 3 illustrates the embedding and retrieval flow.</w:t>
      </w:r>
    </w:p>
    <w:p>
      <w:pPr>
        <w:spacing w:after="40" w:before="80"/>
      </w:pPr>
    </w:p>
    <w:tbl>
      <w:tblPr>
        <w:tblW w:type="dxa" w:w="8640"/>
        <w:tblBorders>
          <w:top w:val="single" w:color="CCCCCC" w:sz="4"/>
          <w:left w:val="single" w:color="CCCCCC" w:sz="4"/>
          <w:bottom w:val="single" w:color="CCCCCC" w:sz="4"/>
          <w:right w:val="single" w:color="CCCCCC"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evidence_text(item) x N</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EmbeddingProvider.embed()</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Primary: sentence-transformers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all-MiniLM-L6-v2 (384-dim)</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Fallback: SHA-256 hash embed</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ChromaDB.upsert()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id = SHA-1(doi|kind|url|idx)</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where: {paper_title: title}</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ChromaDB.query()</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query = title+abstract+topics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+impact keywords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n_results = min(6, len(ev))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rag_contexts[] -&gt; synthesis</w:t>
            </w:r>
          </w:p>
        </w:tc>
      </w:tr>
    </w:tbl>
    <w:p>
      <w:pPr>
        <w:spacing w:after="120" w:before="60" w:line="240" w:lineRule="auto"/>
        <w:jc w:val="center"/>
      </w:pPr>
      <w:r>
        <w:rPr>
          <w:rFonts w:ascii="Times New Roman" w:cs="Times New Roman" w:eastAsia="Times New Roman" w:hAnsi="Times New Roman"/>
          <w:i/>
          <w:iCs/>
          <w:sz w:val="18"/>
          <w:szCs w:val="18"/>
        </w:rPr>
        <w:t xml:space="preserve">Fig. 3.  RAG indexing and retrieval pipeline. paper_title metadata scoping prevents cross-contamination between different papers' evidence in the shared collection.</w:t>
      </w:r>
    </w:p>
    <w:p>
      <w:pPr>
        <w:spacing w:after="60" w:before="0" w:line="240" w:lineRule="auto"/>
        <w:ind w:firstLine="360"/>
        <w:jc w:val="both"/>
      </w:pPr>
      <w:r>
        <w:rPr>
          <w:rFonts w:ascii="Times New Roman" w:cs="Times New Roman" w:eastAsia="Times New Roman" w:hAnsi="Times New Roman"/>
          <w:sz w:val="20"/>
          <w:szCs w:val="20"/>
        </w:rPr>
        <w:t xml:space="preserve">The EmbeddingProvider implements lazy loading of sentence-transformers [10], specifically all-MiniLM-L6-v2, producing 384-dimensional L2-normalised embeddings. The deterministic SHA-256 hash fallback maps each token to a vector dimension via the high bytes of its digest, enabling RAG in minimal environments without PyTorch. Documents are upserted with stable SHA-1 IDs derived from doi|kind|url|index, ensuring idempotent re-indexing across repeated analyses.</w:t>
      </w:r>
    </w:p>
    <w:p>
      <w:pPr>
        <w:spacing w:after="40" w:before="120" w:line="240" w:lineRule="auto"/>
        <w:jc w:val="left"/>
      </w:pPr>
      <w:r>
        <w:rPr>
          <w:rFonts w:ascii="Times New Roman" w:cs="Times New Roman" w:eastAsia="Times New Roman" w:hAnsi="Times New Roman"/>
          <w:b/>
          <w:bCs/>
          <w:i/>
          <w:iCs/>
          <w:sz w:val="20"/>
          <w:szCs w:val="20"/>
        </w:rPr>
        <w:t xml:space="preserve">D.  Agent 4: Synthesis (Gemini API)</w:t>
      </w:r>
    </w:p>
    <w:p>
      <w:pPr>
        <w:spacing w:after="60" w:before="0" w:line="240" w:lineRule="auto"/>
        <w:ind w:firstLine="360"/>
        <w:jc w:val="both"/>
      </w:pPr>
      <w:r>
        <w:rPr>
          <w:rFonts w:ascii="Times New Roman" w:cs="Times New Roman" w:eastAsia="Times New Roman" w:hAnsi="Times New Roman"/>
          <w:sz w:val="20"/>
          <w:szCs w:val="20"/>
        </w:rPr>
        <w:t xml:space="preserve">The synthesis_node calls generate_impact_summary() from llm.py, constructing a structured two-part prompt for Gemini-2.5-flash [9]. The system prompt instructs Gemini to act as “a rigorous research impact analyst writing for academic audiences,” grounding every claim in provided evidence and acknowledging uncertainty when evidence is limited. The user prompt supplies paper title, authors, year, citation count, topics, up to 12 annotated evidence items ([KIND] title (source, year)—snippet), and up to 5 RAG context chunks. Gemini is instructed to write approximately 200 words, opening with the paper’s core contribution and being honest about uncertainty.</w:t>
      </w:r>
    </w:p>
    <w:p>
      <w:pPr>
        <w:spacing w:after="60" w:before="0" w:line="240" w:lineRule="auto"/>
        <w:ind w:firstLine="360"/>
        <w:jc w:val="both"/>
      </w:pPr>
      <w:r>
        <w:rPr>
          <w:rFonts w:ascii="Times New Roman" w:cs="Times New Roman" w:eastAsia="Times New Roman" w:hAnsi="Times New Roman"/>
          <w:sz w:val="20"/>
          <w:szCs w:val="20"/>
        </w:rPr>
        <w:t xml:space="preserve">The _complete() async helper in llm.py converts OpenAI-style message lists to Gemini’s generateContent format, where system messages become systemInstruction and user/assistant messages become contents with role: “user”/“model”. Temperature is set to 0.3 for controlled generation. API failures append to a module-level ring buffer (_last_llm_error, max 5 entries) surfaced in the API response’s limitations field. When GOOGLE_API_KEY is absent, a deterministic template is used that embeds citation count, the first three evidence item titles, and an explicit traceability disclaimer.</w:t>
      </w:r>
    </w:p>
    <w:p>
      <w:pPr>
        <w:spacing w:after="60" w:before="0" w:line="240" w:lineRule="auto"/>
        <w:ind w:firstLine="360"/>
        <w:jc w:val="both"/>
      </w:pPr>
      <w:r>
        <w:rPr>
          <w:rFonts w:ascii="Times New Roman" w:cs="Times New Roman" w:eastAsia="Times New Roman" w:hAnsi="Times New Roman"/>
          <w:sz w:val="20"/>
          <w:szCs w:val="20"/>
        </w:rPr>
        <w:t xml:space="preserve">Four structured ImpactSections are generated deterministically to ensure consistency regardless of LLM availability: Research Influence (citation count, RAG chunk count), Applications (OpenAlex topic labels), Technical Adoption (GitHub repository lead count), and Access &amp; Funding (full-text link count and funder signal count).</w:t>
      </w:r>
    </w:p>
    <w:p>
      <w:pPr>
        <w:spacing w:after="40" w:before="120" w:line="240" w:lineRule="auto"/>
        <w:jc w:val="left"/>
      </w:pPr>
      <w:r>
        <w:rPr>
          <w:rFonts w:ascii="Times New Roman" w:cs="Times New Roman" w:eastAsia="Times New Roman" w:hAnsi="Times New Roman"/>
          <w:b/>
          <w:bCs/>
          <w:i/>
          <w:iCs/>
          <w:sz w:val="20"/>
          <w:szCs w:val="20"/>
        </w:rPr>
        <w:t xml:space="preserve">E.  Faithfulness Guardrail (Gemini-as-Judge)</w:t>
      </w:r>
    </w:p>
    <w:p>
      <w:pPr>
        <w:spacing w:after="60" w:before="0" w:line="240" w:lineRule="auto"/>
        <w:ind w:firstLine="360"/>
        <w:jc w:val="both"/>
      </w:pPr>
      <w:r>
        <w:rPr>
          <w:rFonts w:ascii="Times New Roman" w:cs="Times New Roman" w:eastAsia="Times New Roman" w:hAnsi="Times New Roman"/>
          <w:sz w:val="20"/>
          <w:szCs w:val="20"/>
        </w:rPr>
        <w:t xml:space="preserve">The faithfulness guardrail is adapted from RAGAS faithfulness methodology [4]. Fig. 4 illustrates the evaluation flow.</w:t>
      </w:r>
    </w:p>
    <w:p>
      <w:pPr>
        <w:spacing w:after="40" w:before="80"/>
      </w:pPr>
    </w:p>
    <w:tbl>
      <w:tblPr>
        <w:tblW w:type="dxa" w:w="8640"/>
        <w:tblBorders>
          <w:top w:val="single" w:color="CCCCCC" w:sz="4"/>
          <w:left w:val="single" w:color="CCCCCC" w:sz="4"/>
          <w:bottom w:val="single" w:color="CCCCCC" w:sz="4"/>
          <w:right w:val="single" w:color="CCCCCC"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Generated summary</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evidence[:10] snippets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Gemini judge prompt: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"Rate faithfulness 0-10</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(integer only)"</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temp=0.3, max_tokens=5</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re.search(r'\d+', output)</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______|______</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int found    no match</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score/10.0   heuristic:</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0.45 + overlap</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cite + rag</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 topic bonus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v</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guardrail_status:</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&gt;= 0.75 -&gt; "passed"</w:t>
            </w:r>
          </w:p>
        </w:tc>
      </w:tr>
      <w:tr>
        <w:tc>
          <w:tcPr>
            <w:tcW w:type="dxa" w:w="864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before="0" w:line="220" w:lineRule="auto"/>
            </w:pPr>
            <w:r>
              <w:rPr>
                <w:rFonts w:ascii="Courier New" w:cs="Courier New" w:eastAsia="Courier New" w:hAnsi="Courier New"/>
                <w:color w:val="000000"/>
                <w:sz w:val="16"/>
                <w:szCs w:val="16"/>
              </w:rPr>
              <w:t xml:space="preserve">  &lt;  0.75 -&gt; "review"</w:t>
            </w:r>
          </w:p>
        </w:tc>
      </w:tr>
    </w:tbl>
    <w:p>
      <w:pPr>
        <w:spacing w:after="120" w:before="60" w:line="240" w:lineRule="auto"/>
        <w:jc w:val="center"/>
      </w:pPr>
      <w:r>
        <w:rPr>
          <w:rFonts w:ascii="Times New Roman" w:cs="Times New Roman" w:eastAsia="Times New Roman" w:hAnsi="Times New Roman"/>
          <w:i/>
          <w:iCs/>
          <w:sz w:val="18"/>
          <w:szCs w:val="18"/>
        </w:rPr>
        <w:t xml:space="preserve">Fig. 4.  Faithfulness guardrail flow. Gemini acts as judge at temperature 0.3. The heuristic fallback activates when GOOGLE_API_KEY is absent.</w:t>
      </w:r>
    </w:p>
    <w:p>
      <w:pPr>
        <w:spacing w:after="60" w:before="0" w:line="240" w:lineRule="auto"/>
        <w:ind w:firstLine="360"/>
        <w:jc w:val="both"/>
      </w:pPr>
      <w:r>
        <w:rPr>
          <w:rFonts w:ascii="Times New Roman" w:cs="Times New Roman" w:eastAsia="Times New Roman" w:hAnsi="Times New Roman"/>
          <w:sz w:val="20"/>
          <w:szCs w:val="20"/>
        </w:rPr>
        <w:t xml:space="preserve">The heuristic fallback score is computed as: base 0.45 + min(0.30, overlap × 0.35) + 0.08 (if citation_count &gt; 0) + 0.07 (if rag_contexts) + 0.04 (if topics), capped at 0.91. The overlap term measures the fraction of summary tokens (length &gt; 4) appearing in the concatenated evidence text.</w:t>
      </w:r>
    </w:p>
    <w:p>
      <w:pPr>
        <w:spacing w:after="40" w:before="120" w:line="240" w:lineRule="auto"/>
        <w:jc w:val="left"/>
      </w:pPr>
      <w:r>
        <w:rPr>
          <w:rFonts w:ascii="Times New Roman" w:cs="Times New Roman" w:eastAsia="Times New Roman" w:hAnsi="Times New Roman"/>
          <w:b/>
          <w:bCs/>
          <w:i/>
          <w:iCs/>
          <w:sz w:val="20"/>
          <w:szCs w:val="20"/>
        </w:rPr>
        <w:t xml:space="preserve">F.  Agent 5: REF Case Study Generation</w:t>
      </w:r>
    </w:p>
    <w:p>
      <w:pPr>
        <w:spacing w:after="60" w:before="0" w:line="240" w:lineRule="auto"/>
        <w:ind w:firstLine="360"/>
        <w:jc w:val="both"/>
      </w:pPr>
      <w:r>
        <w:rPr>
          <w:rFonts w:ascii="Times New Roman" w:cs="Times New Roman" w:eastAsia="Times New Roman" w:hAnsi="Times New Roman"/>
          <w:sz w:val="20"/>
          <w:szCs w:val="20"/>
        </w:rPr>
        <w:t xml:space="preserve">The ref_node calls generate_ref_report() with a REF-expert system prompt instructing Gemini to produce approximately 400 words of formal academic prose following the four Research England headings: Summary of Impact, Underpinning Research, Details of Impact, and References to the Research. The prompt includes all retrieved evidence items, the already-generated impact summary, and the total citation count. A deterministic four-section template serves as fallback when the API is unavailable.</w:t>
      </w:r>
    </w:p>
    <w:p>
      <w:pPr>
        <w:spacing w:after="40" w:before="120" w:line="240" w:lineRule="auto"/>
        <w:jc w:val="left"/>
      </w:pPr>
      <w:r>
        <w:rPr>
          <w:rFonts w:ascii="Times New Roman" w:cs="Times New Roman" w:eastAsia="Times New Roman" w:hAnsi="Times New Roman"/>
          <w:b/>
          <w:bCs/>
          <w:i/>
          <w:iCs/>
          <w:sz w:val="20"/>
          <w:szCs w:val="20"/>
        </w:rPr>
        <w:t xml:space="preserve">G.  Glass-Box UI Design</w:t>
      </w:r>
    </w:p>
    <w:p>
      <w:pPr>
        <w:spacing w:after="60" w:before="0" w:line="240" w:lineRule="auto"/>
        <w:ind w:firstLine="360"/>
        <w:jc w:val="both"/>
      </w:pPr>
      <w:r>
        <w:rPr>
          <w:rFonts w:ascii="Times New Roman" w:cs="Times New Roman" w:eastAsia="Times New Roman" w:hAnsi="Times New Roman"/>
          <w:sz w:val="20"/>
          <w:szCs w:val="20"/>
        </w:rPr>
        <w:t xml:space="preserve">The Dashboard component implements the glass-box principle by presenting AI narratives and all retrieved evidence simultaneously. Agent status pills display real-time execution state (pending/running/complete/warning/error). The evidence panel provides filterable cards by kind (citation, code, full_text, funding, patent) with source name, URL, year, authors, snippet, and metric value. A timestamped trace log renders every agent action with its structured data payload. The faithfulness score is displayed as a colour-coded badge: green (≥ 0.85), amber (≥ 0.70), red (below 0.70).</w:t>
      </w:r>
    </w:p>
    <w:p>
      <w:pPr>
        <w:spacing w:after="60" w:before="180" w:line="240" w:lineRule="auto"/>
        <w:jc w:val="center"/>
      </w:pPr>
      <w:r>
        <w:rPr>
          <w:rFonts w:ascii="Times New Roman" w:cs="Times New Roman" w:eastAsia="Times New Roman" w:hAnsi="Times New Roman"/>
          <w:b/>
          <w:bCs/>
          <w:caps/>
          <w:sz w:val="20"/>
          <w:szCs w:val="20"/>
        </w:rPr>
        <w:t xml:space="preserve">V.  Implementation</w:t>
      </w:r>
    </w:p>
    <w:p>
      <w:pPr>
        <w:spacing w:after="40" w:before="120" w:line="240" w:lineRule="auto"/>
        <w:jc w:val="left"/>
      </w:pPr>
      <w:r>
        <w:rPr>
          <w:rFonts w:ascii="Times New Roman" w:cs="Times New Roman" w:eastAsia="Times New Roman" w:hAnsi="Times New Roman"/>
          <w:b/>
          <w:bCs/>
          <w:i/>
          <w:iCs/>
          <w:sz w:val="20"/>
          <w:szCs w:val="20"/>
        </w:rPr>
        <w:t xml:space="preserve">A.  Technology Stack</w:t>
      </w:r>
    </w:p>
    <w:p>
      <w:pPr>
        <w:spacing w:after="60" w:before="0" w:line="240" w:lineRule="auto"/>
        <w:ind w:firstLine="360"/>
        <w:jc w:val="both"/>
      </w:pPr>
      <w:r>
        <w:rPr>
          <w:rFonts w:ascii="Times New Roman" w:cs="Times New Roman" w:eastAsia="Times New Roman" w:hAnsi="Times New Roman"/>
          <w:sz w:val="20"/>
          <w:szCs w:val="20"/>
        </w:rPr>
        <w:t xml:space="preserve">Backend: Python 3.11, FastAPI 0.115.6, Uvicorn 0.32.1, httpx 0.28.1, Pydantic 2.10.3, LangGraph 1.2.0, ChromaDB 1.5.9, sentence-transformers 3.4.1. Frontend: React 18, TypeScript 5, Vite 5, React Router 6, Lucide React. LLM: Google Gemini API (gemini-2.5-flash) via direct REST HTTP calls to the Generative Language API. Infrastructure: Docker, Docker Compose, Nginx.</w:t>
      </w:r>
    </w:p>
    <w:p>
      <w:pPr>
        <w:spacing w:after="40" w:before="120" w:line="240" w:lineRule="auto"/>
        <w:jc w:val="left"/>
      </w:pPr>
      <w:r>
        <w:rPr>
          <w:rFonts w:ascii="Times New Roman" w:cs="Times New Roman" w:eastAsia="Times New Roman" w:hAnsi="Times New Roman"/>
          <w:b/>
          <w:bCs/>
          <w:i/>
          <w:iCs/>
          <w:sz w:val="20"/>
          <w:szCs w:val="20"/>
        </w:rPr>
        <w:t xml:space="preserve">B.  Fault Tolerance Strategy</w:t>
      </w:r>
    </w:p>
    <w:p>
      <w:pPr>
        <w:spacing w:after="60" w:before="0" w:line="240" w:lineRule="auto"/>
        <w:ind w:firstLine="360"/>
        <w:jc w:val="both"/>
      </w:pPr>
      <w:r>
        <w:rPr>
          <w:rFonts w:ascii="Times New Roman" w:cs="Times New Roman" w:eastAsia="Times New Roman" w:hAnsi="Times New Roman"/>
          <w:sz w:val="20"/>
          <w:szCs w:val="20"/>
        </w:rPr>
        <w:t xml:space="preserve">Every external API call is wrapped in try/except. Failures produce warning-state AgentStatus entries and return empty/default values, allowing the pipeline to continue. The fault tolerance matrix is: CrossRef failure → raw query used as title; Semantic Scholar failure → OpenAlex fallback activated; OpenAlex enrichment failure → no topics or full-text links; GitHub failure → no code evidence; Google Patents failure → no patent evidence; Gemini failure → deterministic template used. This ensures the system always returns a response, even under complete external API outage.</w:t>
      </w:r>
    </w:p>
    <w:p>
      <w:pPr>
        <w:spacing w:after="40" w:before="120" w:line="240" w:lineRule="auto"/>
        <w:jc w:val="left"/>
      </w:pPr>
      <w:r>
        <w:rPr>
          <w:rFonts w:ascii="Times New Roman" w:cs="Times New Roman" w:eastAsia="Times New Roman" w:hAnsi="Times New Roman"/>
          <w:b/>
          <w:bCs/>
          <w:i/>
          <w:iCs/>
          <w:sz w:val="20"/>
          <w:szCs w:val="20"/>
        </w:rPr>
        <w:t xml:space="preserve">C.  Concurrency Model</w:t>
      </w:r>
    </w:p>
    <w:p>
      <w:pPr>
        <w:spacing w:after="60" w:before="0" w:line="240" w:lineRule="auto"/>
        <w:ind w:firstLine="360"/>
        <w:jc w:val="both"/>
      </w:pPr>
      <w:r>
        <w:rPr>
          <w:rFonts w:ascii="Times New Roman" w:cs="Times New Roman" w:eastAsia="Times New Roman" w:hAnsi="Times New Roman"/>
          <w:sz w:val="20"/>
          <w:szCs w:val="20"/>
        </w:rPr>
        <w:t xml:space="preserve">The FastAPI application is fully async, enabling concurrent request handling via Uvicorn’s event loop. Within each request, asyncio.gather is used in retrieval_node to execute five API calls concurrently, capping retrieval latency at the slowest single API rather than the sum. ChromaDB operations (synchronous) run in asyncio.to_thread in the rag_node to avoid blocking the event loop.</w:t>
      </w:r>
    </w:p>
    <w:p>
      <w:pPr>
        <w:spacing w:after="40" w:before="120" w:line="240" w:lineRule="auto"/>
        <w:jc w:val="left"/>
      </w:pPr>
      <w:r>
        <w:rPr>
          <w:rFonts w:ascii="Times New Roman" w:cs="Times New Roman" w:eastAsia="Times New Roman" w:hAnsi="Times New Roman"/>
          <w:b/>
          <w:bCs/>
          <w:i/>
          <w:iCs/>
          <w:sz w:val="20"/>
          <w:szCs w:val="20"/>
        </w:rPr>
        <w:t xml:space="preserve">D.  Data Validation</w:t>
      </w:r>
    </w:p>
    <w:p>
      <w:pPr>
        <w:spacing w:after="60" w:before="0" w:line="240" w:lineRule="auto"/>
        <w:ind w:firstLine="360"/>
        <w:jc w:val="both"/>
      </w:pPr>
      <w:r>
        <w:rPr>
          <w:rFonts w:ascii="Times New Roman" w:cs="Times New Roman" w:eastAsia="Times New Roman" w:hAnsi="Times New Roman"/>
          <w:sz w:val="20"/>
          <w:szCs w:val="20"/>
        </w:rPr>
        <w:t xml:space="preserve">All request and response data is validated by Pydantic v2 BaseModel schemas. AnalyzeRequest.query enforces a 2–500 character constraint. AnalyzeResponse uses Field(default_factory=list) for all list fields and string defaults for model_provider, guardrail_status, and ref_report, ensuring valid JSON responses even when pipeline agents fail.</w:t>
      </w:r>
    </w:p>
    <w:p>
      <w:pPr>
        <w:spacing w:after="40" w:before="120" w:line="240" w:lineRule="auto"/>
        <w:jc w:val="left"/>
      </w:pPr>
      <w:r>
        <w:rPr>
          <w:rFonts w:ascii="Times New Roman" w:cs="Times New Roman" w:eastAsia="Times New Roman" w:hAnsi="Times New Roman"/>
          <w:b/>
          <w:bCs/>
          <w:i/>
          <w:iCs/>
          <w:sz w:val="20"/>
          <w:szCs w:val="20"/>
        </w:rPr>
        <w:t xml:space="preserve">E.  Client-Side Caching</w:t>
      </w:r>
    </w:p>
    <w:p>
      <w:pPr>
        <w:spacing w:after="60" w:before="0" w:line="240" w:lineRule="auto"/>
        <w:ind w:firstLine="360"/>
        <w:jc w:val="both"/>
      </w:pPr>
      <w:r>
        <w:rPr>
          <w:rFonts w:ascii="Times New Roman" w:cs="Times New Roman" w:eastAsia="Times New Roman" w:hAnsi="Times New Roman"/>
          <w:sz w:val="20"/>
          <w:szCs w:val="20"/>
        </w:rPr>
        <w:t xml:space="preserve">The Dashboard component caches full API responses in browser localStorage keyed by cache_{query}. On submit, the cache is checked before any network request, eliminating redundant API calls for repeated queries. The cache has no TTL in the current implementation.</w:t>
      </w:r>
    </w:p>
    <w:p>
      <w:pPr>
        <w:spacing w:after="40" w:before="120" w:line="240" w:lineRule="auto"/>
        <w:jc w:val="left"/>
      </w:pPr>
      <w:r>
        <w:rPr>
          <w:rFonts w:ascii="Times New Roman" w:cs="Times New Roman" w:eastAsia="Times New Roman" w:hAnsi="Times New Roman"/>
          <w:b/>
          <w:bCs/>
          <w:i/>
          <w:iCs/>
          <w:sz w:val="20"/>
          <w:szCs w:val="20"/>
        </w:rPr>
        <w:t xml:space="preserve">F.  Containerisation</w:t>
      </w:r>
    </w:p>
    <w:p>
      <w:pPr>
        <w:spacing w:after="60" w:before="0" w:line="240" w:lineRule="auto"/>
        <w:ind w:firstLine="360"/>
        <w:jc w:val="both"/>
      </w:pPr>
      <w:r>
        <w:rPr>
          <w:rFonts w:ascii="Times New Roman" w:cs="Times New Roman" w:eastAsia="Times New Roman" w:hAnsi="Times New Roman"/>
          <w:sz w:val="20"/>
          <w:szCs w:val="20"/>
        </w:rPr>
        <w:t xml:space="preserve">The backend Dockerfile packages the Python environment and runs Uvicorn on port 8000. The frontend Dockerfile uses a multi-stage build: Vite compiles the TypeScript SPA to static assets, which Nginx serves on port 80. Docker Compose orchestrates both services with the backend exposed at /api and the frontend at the root.</w:t>
      </w:r>
    </w:p>
    <w:p>
      <w:pPr>
        <w:spacing w:after="60" w:before="180" w:line="240" w:lineRule="auto"/>
        <w:jc w:val="center"/>
      </w:pPr>
      <w:r>
        <w:rPr>
          <w:rFonts w:ascii="Times New Roman" w:cs="Times New Roman" w:eastAsia="Times New Roman" w:hAnsi="Times New Roman"/>
          <w:b/>
          <w:bCs/>
          <w:caps/>
          <w:sz w:val="20"/>
          <w:szCs w:val="20"/>
        </w:rPr>
        <w:t xml:space="preserve">VI.  Evaluation</w:t>
      </w:r>
    </w:p>
    <w:p>
      <w:pPr>
        <w:spacing w:after="40" w:before="120" w:line="240" w:lineRule="auto"/>
        <w:jc w:val="left"/>
      </w:pPr>
      <w:r>
        <w:rPr>
          <w:rFonts w:ascii="Times New Roman" w:cs="Times New Roman" w:eastAsia="Times New Roman" w:hAnsi="Times New Roman"/>
          <w:b/>
          <w:bCs/>
          <w:i/>
          <w:iCs/>
          <w:sz w:val="20"/>
          <w:szCs w:val="20"/>
        </w:rPr>
        <w:t xml:space="preserve">A.  Baseline Comparison Methodology</w:t>
      </w:r>
    </w:p>
    <w:p>
      <w:pPr>
        <w:spacing w:after="60" w:before="0" w:line="240" w:lineRule="auto"/>
        <w:ind w:firstLine="360"/>
        <w:jc w:val="both"/>
      </w:pPr>
      <w:r>
        <w:rPr>
          <w:rFonts w:ascii="Times New Roman" w:cs="Times New Roman" w:eastAsia="Times New Roman" w:hAnsi="Times New Roman"/>
          <w:sz w:val="20"/>
          <w:szCs w:val="20"/>
        </w:rPr>
        <w:t xml:space="preserve">An evaluation harness (evaluation.py) compares the agentic pipeline against a traditional single-source baseline. The baseline: (1) queries CrossRef only; (2) uses the abstract as sole evidence; (3) sends a single Gemini call with title, abstract, and citation count; (4) performs no RAG, no multi-source retrieval, and no agent orchestration. Metrics collected for both approaches: faithfulness_score (Gemini-as-judge, 0–1), evidence_count (distinct items retrieved), sources_used (list of API names), word_count (words in summary), and elapsed_seconds.</w:t>
      </w:r>
    </w:p>
    <w:p>
      <w:pPr>
        <w:spacing w:after="40" w:before="120" w:line="240" w:lineRule="auto"/>
        <w:jc w:val="left"/>
      </w:pPr>
      <w:r>
        <w:rPr>
          <w:rFonts w:ascii="Times New Roman" w:cs="Times New Roman" w:eastAsia="Times New Roman" w:hAnsi="Times New Roman"/>
          <w:b/>
          <w:bCs/>
          <w:i/>
          <w:iCs/>
          <w:sz w:val="20"/>
          <w:szCs w:val="20"/>
        </w:rPr>
        <w:t xml:space="preserve">B.  Quantitative Results</w:t>
      </w:r>
    </w:p>
    <w:p>
      <w:pPr>
        <w:spacing w:after="60" w:before="0" w:line="240" w:lineRule="auto"/>
        <w:ind w:firstLine="360"/>
        <w:jc w:val="both"/>
      </w:pPr>
      <w:r>
        <w:rPr>
          <w:rFonts w:ascii="Times New Roman" w:cs="Times New Roman" w:eastAsia="Times New Roman" w:hAnsi="Times New Roman"/>
          <w:sz w:val="20"/>
          <w:szCs w:val="20"/>
        </w:rPr>
        <w:t xml:space="preserve">Table I summarises the comparative results for a highly-cited paper (DQN, DOI: 10.1038/nature14539). The agentic pipeline consistently retrieved 28–35 unique evidence items vs. 1 for the baseline, while maintaining comparable or higher faithfulness scores.</w:t>
      </w:r>
    </w:p>
    <w:p>
      <w:pPr>
        <w:spacing w:after="40" w:before="80"/>
      </w:pPr>
    </w:p>
    <w:p>
      <w:pPr>
        <w:spacing w:after="60" w:before="0"/>
        <w:jc w:val="center"/>
      </w:pPr>
      <w:r>
        <w:rPr>
          <w:rFonts w:ascii="Times New Roman" w:cs="Times New Roman" w:eastAsia="Times New Roman" w:hAnsi="Times New Roman"/>
          <w:b/>
          <w:bCs/>
          <w:sz w:val="18"/>
          <w:szCs w:val="18"/>
        </w:rPr>
        <w:t xml:space="preserve">TABLE I.  Agentic Pipeline vs. Single-Source Baseline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240"/>
      </w:tblGrid>
      <w:tr>
        <w:tc>
          <w:tcPr>
            <w:tcW w:type="dxa" w:w="2160"/>
            <w:tcBorders>
              <w:top w:val="single" w:color="CCCCCC" w:sz="4"/>
              <w:left w:val="single" w:color="CCCCCC" w:sz="4"/>
              <w:bottom w:val="single" w:color="CCCCCC" w:sz="4"/>
              <w:right w:val="single" w:color="CCCCCC" w:sz="4"/>
            </w:tcBorders>
            <w:shd w:fill="003366"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Metric</w:t>
            </w:r>
          </w:p>
        </w:tc>
        <w:tc>
          <w:tcPr>
            <w:tcW w:type="dxa" w:w="3240"/>
            <w:tcBorders>
              <w:top w:val="single" w:color="CCCCCC" w:sz="4"/>
              <w:left w:val="single" w:color="CCCCCC" w:sz="4"/>
              <w:bottom w:val="single" w:color="CCCCCC" w:sz="4"/>
              <w:right w:val="single" w:color="CCCCCC" w:sz="4"/>
            </w:tcBorders>
            <w:shd w:fill="003366"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Agentic Pipeline</w:t>
            </w:r>
          </w:p>
        </w:tc>
        <w:tc>
          <w:tcPr>
            <w:tcW w:type="dxa" w:w="3240"/>
            <w:tcBorders>
              <w:top w:val="single" w:color="CCCCCC" w:sz="4"/>
              <w:left w:val="single" w:color="CCCCCC" w:sz="4"/>
              <w:bottom w:val="single" w:color="CCCCCC" w:sz="4"/>
              <w:right w:val="single" w:color="CCCCCC" w:sz="4"/>
            </w:tcBorders>
            <w:shd w:fill="003366"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Baseline</w:t>
            </w:r>
          </w:p>
        </w:tc>
      </w:tr>
      <w:tr>
        <w:tc>
          <w:tcPr>
            <w:tcW w:type="dxa" w:w="216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Evidence items</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28-35 (median ~30)</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 (abstract only)</w:t>
            </w:r>
          </w:p>
        </w:tc>
      </w:tr>
      <w:tr>
        <w:tc>
          <w:tcPr>
            <w:tcW w:type="dxa" w:w="216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Sources queried</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 (CrossRef, Scholar, OpenAlex, GitHub, Patents)</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 (CrossRef)</w:t>
            </w:r>
          </w:p>
        </w:tc>
      </w:tr>
      <w:tr>
        <w:tc>
          <w:tcPr>
            <w:tcW w:type="dxa" w:w="216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Faithfulness (Gemini)</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0.70 - 0.90</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0.55 - 0.75</w:t>
            </w:r>
          </w:p>
        </w:tc>
      </w:tr>
      <w:tr>
        <w:tc>
          <w:tcPr>
            <w:tcW w:type="dxa" w:w="216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REF Case Study</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Yes (4 sections)</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w:t>
            </w:r>
          </w:p>
        </w:tc>
      </w:tr>
      <w:tr>
        <w:tc>
          <w:tcPr>
            <w:tcW w:type="dxa" w:w="216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RAG Contexts</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Up to 6 chunks</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None</w:t>
            </w:r>
          </w:p>
        </w:tc>
      </w:tr>
      <w:tr>
        <w:tc>
          <w:tcPr>
            <w:tcW w:type="dxa" w:w="216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Latency</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15 - 25 seconds</w:t>
            </w:r>
          </w:p>
        </w:tc>
        <w:tc>
          <w:tcPr>
            <w:tcW w:type="dxa" w:w="3240"/>
            <w:tcBorders>
              <w:top w:val="single" w:color="CCCCCC" w:sz="4"/>
              <w:left w:val="single" w:color="CCCCCC" w:sz="4"/>
              <w:bottom w:val="single" w:color="CCCCCC" w:sz="4"/>
              <w:right w:val="single" w:color="CCCCCC"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3 - 6 seconds</w:t>
            </w:r>
          </w:p>
        </w:tc>
      </w:tr>
      <w:tr>
        <w:tc>
          <w:tcPr>
            <w:tcW w:type="dxa" w:w="216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Running Cost</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Near zero (public APIs)</w:t>
            </w:r>
          </w:p>
        </w:tc>
        <w:tc>
          <w:tcPr>
            <w:tcW w:type="dxa" w:w="3240"/>
            <w:tcBorders>
              <w:top w:val="single" w:color="CCCCCC" w:sz="4"/>
              <w:left w:val="single" w:color="CCCCCC" w:sz="4"/>
              <w:bottom w:val="single" w:color="CCCCCC" w:sz="4"/>
              <w:right w:val="single" w:color="CCCCCC" w:sz="4"/>
            </w:tcBorders>
            <w:shd w:fill="F2F2F2" w:val="clear"/>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Near zero</w:t>
            </w:r>
          </w:p>
        </w:tc>
      </w:tr>
    </w:tbl>
    <w:p>
      <w:pPr>
        <w:spacing w:after="0" w:before="80"/>
      </w:pPr>
    </w:p>
    <w:p>
      <w:pPr>
        <w:spacing w:after="40" w:before="120" w:line="240" w:lineRule="auto"/>
        <w:jc w:val="left"/>
      </w:pPr>
      <w:r>
        <w:rPr>
          <w:rFonts w:ascii="Times New Roman" w:cs="Times New Roman" w:eastAsia="Times New Roman" w:hAnsi="Times New Roman"/>
          <w:b/>
          <w:bCs/>
          <w:i/>
          <w:iCs/>
          <w:sz w:val="20"/>
          <w:szCs w:val="20"/>
        </w:rPr>
        <w:t xml:space="preserve">C.  Faithfulness Score Analysis</w:t>
      </w:r>
    </w:p>
    <w:p>
      <w:pPr>
        <w:spacing w:after="60" w:before="0" w:line="240" w:lineRule="auto"/>
        <w:ind w:firstLine="360"/>
        <w:jc w:val="both"/>
      </w:pPr>
      <w:r>
        <w:rPr>
          <w:rFonts w:ascii="Times New Roman" w:cs="Times New Roman" w:eastAsia="Times New Roman" w:hAnsi="Times New Roman"/>
          <w:sz w:val="20"/>
          <w:szCs w:val="20"/>
        </w:rPr>
        <w:t xml:space="preserve">The faithfulness guardrail reflects genuine evidence-grounding. When Semantic Scholar and OpenAlex return rich results with snippets, the Gemini-as-judge typically assigns scores of 0.70–0.90. For obscure papers where API coverage is limited, scores fall to 0.50–0.65, correctly triggering the “review” guardrail status and surfacing limitations to the user. This graduated response is the intended behaviour: the system communicates confidence alongside its outputs.</w:t>
      </w:r>
    </w:p>
    <w:p>
      <w:pPr>
        <w:spacing w:after="40" w:before="120" w:line="240" w:lineRule="auto"/>
        <w:jc w:val="left"/>
      </w:pPr>
      <w:r>
        <w:rPr>
          <w:rFonts w:ascii="Times New Roman" w:cs="Times New Roman" w:eastAsia="Times New Roman" w:hAnsi="Times New Roman"/>
          <w:b/>
          <w:bCs/>
          <w:i/>
          <w:iCs/>
          <w:sz w:val="20"/>
          <w:szCs w:val="20"/>
        </w:rPr>
        <w:t xml:space="preserve">D.  Latency Profile</w:t>
      </w:r>
    </w:p>
    <w:p>
      <w:pPr>
        <w:spacing w:after="60" w:before="0" w:line="240" w:lineRule="auto"/>
        <w:ind w:firstLine="360"/>
        <w:jc w:val="both"/>
      </w:pPr>
      <w:r>
        <w:rPr>
          <w:rFonts w:ascii="Times New Roman" w:cs="Times New Roman" w:eastAsia="Times New Roman" w:hAnsi="Times New Roman"/>
          <w:sz w:val="20"/>
          <w:szCs w:val="20"/>
        </w:rPr>
        <w:t xml:space="preserve">The primary latency bottleneck is the five concurrent external API calls in retrieval_node, dominated by Google Patents (8–12 seconds). ChromaDB indexing and retrieval adds 1–2 seconds. The three Gemini API calls (summary, REF, faithfulness) contribute 3–8 seconds. Total pipeline latency typically ranges from 15–25 seconds for papers with available metadata, and 5–10 seconds for obscure papers where most APIs return quickly with empty results.</w:t>
      </w:r>
    </w:p>
    <w:p>
      <w:pPr>
        <w:spacing w:after="60" w:before="180" w:line="240" w:lineRule="auto"/>
        <w:jc w:val="center"/>
      </w:pPr>
      <w:r>
        <w:rPr>
          <w:rFonts w:ascii="Times New Roman" w:cs="Times New Roman" w:eastAsia="Times New Roman" w:hAnsi="Times New Roman"/>
          <w:b/>
          <w:bCs/>
          <w:caps/>
          <w:sz w:val="20"/>
          <w:szCs w:val="20"/>
        </w:rPr>
        <w:t xml:space="preserve">VII.  Results and Discussion</w:t>
      </w:r>
    </w:p>
    <w:p>
      <w:pPr>
        <w:spacing w:after="40" w:before="120" w:line="240" w:lineRule="auto"/>
        <w:jc w:val="left"/>
      </w:pPr>
      <w:r>
        <w:rPr>
          <w:rFonts w:ascii="Times New Roman" w:cs="Times New Roman" w:eastAsia="Times New Roman" w:hAnsi="Times New Roman"/>
          <w:b/>
          <w:bCs/>
          <w:i/>
          <w:iCs/>
          <w:sz w:val="20"/>
          <w:szCs w:val="20"/>
        </w:rPr>
        <w:t xml:space="preserve">A.  Multi-Source Evidence Value</w:t>
      </w:r>
    </w:p>
    <w:p>
      <w:pPr>
        <w:spacing w:after="60" w:before="0" w:line="240" w:lineRule="auto"/>
        <w:ind w:firstLine="360"/>
        <w:jc w:val="both"/>
      </w:pPr>
      <w:r>
        <w:rPr>
          <w:rFonts w:ascii="Times New Roman" w:cs="Times New Roman" w:eastAsia="Times New Roman" w:hAnsi="Times New Roman"/>
          <w:sz w:val="20"/>
          <w:szCs w:val="20"/>
        </w:rPr>
        <w:t xml:space="preserve">The most significant finding is that multi-source retrieval substantially expands the evidence base beyond what any single database can provide. GitHub repository leads surface code adoption invisible to citation databases. Google Patents surface commercial and industrial uptake. OpenAlex funders provide investment context. This evidence type diversity more closely approximates the evidence required for REF Impact Case Studies than citation counts alone, directly addressing the problem stated in §I.</w:t>
      </w:r>
    </w:p>
    <w:p>
      <w:pPr>
        <w:spacing w:after="40" w:before="120" w:line="240" w:lineRule="auto"/>
        <w:jc w:val="left"/>
      </w:pPr>
      <w:r>
        <w:rPr>
          <w:rFonts w:ascii="Times New Roman" w:cs="Times New Roman" w:eastAsia="Times New Roman" w:hAnsi="Times New Roman"/>
          <w:b/>
          <w:bCs/>
          <w:i/>
          <w:iCs/>
          <w:sz w:val="20"/>
          <w:szCs w:val="20"/>
        </w:rPr>
        <w:t xml:space="preserve">B.  Glass-Box Trust Mechanism</w:t>
      </w:r>
    </w:p>
    <w:p>
      <w:pPr>
        <w:spacing w:after="60" w:before="0" w:line="240" w:lineRule="auto"/>
        <w:ind w:firstLine="360"/>
        <w:jc w:val="both"/>
      </w:pPr>
      <w:r>
        <w:rPr>
          <w:rFonts w:ascii="Times New Roman" w:cs="Times New Roman" w:eastAsia="Times New Roman" w:hAnsi="Times New Roman"/>
          <w:sz w:val="20"/>
          <w:szCs w:val="20"/>
        </w:rPr>
        <w:t xml:space="preserve">The glass-box design addresses hallucination differently from output filtering. Rather than attempting to detect and remove hallucinated claims post-generation, the system makes all source evidence inspectable simultaneously with the narrative. This shifts verification responsibility to the user while providing the infrastructure to make verification practical—a single click opens any evidence URL. This approach is particularly appropriate for academic use cases where attribution is a first-class concern.</w:t>
      </w:r>
    </w:p>
    <w:p>
      <w:pPr>
        <w:spacing w:after="40" w:before="120" w:line="240" w:lineRule="auto"/>
        <w:jc w:val="left"/>
      </w:pPr>
      <w:r>
        <w:rPr>
          <w:rFonts w:ascii="Times New Roman" w:cs="Times New Roman" w:eastAsia="Times New Roman" w:hAnsi="Times New Roman"/>
          <w:b/>
          <w:bCs/>
          <w:i/>
          <w:iCs/>
          <w:sz w:val="20"/>
          <w:szCs w:val="20"/>
        </w:rPr>
        <w:t xml:space="preserve">C.  Gemini-as-Judge Validity</w:t>
      </w:r>
    </w:p>
    <w:p>
      <w:pPr>
        <w:spacing w:after="60" w:before="0" w:line="240" w:lineRule="auto"/>
        <w:ind w:firstLine="360"/>
        <w:jc w:val="both"/>
      </w:pPr>
      <w:r>
        <w:rPr>
          <w:rFonts w:ascii="Times New Roman" w:cs="Times New Roman" w:eastAsia="Times New Roman" w:hAnsi="Times New Roman"/>
          <w:sz w:val="20"/>
          <w:szCs w:val="20"/>
        </w:rPr>
        <w:t xml:space="preserve">The Gemini faithfulness judge is susceptible to the sycophancy concern identified in LLM-as-judge literature [4]—LLMs may rate their own outputs favourably. The system mitigates this by using a low-temperature (0.3) prompt targeting a specific integer output, reducing the space for rationalisation. The heuristic fallback provides an independent signal when the judge is unavailable. A fuller evaluation with human raters comparing Gemini judge scores to human annotations remains future work.</w:t>
      </w:r>
    </w:p>
    <w:p>
      <w:pPr>
        <w:spacing w:after="40" w:before="120" w:line="240" w:lineRule="auto"/>
        <w:jc w:val="left"/>
      </w:pPr>
      <w:r>
        <w:rPr>
          <w:rFonts w:ascii="Times New Roman" w:cs="Times New Roman" w:eastAsia="Times New Roman" w:hAnsi="Times New Roman"/>
          <w:b/>
          <w:bCs/>
          <w:i/>
          <w:iCs/>
          <w:sz w:val="20"/>
          <w:szCs w:val="20"/>
        </w:rPr>
        <w:t xml:space="preserve">D.  Limitations</w:t>
      </w:r>
    </w:p>
    <w:p>
      <w:pPr>
        <w:spacing w:after="60" w:before="0" w:line="240" w:lineRule="auto"/>
        <w:ind w:firstLine="360"/>
        <w:jc w:val="both"/>
      </w:pPr>
      <w:r>
        <w:rPr>
          <w:rFonts w:ascii="Times New Roman" w:cs="Times New Roman" w:eastAsia="Times New Roman" w:hAnsi="Times New Roman"/>
          <w:sz w:val="20"/>
          <w:szCs w:val="20"/>
        </w:rPr>
        <w:t xml:space="preserve">The primary limitation is latency: 15–25 seconds is significant for an interactive web application. The sequential agent graph means retrieval failures silently reduce evidence quality rather than triggering retries. The localStorage authentication gate is insufficient for production without server-side session management. The Google Patents XHR API is an undocumented endpoint subject to change without notice. The heuristic faithfulness fallback is a weak proxy for genuine claim-evidence alignment.</w:t>
      </w:r>
    </w:p>
    <w:p>
      <w:pPr>
        <w:spacing w:after="60" w:before="180" w:line="240" w:lineRule="auto"/>
        <w:jc w:val="center"/>
      </w:pPr>
      <w:r>
        <w:rPr>
          <w:rFonts w:ascii="Times New Roman" w:cs="Times New Roman" w:eastAsia="Times New Roman" w:hAnsi="Times New Roman"/>
          <w:b/>
          <w:bCs/>
          <w:caps/>
          <w:sz w:val="20"/>
          <w:szCs w:val="20"/>
        </w:rPr>
        <w:t xml:space="preserve">VIII.  Conclusion and Future Work</w:t>
      </w:r>
    </w:p>
    <w:p>
      <w:pPr>
        <w:spacing w:after="60" w:before="0" w:line="240" w:lineRule="auto"/>
        <w:ind w:firstLine="360"/>
        <w:jc w:val="both"/>
      </w:pPr>
      <w:r>
        <w:rPr>
          <w:rFonts w:ascii="Times New Roman" w:cs="Times New Roman" w:eastAsia="Times New Roman" w:hAnsi="Times New Roman"/>
          <w:sz w:val="20"/>
          <w:szCs w:val="20"/>
        </w:rPr>
        <w:t xml:space="preserve">This paper presented the AI Research Impact Summariser, a production-grade agentic RAG system demonstrating that multi-source evidence retrieval, semantic embedding, and LLM synthesis can be combined to produce transparent, evidence-grounded impact analyses at near-zero cost. The system’s primary contribution is a practical glass-box architecture for agentic AI that makes AI reasoning auditable without sacrificing analytical capability.</w:t>
      </w:r>
    </w:p>
    <w:p>
      <w:pPr>
        <w:spacing w:after="60" w:before="0" w:line="240" w:lineRule="auto"/>
        <w:ind w:firstLine="360"/>
        <w:jc w:val="both"/>
      </w:pPr>
      <w:r>
        <w:rPr>
          <w:rFonts w:ascii="Times New Roman" w:cs="Times New Roman" w:eastAsia="Times New Roman" w:hAnsi="Times New Roman"/>
          <w:sz w:val="20"/>
          <w:szCs w:val="20"/>
        </w:rPr>
        <w:t xml:space="preserve">Future work directions include: (1) WebSocket streaming to deliver agent outputs incrementally, eliminating the 15–25 second wait; (2) PostgreSQL persistence for user accounts, saved analyses, and longitudinal impact tracking; (3) Celery/Redis task queuing for non-blocking analysis jobs; (4) retrieval of policy citations (via OpenAlex) and news coverage (via Altmetric API) as additional evidence kinds; (5) a RAGAS-based evaluation suite with human-annotated faithfulness ground truth for rigorous judge validation; (6) retry and conditional branching in the LangGraph graph for resilience against transient API failures; (7) full Firebase production authentication integration.</w:t>
      </w:r>
    </w:p>
    <w:p>
      <w:pPr>
        <w:spacing w:after="60" w:before="180" w:line="240" w:lineRule="auto"/>
        <w:jc w:val="center"/>
      </w:pPr>
      <w:r>
        <w:rPr>
          <w:rFonts w:ascii="Times New Roman" w:cs="Times New Roman" w:eastAsia="Times New Roman" w:hAnsi="Times New Roman"/>
          <w:b/>
          <w:bCs/>
          <w:caps/>
          <w:sz w:val="20"/>
          <w:szCs w:val="20"/>
        </w:rPr>
        <w:t xml:space="preserve">References</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[1]	P. Lewis, E. Perez, A. Piktus et al., “Retrieval-Augmented Generation for Knowledge-Intensive NLP Tasks,” in Advances in Neural Information Processing Systems (NeurIPS), 2020.</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[2]	Y. Gao, Y. Xiong, X. Gao et al., “Retrieval-Augmented Generation for Large Language Models: A Survey,” arXiv:2312.10997, 2023.</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[3]	J. Priem, H. Piwowar, and R. Orr, “OpenAlex: A fully-open index of the world’s research works, authors, venues, institutions, and concepts,” arXiv:2205.01833, 2022.</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[4]	S. Es, J. James, L. Espinosa-Anke, and S. Schockaert, “RAGAS: Automated Evaluation of Retrieval Augmented Generation,” arXiv:2309.15217, 2023.</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[5]	H. Chase, “LangGraph: Building Stateful, Multi-Actor Applications with LLMs,” LangChain Blog, 2024.</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[6]	Research England, “REF 2021: Assessment framework and guidance on submissions,” Bristol: Research England, 2019.</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[7]	Semantic Scholar Research Team, “Semantic Scholar Academic Graph API,” Allen Institute for AI, 2023. [Online]. Available: https://api.semanticscholar.org</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[8]	CrossRef, “CrossRef REST API,” CrossRef, 2024. [Online]. Available: https://api.crossref.org</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[9]	Z. Wang et al., “Gemini: A Family of Highly Capable Multimodal Models,” Google DeepMind Technical Report, 2024.</w:t>
      </w:r>
    </w:p>
    <w:p>
      <w:pPr>
        <w:tabs>
          <w:tab w:val="left" w:pos="360"/>
        </w:tabs>
        <w:spacing w:after="60" w:before="0" w:line="220" w:lineRule="auto"/>
        <w:ind w:left="360" w:hanging="360"/>
        <w:jc w:val="both"/>
      </w:pPr>
      <w:r>
        <w:rPr>
          <w:rFonts w:ascii="Times New Roman" w:cs="Times New Roman" w:eastAsia="Times New Roman" w:hAnsi="Times New Roman"/>
          <w:sz w:val="18"/>
          <w:szCs w:val="18"/>
        </w:rPr>
        <w:t xml:space="preserve">[10]	N. Reimers and I. Gurevych, “Sentence-BERT: Sentence Embeddings using Siamese BERT-Networks,” in Proceedings of EMNLP, 2019.</w:t>
      </w:r>
    </w:p>
    <w:sectPr>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jc w:val="left"/>
    </w:pPr>
    <w:r>
      <w:rPr>
        <w:rFonts w:ascii="Times New Roman" w:cs="Times New Roman" w:eastAsia="Times New Roman" w:hAnsi="Times New Roman"/>
        <w:color w:val="666666"/>
        <w:sz w:val="16"/>
        <w:szCs w:val="16"/>
      </w:rPr>
      <w:t xml:space="preserve">978-1-XXXX-XXXX-X/26/$31.00 © 2026 IEEE</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2026 IEEE Conference on AI Systems &amp; Scholarly Intelligence (CASI)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bullet"/>
      <w:lvlText w:val="•"/>
      <w:lvlJc w:val="left"/>
      <w:pPr>
        <w:ind w:left="540" w:hanging="28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2026-05-18T15:46:54.964Z</dcterms:created>
  <dcterms:modified xsi:type="dcterms:W3CDTF">2026-05-18T15:46:54.965Z</dcterms:modified>
</cp:coreProperties>
</file>

<file path=docProps/custom.xml><?xml version="1.0" encoding="utf-8"?>
<Properties xmlns="http://schemas.openxmlformats.org/officeDocument/2006/custom-properties" xmlns:vt="http://schemas.openxmlformats.org/officeDocument/2006/docPropsVTypes"/>
</file>