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A17D35" w14:textId="77777777" w:rsidR="009F7940" w:rsidRDefault="009F7940" w:rsidP="009F7940">
      <w:pPr>
        <w:spacing w:before="240" w:after="240" w:line="480" w:lineRule="auto"/>
        <w:jc w:val="center"/>
        <w:rPr>
          <w:rFonts w:ascii="Times New Roman" w:eastAsia="Times New Roman" w:hAnsi="Times New Roman" w:cs="Times New Roman"/>
          <w:b/>
        </w:rPr>
      </w:pPr>
    </w:p>
    <w:p w14:paraId="5747F742" w14:textId="77777777" w:rsidR="009F7940" w:rsidRDefault="009F7940" w:rsidP="009F7940">
      <w:pPr>
        <w:spacing w:before="240" w:after="240" w:line="480" w:lineRule="auto"/>
        <w:jc w:val="center"/>
        <w:rPr>
          <w:rFonts w:ascii="Times New Roman" w:eastAsia="Times New Roman" w:hAnsi="Times New Roman" w:cs="Times New Roman"/>
          <w:b/>
        </w:rPr>
      </w:pPr>
    </w:p>
    <w:p w14:paraId="43F6FFFF" w14:textId="77777777" w:rsidR="009F7940" w:rsidRDefault="009F7940" w:rsidP="009F7940">
      <w:pPr>
        <w:spacing w:before="240" w:after="240" w:line="480" w:lineRule="auto"/>
        <w:jc w:val="center"/>
        <w:rPr>
          <w:rFonts w:ascii="Times New Roman" w:eastAsia="Times New Roman" w:hAnsi="Times New Roman" w:cs="Times New Roman"/>
          <w:b/>
        </w:rPr>
      </w:pPr>
    </w:p>
    <w:p w14:paraId="072C38CB" w14:textId="77777777" w:rsidR="009F7940" w:rsidRDefault="009F7940" w:rsidP="009F7940">
      <w:pPr>
        <w:spacing w:before="240" w:after="240" w:line="480" w:lineRule="auto"/>
        <w:jc w:val="center"/>
        <w:rPr>
          <w:rFonts w:ascii="Times New Roman" w:eastAsia="Times New Roman" w:hAnsi="Times New Roman" w:cs="Times New Roman"/>
          <w:b/>
        </w:rPr>
      </w:pPr>
    </w:p>
    <w:p w14:paraId="14F9BFE9" w14:textId="75C7A5B0" w:rsidR="009F7940" w:rsidRPr="009F7940" w:rsidRDefault="009F7940" w:rsidP="009F7940">
      <w:pPr>
        <w:spacing w:before="240" w:after="240" w:line="480" w:lineRule="auto"/>
        <w:jc w:val="center"/>
        <w:rPr>
          <w:rFonts w:ascii="Times New Roman" w:eastAsia="Times New Roman" w:hAnsi="Times New Roman" w:cs="Times New Roman"/>
          <w:b/>
          <w:bCs/>
        </w:rPr>
      </w:pPr>
      <w:r w:rsidRPr="00C82427">
        <w:rPr>
          <w:rFonts w:ascii="Times New Roman" w:eastAsia="Times New Roman" w:hAnsi="Times New Roman" w:cs="Times New Roman"/>
          <w:b/>
        </w:rPr>
        <w:t xml:space="preserve">Week </w:t>
      </w:r>
      <w:r>
        <w:rPr>
          <w:rFonts w:ascii="Times New Roman" w:eastAsia="Times New Roman" w:hAnsi="Times New Roman" w:cs="Times New Roman"/>
          <w:b/>
        </w:rPr>
        <w:t>2</w:t>
      </w:r>
    </w:p>
    <w:p w14:paraId="4C44040B" w14:textId="77777777" w:rsidR="009F7940" w:rsidRPr="00C82427" w:rsidRDefault="009F7940" w:rsidP="009F7940">
      <w:pPr>
        <w:spacing w:line="480" w:lineRule="auto"/>
        <w:jc w:val="center"/>
        <w:rPr>
          <w:rFonts w:ascii="Times New Roman" w:eastAsia="Times New Roman" w:hAnsi="Times New Roman" w:cs="Times New Roman"/>
          <w:bCs/>
        </w:rPr>
      </w:pPr>
    </w:p>
    <w:p w14:paraId="685BEEE3" w14:textId="77777777" w:rsidR="009F7940" w:rsidRPr="00C82427" w:rsidRDefault="009F7940" w:rsidP="009F7940">
      <w:pPr>
        <w:spacing w:line="480" w:lineRule="auto"/>
        <w:jc w:val="center"/>
        <w:rPr>
          <w:rFonts w:ascii="Times New Roman" w:eastAsia="Times New Roman" w:hAnsi="Times New Roman" w:cs="Times New Roman"/>
          <w:bCs/>
        </w:rPr>
      </w:pPr>
      <w:r>
        <w:rPr>
          <w:rFonts w:ascii="Times New Roman" w:eastAsia="Times New Roman" w:hAnsi="Times New Roman" w:cs="Times New Roman"/>
          <w:bCs/>
        </w:rPr>
        <w:t>Team 4</w:t>
      </w:r>
    </w:p>
    <w:p w14:paraId="29E872F4" w14:textId="77777777" w:rsidR="009F7940" w:rsidRPr="00C82427" w:rsidRDefault="009F7940" w:rsidP="009F7940">
      <w:pPr>
        <w:spacing w:line="480" w:lineRule="auto"/>
        <w:jc w:val="center"/>
        <w:rPr>
          <w:rFonts w:ascii="Times New Roman" w:eastAsia="Times New Roman" w:hAnsi="Times New Roman" w:cs="Times New Roman"/>
          <w:bCs/>
        </w:rPr>
      </w:pPr>
      <w:r w:rsidRPr="00C82427">
        <w:rPr>
          <w:rFonts w:ascii="Times New Roman" w:eastAsia="Times New Roman" w:hAnsi="Times New Roman" w:cs="Times New Roman"/>
          <w:bCs/>
        </w:rPr>
        <w:t>Westcliff University</w:t>
      </w:r>
    </w:p>
    <w:p w14:paraId="558EB11D" w14:textId="77777777" w:rsidR="009F7940" w:rsidRPr="00C82427" w:rsidRDefault="009F7940" w:rsidP="009F7940">
      <w:pPr>
        <w:spacing w:line="480" w:lineRule="auto"/>
        <w:jc w:val="center"/>
        <w:rPr>
          <w:rFonts w:ascii="Times New Roman" w:eastAsia="Times New Roman" w:hAnsi="Times New Roman" w:cs="Times New Roman"/>
          <w:bCs/>
        </w:rPr>
      </w:pPr>
      <w:r w:rsidRPr="00C82427">
        <w:rPr>
          <w:rFonts w:ascii="Times New Roman" w:eastAsia="Times New Roman" w:hAnsi="Times New Roman" w:cs="Times New Roman"/>
          <w:bCs/>
        </w:rPr>
        <w:t>DATA 200: Applied Statistical Analytics</w:t>
      </w:r>
    </w:p>
    <w:p w14:paraId="5E2D8165" w14:textId="77777777" w:rsidR="009F7940" w:rsidRPr="00C82427" w:rsidRDefault="009F7940" w:rsidP="009F7940">
      <w:pPr>
        <w:spacing w:line="480" w:lineRule="auto"/>
        <w:jc w:val="center"/>
        <w:rPr>
          <w:rFonts w:ascii="Times New Roman" w:eastAsia="Times New Roman" w:hAnsi="Times New Roman" w:cs="Times New Roman"/>
          <w:bCs/>
        </w:rPr>
      </w:pPr>
      <w:r w:rsidRPr="00C82427">
        <w:rPr>
          <w:rFonts w:ascii="Times New Roman" w:eastAsia="Times New Roman" w:hAnsi="Times New Roman" w:cs="Times New Roman"/>
          <w:bCs/>
        </w:rPr>
        <w:t xml:space="preserve">Professor </w:t>
      </w:r>
      <w:proofErr w:type="spellStart"/>
      <w:r>
        <w:rPr>
          <w:rFonts w:ascii="Times New Roman" w:eastAsia="Times New Roman" w:hAnsi="Times New Roman" w:cs="Times New Roman"/>
          <w:bCs/>
        </w:rPr>
        <w:t>Regmi</w:t>
      </w:r>
      <w:proofErr w:type="spellEnd"/>
    </w:p>
    <w:p w14:paraId="12C9F40F" w14:textId="77777777" w:rsidR="009F7940" w:rsidRDefault="009F7940" w:rsidP="009F7940">
      <w:pPr>
        <w:spacing w:line="480" w:lineRule="auto"/>
        <w:jc w:val="center"/>
        <w:rPr>
          <w:rFonts w:ascii="Times New Roman" w:eastAsia="Times New Roman" w:hAnsi="Times New Roman" w:cs="Times New Roman"/>
          <w:bCs/>
        </w:rPr>
      </w:pPr>
      <w:r w:rsidRPr="00C82427">
        <w:rPr>
          <w:rFonts w:ascii="Times New Roman" w:eastAsia="Times New Roman" w:hAnsi="Times New Roman" w:cs="Times New Roman"/>
          <w:bCs/>
        </w:rPr>
        <w:t xml:space="preserve">January </w:t>
      </w:r>
      <w:r>
        <w:rPr>
          <w:rFonts w:ascii="Times New Roman" w:eastAsia="Times New Roman" w:hAnsi="Times New Roman" w:cs="Times New Roman"/>
          <w:bCs/>
        </w:rPr>
        <w:t>18</w:t>
      </w:r>
      <w:r w:rsidRPr="00C82427">
        <w:rPr>
          <w:rFonts w:ascii="Times New Roman" w:eastAsia="Times New Roman" w:hAnsi="Times New Roman" w:cs="Times New Roman"/>
          <w:bCs/>
        </w:rPr>
        <w:t>, 2025</w:t>
      </w:r>
    </w:p>
    <w:p w14:paraId="68A49A4B" w14:textId="77777777" w:rsidR="009F7940" w:rsidRDefault="009F7940" w:rsidP="009F7940">
      <w:pPr>
        <w:rPr>
          <w:rFonts w:ascii="Times New Roman" w:eastAsia="Times New Roman" w:hAnsi="Times New Roman" w:cs="Times New Roman"/>
          <w:bCs/>
        </w:rPr>
      </w:pPr>
      <w:r>
        <w:rPr>
          <w:rFonts w:ascii="Times New Roman" w:eastAsia="Times New Roman" w:hAnsi="Times New Roman" w:cs="Times New Roman"/>
          <w:bCs/>
        </w:rPr>
        <w:br w:type="page"/>
      </w:r>
    </w:p>
    <w:p w14:paraId="2906D337" w14:textId="0DC02DF4" w:rsidR="009F7940" w:rsidRDefault="009F7940">
      <w:pPr>
        <w:rPr>
          <w:rFonts w:ascii="Times New Roman" w:eastAsia="Times New Roman" w:hAnsi="Times New Roman" w:cs="Times New Roman"/>
          <w:b/>
          <w:bCs/>
        </w:rPr>
      </w:pPr>
    </w:p>
    <w:p w14:paraId="16E0BC43" w14:textId="258CE3AB" w:rsidR="009F7940" w:rsidRPr="009F7940" w:rsidRDefault="009F7940" w:rsidP="009F7940">
      <w:pPr>
        <w:spacing w:line="480" w:lineRule="auto"/>
        <w:jc w:val="center"/>
        <w:rPr>
          <w:rFonts w:ascii="Times New Roman" w:eastAsia="Times New Roman" w:hAnsi="Times New Roman" w:cs="Times New Roman"/>
        </w:rPr>
      </w:pPr>
      <w:r w:rsidRPr="009F7940">
        <w:rPr>
          <w:rFonts w:ascii="Times New Roman" w:eastAsia="Times New Roman" w:hAnsi="Times New Roman" w:cs="Times New Roman"/>
          <w:b/>
          <w:bCs/>
        </w:rPr>
        <w:t>Literature Review</w:t>
      </w:r>
    </w:p>
    <w:p w14:paraId="46A3197A" w14:textId="77777777" w:rsidR="009F7940" w:rsidRPr="009F7940" w:rsidRDefault="009F7940" w:rsidP="009F7940">
      <w:pPr>
        <w:spacing w:before="100" w:beforeAutospacing="1" w:after="100" w:afterAutospacing="1" w:line="480" w:lineRule="auto"/>
        <w:ind w:firstLine="720"/>
        <w:rPr>
          <w:rFonts w:ascii="Times New Roman" w:eastAsia="Times New Roman" w:hAnsi="Times New Roman" w:cs="Times New Roman"/>
        </w:rPr>
      </w:pPr>
      <w:r w:rsidRPr="009F7940">
        <w:rPr>
          <w:rFonts w:ascii="Times New Roman" w:eastAsia="Times New Roman" w:hAnsi="Times New Roman" w:cs="Times New Roman"/>
        </w:rPr>
        <w:t>As the Artificial Intelligence sector grows at a rapid rate, the study of compensation trends, hiring requirements, and the nature of skill-based pay have become significant fields of study. We, as a team, examined the literature available to come up with the theoretical background of our analysis of the global AI job market. The studies reviewed are devoted to the patterns of technical skill demand, the impact of experience on compensation, and the industry-wide implications of AI integration, which justifies the significance of our chosen dataset.</w:t>
      </w:r>
    </w:p>
    <w:p w14:paraId="7A152D91" w14:textId="77777777" w:rsidR="009F7940" w:rsidRPr="009F7940" w:rsidRDefault="009F7940" w:rsidP="009F7940">
      <w:pPr>
        <w:spacing w:before="100" w:beforeAutospacing="1" w:after="100" w:afterAutospacing="1" w:line="480" w:lineRule="auto"/>
        <w:rPr>
          <w:rFonts w:ascii="Times New Roman" w:eastAsia="Times New Roman" w:hAnsi="Times New Roman" w:cs="Times New Roman"/>
        </w:rPr>
      </w:pPr>
      <w:r w:rsidRPr="009F7940">
        <w:rPr>
          <w:rFonts w:ascii="Times New Roman" w:eastAsia="Times New Roman" w:hAnsi="Times New Roman" w:cs="Times New Roman"/>
          <w:b/>
          <w:bCs/>
        </w:rPr>
        <w:t>Patterns of AI Skills and Compensation Premiums.</w:t>
      </w:r>
    </w:p>
    <w:p w14:paraId="1982021F" w14:textId="77777777" w:rsidR="009F7940" w:rsidRPr="009F7940" w:rsidRDefault="009F7940" w:rsidP="009F7940">
      <w:pPr>
        <w:spacing w:before="100" w:beforeAutospacing="1" w:after="100" w:afterAutospacing="1" w:line="480" w:lineRule="auto"/>
        <w:rPr>
          <w:rFonts w:ascii="Times New Roman" w:eastAsia="Times New Roman" w:hAnsi="Times New Roman" w:cs="Times New Roman"/>
        </w:rPr>
      </w:pPr>
      <w:r w:rsidRPr="009F7940">
        <w:rPr>
          <w:rFonts w:ascii="Times New Roman" w:eastAsia="Times New Roman" w:hAnsi="Times New Roman" w:cs="Times New Roman"/>
        </w:rPr>
        <w:t xml:space="preserve">Acemoglu et al. (2025) analyzed trends in the demand for specialized AI skills and their effect on salary outcomes across global tech hubs. Market data were examined in their study to investigate the correlation between niche technical expertise—such as Large Language Models (LLMs) and </w:t>
      </w:r>
      <w:proofErr w:type="spellStart"/>
      <w:r w:rsidRPr="009F7940">
        <w:rPr>
          <w:rFonts w:ascii="Times New Roman" w:eastAsia="Times New Roman" w:hAnsi="Times New Roman" w:cs="Times New Roman"/>
        </w:rPr>
        <w:t>MLOps</w:t>
      </w:r>
      <w:proofErr w:type="spellEnd"/>
      <w:r w:rsidRPr="009F7940">
        <w:rPr>
          <w:rFonts w:ascii="Times New Roman" w:eastAsia="Times New Roman" w:hAnsi="Times New Roman" w:cs="Times New Roman"/>
        </w:rPr>
        <w:t>—and the resulting economic premium for employees. The results indicate that specific tool proficiency can positively affect a candidate’s market value more significantly than traditional degree requirements, while a lack of continuous upskilling correlates with lower wage growth (Acemoglu et al., 2025).</w:t>
      </w:r>
    </w:p>
    <w:p w14:paraId="2B982F36" w14:textId="77777777" w:rsidR="009F7940" w:rsidRPr="009F7940" w:rsidRDefault="009F7940" w:rsidP="009F7940">
      <w:pPr>
        <w:spacing w:before="100" w:beforeAutospacing="1" w:after="100" w:afterAutospacing="1" w:line="480" w:lineRule="auto"/>
        <w:rPr>
          <w:rFonts w:ascii="Times New Roman" w:eastAsia="Times New Roman" w:hAnsi="Times New Roman" w:cs="Times New Roman"/>
        </w:rPr>
      </w:pPr>
      <w:r w:rsidRPr="009F7940">
        <w:rPr>
          <w:rFonts w:ascii="Times New Roman" w:eastAsia="Times New Roman" w:hAnsi="Times New Roman" w:cs="Times New Roman"/>
        </w:rPr>
        <w:t>This study is relevant to our project due to the fact that it highlights that technical skill stacks and patterns of tool usage are significant predictors of salary. Our dataset is not a direct measure of candidate certifications; however, it contains behavioral measures such as industry sector and experience levels. These variables enable us to investigate patterns which are associated with the broader compensation impacts found in existing literature, further enhancing the contextual appropriateness of our investigation.</w:t>
      </w:r>
    </w:p>
    <w:p w14:paraId="0857FD31" w14:textId="77777777" w:rsidR="009F7940" w:rsidRPr="009F7940" w:rsidRDefault="009F7940" w:rsidP="009F7940">
      <w:pPr>
        <w:spacing w:before="100" w:beforeAutospacing="1" w:after="100" w:afterAutospacing="1" w:line="480" w:lineRule="auto"/>
        <w:rPr>
          <w:rFonts w:ascii="Times New Roman" w:eastAsia="Times New Roman" w:hAnsi="Times New Roman" w:cs="Times New Roman"/>
        </w:rPr>
      </w:pPr>
      <w:r w:rsidRPr="009F7940">
        <w:rPr>
          <w:rFonts w:ascii="Times New Roman" w:eastAsia="Times New Roman" w:hAnsi="Times New Roman" w:cs="Times New Roman"/>
          <w:b/>
          <w:bCs/>
        </w:rPr>
        <w:lastRenderedPageBreak/>
        <w:t>The Impact of Seniority and Global Industry Performance.</w:t>
      </w:r>
    </w:p>
    <w:p w14:paraId="3298FAB9" w14:textId="77777777" w:rsidR="009F7940" w:rsidRPr="009F7940" w:rsidRDefault="009F7940" w:rsidP="009F7940">
      <w:pPr>
        <w:spacing w:before="100" w:beforeAutospacing="1" w:after="100" w:afterAutospacing="1" w:line="480" w:lineRule="auto"/>
        <w:rPr>
          <w:rFonts w:ascii="Times New Roman" w:eastAsia="Times New Roman" w:hAnsi="Times New Roman" w:cs="Times New Roman"/>
        </w:rPr>
      </w:pPr>
      <w:r w:rsidRPr="009F7940">
        <w:rPr>
          <w:rFonts w:ascii="Times New Roman" w:eastAsia="Times New Roman" w:hAnsi="Times New Roman" w:cs="Times New Roman"/>
        </w:rPr>
        <w:t xml:space="preserve">In </w:t>
      </w:r>
      <w:proofErr w:type="spellStart"/>
      <w:r w:rsidRPr="009F7940">
        <w:rPr>
          <w:rFonts w:ascii="Times New Roman" w:eastAsia="Times New Roman" w:hAnsi="Times New Roman" w:cs="Times New Roman"/>
        </w:rPr>
        <w:t>Tambe</w:t>
      </w:r>
      <w:proofErr w:type="spellEnd"/>
      <w:r w:rsidRPr="009F7940">
        <w:rPr>
          <w:rFonts w:ascii="Times New Roman" w:eastAsia="Times New Roman" w:hAnsi="Times New Roman" w:cs="Times New Roman"/>
        </w:rPr>
        <w:t xml:space="preserve"> (2022), the correlation between years of experience in technical roles and actual salary ceilings was studied based on automated hiring data. The research focused on how the "seniority" label is being redefined in the AI era, where rapid innovation can sometimes render long-term experience less relevant than fresh technical knowledge. This supports the findings in our own dataset, where ANOVA results suggested that traditional experience levels may not be the sole drivers of salary, reflecting a modern shift toward a skill-centric economy rather than a time-centric one.</w:t>
      </w:r>
    </w:p>
    <w:p w14:paraId="56EA8873" w14:textId="77777777" w:rsidR="009F7940" w:rsidRPr="009F7940" w:rsidRDefault="009F7940" w:rsidP="009F7940">
      <w:pPr>
        <w:spacing w:line="480" w:lineRule="auto"/>
      </w:pPr>
    </w:p>
    <w:sectPr w:rsidR="009F7940" w:rsidRPr="009F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40"/>
    <w:rsid w:val="009F7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53E5"/>
  <w15:chartTrackingRefBased/>
  <w15:docId w15:val="{4F23165B-A4C4-0941-8B79-916334AAC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794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794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794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16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2026-02-22T13:38:00Z</dcterms:created>
  <dcterms:modified xsi:type="dcterms:W3CDTF">2026-02-22T13:39:00Z</dcterms:modified>
</cp:coreProperties>
</file>