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AA6" w:rsidRDefault="00980AA6">
      <w:r>
        <w:br w:type="page"/>
      </w:r>
    </w:p>
    <w:p w:rsidR="00980AA6" w:rsidRDefault="00980AA6" w:rsidP="00980AA6">
      <w:pPr>
        <w:spacing w:after="0"/>
      </w:pPr>
    </w:p>
    <w:p w:rsidR="00851FE7" w:rsidRPr="002815E1" w:rsidRDefault="00851FE7" w:rsidP="002815E1">
      <w:pPr>
        <w:spacing w:after="0" w:line="480" w:lineRule="auto"/>
        <w:ind w:firstLine="720"/>
        <w:jc w:val="center"/>
        <w:rPr>
          <w:rFonts w:ascii="Times New Roman" w:hAnsi="Times New Roman" w:cs="Times New Roman"/>
          <w:b/>
          <w:sz w:val="24"/>
          <w:szCs w:val="24"/>
        </w:rPr>
      </w:pPr>
      <w:r w:rsidRPr="002815E1">
        <w:rPr>
          <w:rFonts w:ascii="Times New Roman" w:hAnsi="Times New Roman" w:cs="Times New Roman"/>
          <w:b/>
          <w:sz w:val="24"/>
          <w:szCs w:val="24"/>
        </w:rPr>
        <w:t>Introduction.</w:t>
      </w:r>
    </w:p>
    <w:p w:rsidR="001F28C6" w:rsidRPr="002815E1" w:rsidRDefault="0086281A"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A portfolio is a group of investments that are all owned by the same person or organization. A portfolio can be thought of as a collection of securities. different type of these investments </w:t>
      </w:r>
      <w:r w:rsidR="00B57655" w:rsidRPr="002815E1">
        <w:rPr>
          <w:rFonts w:ascii="Times New Roman" w:hAnsi="Times New Roman" w:cs="Times New Roman"/>
          <w:sz w:val="24"/>
          <w:szCs w:val="24"/>
        </w:rPr>
        <w:t>includes</w:t>
      </w:r>
      <w:r w:rsidRPr="002815E1">
        <w:rPr>
          <w:rFonts w:ascii="Times New Roman" w:hAnsi="Times New Roman" w:cs="Times New Roman"/>
          <w:sz w:val="24"/>
          <w:szCs w:val="24"/>
        </w:rPr>
        <w:t>; stocks, that are investments in particular businesses; bonds, which are viewed as debt instruments designed to earn interest; and mutual funds, which are pooled money from multiple participants that are invested professionally or according to market indexes</w:t>
      </w:r>
      <w:r w:rsidR="00BD1B68" w:rsidRPr="002815E1">
        <w:rPr>
          <w:rFonts w:ascii="Times New Roman" w:hAnsi="Times New Roman" w:cs="Times New Roman"/>
          <w:sz w:val="24"/>
          <w:szCs w:val="24"/>
        </w:rPr>
        <w:t>(</w:t>
      </w:r>
      <w:proofErr w:type="spellStart"/>
      <w:r w:rsidR="00BD1B68" w:rsidRPr="002815E1">
        <w:rPr>
          <w:rFonts w:ascii="Times New Roman" w:hAnsi="Times New Roman" w:cs="Times New Roman"/>
          <w:sz w:val="24"/>
          <w:szCs w:val="24"/>
        </w:rPr>
        <w:t>Zakamulin</w:t>
      </w:r>
      <w:proofErr w:type="spellEnd"/>
      <w:r w:rsidR="00BD1B68" w:rsidRPr="002815E1">
        <w:rPr>
          <w:rFonts w:ascii="Times New Roman" w:hAnsi="Times New Roman" w:cs="Times New Roman"/>
          <w:sz w:val="24"/>
          <w:szCs w:val="24"/>
        </w:rPr>
        <w:t>, 2016)</w:t>
      </w:r>
      <w:r w:rsidRPr="002815E1">
        <w:rPr>
          <w:rFonts w:ascii="Times New Roman" w:hAnsi="Times New Roman" w:cs="Times New Roman"/>
          <w:sz w:val="24"/>
          <w:szCs w:val="24"/>
        </w:rPr>
        <w:t>.</w:t>
      </w:r>
    </w:p>
    <w:p w:rsidR="00851FE7" w:rsidRPr="002815E1" w:rsidRDefault="001F28C6"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Portfolio analysis involves the study of examining or evaluating the components of a business's complete portfolio of assets or </w:t>
      </w:r>
      <w:r w:rsidR="00B57655" w:rsidRPr="002815E1">
        <w:rPr>
          <w:rFonts w:ascii="Times New Roman" w:hAnsi="Times New Roman" w:cs="Times New Roman"/>
          <w:sz w:val="24"/>
          <w:szCs w:val="24"/>
        </w:rPr>
        <w:t xml:space="preserve">products </w:t>
      </w:r>
      <w:r w:rsidRPr="002815E1">
        <w:rPr>
          <w:rFonts w:ascii="Times New Roman" w:hAnsi="Times New Roman" w:cs="Times New Roman"/>
          <w:sz w:val="24"/>
          <w:szCs w:val="24"/>
        </w:rPr>
        <w:t xml:space="preserve">to assess which </w:t>
      </w:r>
      <w:r w:rsidR="00B57655" w:rsidRPr="002815E1">
        <w:rPr>
          <w:rFonts w:ascii="Times New Roman" w:hAnsi="Times New Roman" w:cs="Times New Roman"/>
          <w:sz w:val="24"/>
          <w:szCs w:val="24"/>
        </w:rPr>
        <w:t>combination</w:t>
      </w:r>
      <w:r w:rsidRPr="002815E1">
        <w:rPr>
          <w:rFonts w:ascii="Times New Roman" w:hAnsi="Times New Roman" w:cs="Times New Roman"/>
          <w:sz w:val="24"/>
          <w:szCs w:val="24"/>
        </w:rPr>
        <w:t xml:space="preserve"> of </w:t>
      </w:r>
      <w:r w:rsidR="00B57655" w:rsidRPr="002815E1">
        <w:rPr>
          <w:rFonts w:ascii="Times New Roman" w:hAnsi="Times New Roman" w:cs="Times New Roman"/>
          <w:sz w:val="24"/>
          <w:szCs w:val="24"/>
        </w:rPr>
        <w:t>assets</w:t>
      </w:r>
      <w:r w:rsidRPr="002815E1">
        <w:rPr>
          <w:rFonts w:ascii="Times New Roman" w:hAnsi="Times New Roman" w:cs="Times New Roman"/>
          <w:sz w:val="24"/>
          <w:szCs w:val="24"/>
        </w:rPr>
        <w:t xml:space="preserve"> or products if placed together will </w:t>
      </w:r>
      <w:r w:rsidR="00B57655" w:rsidRPr="002815E1">
        <w:rPr>
          <w:rFonts w:ascii="Times New Roman" w:hAnsi="Times New Roman" w:cs="Times New Roman"/>
          <w:sz w:val="24"/>
          <w:szCs w:val="24"/>
        </w:rPr>
        <w:t>yield</w:t>
      </w:r>
      <w:r w:rsidRPr="002815E1">
        <w:rPr>
          <w:rFonts w:ascii="Times New Roman" w:hAnsi="Times New Roman" w:cs="Times New Roman"/>
          <w:sz w:val="24"/>
          <w:szCs w:val="24"/>
        </w:rPr>
        <w:t xml:space="preserve"> more return to and </w:t>
      </w:r>
      <w:r w:rsidR="00B57655" w:rsidRPr="002815E1">
        <w:rPr>
          <w:rFonts w:ascii="Times New Roman" w:hAnsi="Times New Roman" w:cs="Times New Roman"/>
          <w:sz w:val="24"/>
          <w:szCs w:val="24"/>
        </w:rPr>
        <w:t>manageable</w:t>
      </w:r>
      <w:r w:rsidRPr="002815E1">
        <w:rPr>
          <w:rFonts w:ascii="Times New Roman" w:hAnsi="Times New Roman" w:cs="Times New Roman"/>
          <w:sz w:val="24"/>
          <w:szCs w:val="24"/>
        </w:rPr>
        <w:t xml:space="preserve"> risk </w:t>
      </w:r>
      <w:proofErr w:type="gramStart"/>
      <w:r w:rsidRPr="002815E1">
        <w:rPr>
          <w:rFonts w:ascii="Times New Roman" w:hAnsi="Times New Roman" w:cs="Times New Roman"/>
          <w:sz w:val="24"/>
          <w:szCs w:val="24"/>
        </w:rPr>
        <w:t>involved</w:t>
      </w:r>
      <w:r w:rsidR="00BD1B68" w:rsidRPr="002815E1">
        <w:rPr>
          <w:rFonts w:ascii="Times New Roman" w:hAnsi="Times New Roman" w:cs="Times New Roman"/>
          <w:sz w:val="24"/>
          <w:szCs w:val="24"/>
        </w:rPr>
        <w:t>(</w:t>
      </w:r>
      <w:proofErr w:type="gramEnd"/>
      <w:r w:rsidR="00BD1B68" w:rsidRPr="002815E1">
        <w:rPr>
          <w:rFonts w:ascii="Times New Roman" w:hAnsi="Times New Roman" w:cs="Times New Roman"/>
          <w:sz w:val="24"/>
          <w:szCs w:val="24"/>
        </w:rPr>
        <w:t>Chatterjee et al., 2014)</w:t>
      </w:r>
      <w:r w:rsidRPr="002815E1">
        <w:rPr>
          <w:rFonts w:ascii="Times New Roman" w:hAnsi="Times New Roman" w:cs="Times New Roman"/>
          <w:sz w:val="24"/>
          <w:szCs w:val="24"/>
        </w:rPr>
        <w:t xml:space="preserve">. The review is conducted to perform a full analysis of risk and return. Portfolio analysis performed </w:t>
      </w:r>
      <w:r w:rsidR="003B475F">
        <w:rPr>
          <w:rFonts w:ascii="Times New Roman" w:hAnsi="Times New Roman" w:cs="Times New Roman"/>
          <w:sz w:val="24"/>
          <w:szCs w:val="24"/>
        </w:rPr>
        <w:t>regularly</w:t>
      </w:r>
      <w:r w:rsidRPr="002815E1">
        <w:rPr>
          <w:rFonts w:ascii="Times New Roman" w:hAnsi="Times New Roman" w:cs="Times New Roman"/>
          <w:sz w:val="24"/>
          <w:szCs w:val="24"/>
        </w:rPr>
        <w:t xml:space="preserve"> enables the investor to </w:t>
      </w:r>
      <w:r w:rsidR="00B57655" w:rsidRPr="002815E1">
        <w:rPr>
          <w:rFonts w:ascii="Times New Roman" w:hAnsi="Times New Roman" w:cs="Times New Roman"/>
          <w:sz w:val="24"/>
          <w:szCs w:val="24"/>
        </w:rPr>
        <w:t>adjust</w:t>
      </w:r>
      <w:r w:rsidRPr="002815E1">
        <w:rPr>
          <w:rFonts w:ascii="Times New Roman" w:hAnsi="Times New Roman" w:cs="Times New Roman"/>
          <w:sz w:val="24"/>
          <w:szCs w:val="24"/>
        </w:rPr>
        <w:t xml:space="preserve"> the portfolio holdings and adjust it in response to changing market conditions and situations. Additionally, the study aids in the right allocation of resources</w:t>
      </w:r>
      <w:r w:rsidR="003B475F">
        <w:rPr>
          <w:rFonts w:ascii="Times New Roman" w:hAnsi="Times New Roman" w:cs="Times New Roman"/>
          <w:sz w:val="24"/>
          <w:szCs w:val="24"/>
        </w:rPr>
        <w:t>/</w:t>
      </w:r>
      <w:r w:rsidRPr="002815E1">
        <w:rPr>
          <w:rFonts w:ascii="Times New Roman" w:hAnsi="Times New Roman" w:cs="Times New Roman"/>
          <w:sz w:val="24"/>
          <w:szCs w:val="24"/>
        </w:rPr>
        <w:t xml:space="preserve">assets to various components of the portfolio. Portfolio analysis is important for investors, with it they </w:t>
      </w:r>
      <w:r w:rsidR="003B475F">
        <w:rPr>
          <w:rFonts w:ascii="Times New Roman" w:hAnsi="Times New Roman" w:cs="Times New Roman"/>
          <w:sz w:val="24"/>
          <w:szCs w:val="24"/>
        </w:rPr>
        <w:t>can</w:t>
      </w:r>
      <w:r w:rsidRPr="002815E1">
        <w:rPr>
          <w:rFonts w:ascii="Times New Roman" w:hAnsi="Times New Roman" w:cs="Times New Roman"/>
          <w:sz w:val="24"/>
          <w:szCs w:val="24"/>
        </w:rPr>
        <w:t xml:space="preserve"> make appropriate decision</w:t>
      </w:r>
      <w:r w:rsidR="003B475F">
        <w:rPr>
          <w:rFonts w:ascii="Times New Roman" w:hAnsi="Times New Roman" w:cs="Times New Roman"/>
          <w:sz w:val="24"/>
          <w:szCs w:val="24"/>
        </w:rPr>
        <w:t>s</w:t>
      </w:r>
      <w:r w:rsidRPr="002815E1">
        <w:rPr>
          <w:rFonts w:ascii="Times New Roman" w:hAnsi="Times New Roman" w:cs="Times New Roman"/>
          <w:sz w:val="24"/>
          <w:szCs w:val="24"/>
        </w:rPr>
        <w:t xml:space="preserve"> on where to invest their resources for high levels of return. investors can also adjust the existing allocation of resources to different assets to cope with the current </w:t>
      </w:r>
      <w:r w:rsidR="00B57655" w:rsidRPr="002815E1">
        <w:rPr>
          <w:rFonts w:ascii="Times New Roman" w:hAnsi="Times New Roman" w:cs="Times New Roman"/>
          <w:sz w:val="24"/>
          <w:szCs w:val="24"/>
        </w:rPr>
        <w:t>market</w:t>
      </w:r>
      <w:r w:rsidRPr="002815E1">
        <w:rPr>
          <w:rFonts w:ascii="Times New Roman" w:hAnsi="Times New Roman" w:cs="Times New Roman"/>
          <w:sz w:val="24"/>
          <w:szCs w:val="24"/>
        </w:rPr>
        <w:t xml:space="preserve"> conditions.</w:t>
      </w:r>
      <w:r w:rsidR="00B57655" w:rsidRPr="002815E1">
        <w:rPr>
          <w:rFonts w:ascii="Times New Roman" w:hAnsi="Times New Roman" w:cs="Times New Roman"/>
          <w:sz w:val="24"/>
          <w:szCs w:val="24"/>
        </w:rPr>
        <w:t xml:space="preserve"> For timely adjustment of allocation of resources </w:t>
      </w:r>
      <w:r w:rsidR="003B475F">
        <w:rPr>
          <w:rFonts w:ascii="Times New Roman" w:hAnsi="Times New Roman" w:cs="Times New Roman"/>
          <w:sz w:val="24"/>
          <w:szCs w:val="24"/>
        </w:rPr>
        <w:t>to</w:t>
      </w:r>
      <w:r w:rsidR="00B57655" w:rsidRPr="002815E1">
        <w:rPr>
          <w:rFonts w:ascii="Times New Roman" w:hAnsi="Times New Roman" w:cs="Times New Roman"/>
          <w:sz w:val="24"/>
          <w:szCs w:val="24"/>
        </w:rPr>
        <w:t xml:space="preserve"> cope with the current market condition, portfolio management is </w:t>
      </w:r>
      <w:r w:rsidR="003B475F">
        <w:rPr>
          <w:rFonts w:ascii="Times New Roman" w:hAnsi="Times New Roman" w:cs="Times New Roman"/>
          <w:sz w:val="24"/>
          <w:szCs w:val="24"/>
        </w:rPr>
        <w:t xml:space="preserve">a </w:t>
      </w:r>
      <w:r w:rsidR="00B57655" w:rsidRPr="002815E1">
        <w:rPr>
          <w:rFonts w:ascii="Times New Roman" w:hAnsi="Times New Roman" w:cs="Times New Roman"/>
          <w:sz w:val="24"/>
          <w:szCs w:val="24"/>
        </w:rPr>
        <w:t>key aspect in monitoring the performance of the portfolio.</w:t>
      </w:r>
    </w:p>
    <w:p w:rsidR="0089436A" w:rsidRPr="002815E1" w:rsidRDefault="0089436A"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Portfolio management is the technique of selecting an asset mix, allocating assets according to </w:t>
      </w:r>
      <w:r w:rsidR="003B475F">
        <w:rPr>
          <w:rFonts w:ascii="Times New Roman" w:hAnsi="Times New Roman" w:cs="Times New Roman"/>
          <w:sz w:val="24"/>
          <w:szCs w:val="24"/>
        </w:rPr>
        <w:t xml:space="preserve">the </w:t>
      </w:r>
      <w:r w:rsidRPr="002815E1">
        <w:rPr>
          <w:rFonts w:ascii="Times New Roman" w:hAnsi="Times New Roman" w:cs="Times New Roman"/>
          <w:sz w:val="24"/>
          <w:szCs w:val="24"/>
        </w:rPr>
        <w:t xml:space="preserve">objectives of the </w:t>
      </w:r>
      <w:r w:rsidR="00B74C78" w:rsidRPr="002815E1">
        <w:rPr>
          <w:rFonts w:ascii="Times New Roman" w:hAnsi="Times New Roman" w:cs="Times New Roman"/>
          <w:sz w:val="24"/>
          <w:szCs w:val="24"/>
        </w:rPr>
        <w:t>organization, and</w:t>
      </w:r>
      <w:r w:rsidRPr="002815E1">
        <w:rPr>
          <w:rFonts w:ascii="Times New Roman" w:hAnsi="Times New Roman" w:cs="Times New Roman"/>
          <w:sz w:val="24"/>
          <w:szCs w:val="24"/>
        </w:rPr>
        <w:t xml:space="preserve"> managing risk and return. Portfolio management is the art of determining the optimal investment strategy for an entity in terms of minimum </w:t>
      </w:r>
      <w:r w:rsidR="00B74C78" w:rsidRPr="002815E1">
        <w:rPr>
          <w:rFonts w:ascii="Times New Roman" w:hAnsi="Times New Roman" w:cs="Times New Roman"/>
          <w:sz w:val="24"/>
          <w:szCs w:val="24"/>
        </w:rPr>
        <w:t>volatility and high-level</w:t>
      </w:r>
      <w:r w:rsidRPr="002815E1">
        <w:rPr>
          <w:rFonts w:ascii="Times New Roman" w:hAnsi="Times New Roman" w:cs="Times New Roman"/>
          <w:sz w:val="24"/>
          <w:szCs w:val="24"/>
        </w:rPr>
        <w:t> return. Additionally, it refers to the management of securities in the form of stocks, cash, and mutual funds</w:t>
      </w:r>
      <w:r w:rsidR="003B475F">
        <w:rPr>
          <w:rFonts w:ascii="Times New Roman" w:hAnsi="Times New Roman" w:cs="Times New Roman"/>
          <w:sz w:val="24"/>
          <w:szCs w:val="24"/>
        </w:rPr>
        <w:t>,</w:t>
      </w:r>
      <w:r w:rsidRPr="002815E1">
        <w:rPr>
          <w:rFonts w:ascii="Times New Roman" w:hAnsi="Times New Roman" w:cs="Times New Roman"/>
          <w:sz w:val="24"/>
          <w:szCs w:val="24"/>
        </w:rPr>
        <w:t xml:space="preserve"> and bonds to maximize profits within a specified time. Portfolio management involves the practice through which an investor's money is managed under </w:t>
      </w:r>
      <w:r w:rsidR="00B74C78" w:rsidRPr="002815E1">
        <w:rPr>
          <w:rFonts w:ascii="Times New Roman" w:hAnsi="Times New Roman" w:cs="Times New Roman"/>
          <w:sz w:val="24"/>
          <w:szCs w:val="24"/>
        </w:rPr>
        <w:t>the guidance</w:t>
      </w:r>
      <w:r w:rsidRPr="002815E1">
        <w:rPr>
          <w:rFonts w:ascii="Times New Roman" w:hAnsi="Times New Roman" w:cs="Times New Roman"/>
          <w:sz w:val="24"/>
          <w:szCs w:val="24"/>
        </w:rPr>
        <w:t xml:space="preserve"> of professional portfolio managers. It is accomplished by evaluating the SWOT analysis associated with various investment possibilities to arrive at a risk-reward trade-off.</w:t>
      </w:r>
    </w:p>
    <w:p w:rsidR="0089436A" w:rsidRPr="002815E1" w:rsidRDefault="0089436A"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Portfolio management is all about weighing the advantages and disadvantages of the securities, and a variety of other trade-offs experienced in the pursuit of maximum return with a given tolerance for </w:t>
      </w:r>
      <w:r w:rsidR="00B74C78" w:rsidRPr="002815E1">
        <w:rPr>
          <w:rFonts w:ascii="Times New Roman" w:hAnsi="Times New Roman" w:cs="Times New Roman"/>
          <w:sz w:val="24"/>
          <w:szCs w:val="24"/>
        </w:rPr>
        <w:t>risk.</w:t>
      </w:r>
      <w:r w:rsidRPr="002815E1">
        <w:rPr>
          <w:rFonts w:ascii="Times New Roman" w:hAnsi="Times New Roman" w:cs="Times New Roman"/>
          <w:sz w:val="24"/>
          <w:szCs w:val="24"/>
        </w:rPr>
        <w:t xml:space="preserve"> Portfolio management is defined by a knowledge of market dynamics to ensure all the time fu</w:t>
      </w:r>
      <w:r w:rsidR="003B475F">
        <w:rPr>
          <w:rFonts w:ascii="Times New Roman" w:hAnsi="Times New Roman" w:cs="Times New Roman"/>
          <w:sz w:val="24"/>
          <w:szCs w:val="24"/>
        </w:rPr>
        <w:t>n</w:t>
      </w:r>
      <w:r w:rsidRPr="002815E1">
        <w:rPr>
          <w:rFonts w:ascii="Times New Roman" w:hAnsi="Times New Roman" w:cs="Times New Roman"/>
          <w:sz w:val="24"/>
          <w:szCs w:val="24"/>
        </w:rPr>
        <w:t xml:space="preserve">ds are located to the appropriate securities for return </w:t>
      </w:r>
      <w:r w:rsidR="00BD1B68" w:rsidRPr="002815E1">
        <w:rPr>
          <w:rFonts w:ascii="Times New Roman" w:hAnsi="Times New Roman" w:cs="Times New Roman"/>
          <w:sz w:val="24"/>
          <w:szCs w:val="24"/>
        </w:rPr>
        <w:t>maximization (Clarke et al., 2010)</w:t>
      </w:r>
      <w:r w:rsidRPr="002815E1">
        <w:rPr>
          <w:rFonts w:ascii="Times New Roman" w:hAnsi="Times New Roman" w:cs="Times New Roman"/>
          <w:sz w:val="24"/>
          <w:szCs w:val="24"/>
        </w:rPr>
        <w:t>.</w:t>
      </w:r>
    </w:p>
    <w:p w:rsidR="00B57655" w:rsidRPr="002815E1" w:rsidRDefault="00B74C78"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This study contains eight securities to be invested </w:t>
      </w:r>
      <w:r w:rsidR="003B475F">
        <w:rPr>
          <w:rFonts w:ascii="Times New Roman" w:hAnsi="Times New Roman" w:cs="Times New Roman"/>
          <w:sz w:val="24"/>
          <w:szCs w:val="24"/>
        </w:rPr>
        <w:t>i</w:t>
      </w:r>
      <w:r w:rsidRPr="002815E1">
        <w:rPr>
          <w:rFonts w:ascii="Times New Roman" w:hAnsi="Times New Roman" w:cs="Times New Roman"/>
          <w:sz w:val="24"/>
          <w:szCs w:val="24"/>
        </w:rPr>
        <w:t xml:space="preserve">n, these investments are cash, bond, equity, direct property, listed property, hedging funds, commodity, and private equity. </w:t>
      </w:r>
      <w:bookmarkStart w:id="0" w:name="_Hlk85225785"/>
      <w:r w:rsidR="00C5472B" w:rsidRPr="002815E1">
        <w:rPr>
          <w:rFonts w:ascii="Times New Roman" w:hAnsi="Times New Roman" w:cs="Times New Roman"/>
          <w:sz w:val="24"/>
          <w:szCs w:val="24"/>
        </w:rPr>
        <w:t>To achieve the investment objectives</w:t>
      </w:r>
      <w:r w:rsidR="00BE7AF1" w:rsidRPr="002815E1">
        <w:rPr>
          <w:rFonts w:ascii="Times New Roman" w:hAnsi="Times New Roman" w:cs="Times New Roman"/>
          <w:sz w:val="24"/>
          <w:szCs w:val="24"/>
        </w:rPr>
        <w:t xml:space="preserve"> which is a key aspect of portfolio management, the return of the portfolio should not be less than 6% per year. The volatility of the portfolio should not be more than 12%</w:t>
      </w:r>
      <w:r w:rsidR="00165675" w:rsidRPr="002815E1">
        <w:rPr>
          <w:rFonts w:ascii="Times New Roman" w:hAnsi="Times New Roman" w:cs="Times New Roman"/>
          <w:sz w:val="24"/>
          <w:szCs w:val="24"/>
        </w:rPr>
        <w:t xml:space="preserve">, at least 60% of the funds should be invested in liquid </w:t>
      </w:r>
      <w:r w:rsidR="00A22E9C" w:rsidRPr="002815E1">
        <w:rPr>
          <w:rFonts w:ascii="Times New Roman" w:hAnsi="Times New Roman" w:cs="Times New Roman"/>
          <w:sz w:val="24"/>
          <w:szCs w:val="24"/>
        </w:rPr>
        <w:t>assets (cash</w:t>
      </w:r>
      <w:r w:rsidR="00165675" w:rsidRPr="002815E1">
        <w:rPr>
          <w:rFonts w:ascii="Times New Roman" w:hAnsi="Times New Roman" w:cs="Times New Roman"/>
          <w:sz w:val="24"/>
          <w:szCs w:val="24"/>
        </w:rPr>
        <w:t>, bonds, equity</w:t>
      </w:r>
      <w:r w:rsidR="003B475F">
        <w:rPr>
          <w:rFonts w:ascii="Times New Roman" w:hAnsi="Times New Roman" w:cs="Times New Roman"/>
          <w:sz w:val="24"/>
          <w:szCs w:val="24"/>
        </w:rPr>
        <w:t>,</w:t>
      </w:r>
      <w:r w:rsidR="00165675" w:rsidRPr="002815E1">
        <w:rPr>
          <w:rFonts w:ascii="Times New Roman" w:hAnsi="Times New Roman" w:cs="Times New Roman"/>
          <w:sz w:val="24"/>
          <w:szCs w:val="24"/>
        </w:rPr>
        <w:t xml:space="preserve"> and listed property index), cash should hold at least 5% of the total allocation and at least 40 to 60% of the funds should be invested in traditional assets, that is bonds, equity</w:t>
      </w:r>
      <w:r w:rsidR="003B475F">
        <w:rPr>
          <w:rFonts w:ascii="Times New Roman" w:hAnsi="Times New Roman" w:cs="Times New Roman"/>
          <w:sz w:val="24"/>
          <w:szCs w:val="24"/>
        </w:rPr>
        <w:t>,</w:t>
      </w:r>
      <w:r w:rsidR="00165675" w:rsidRPr="002815E1">
        <w:rPr>
          <w:rFonts w:ascii="Times New Roman" w:hAnsi="Times New Roman" w:cs="Times New Roman"/>
          <w:sz w:val="24"/>
          <w:szCs w:val="24"/>
        </w:rPr>
        <w:t xml:space="preserve"> and cash</w:t>
      </w:r>
      <w:bookmarkEnd w:id="0"/>
      <w:r w:rsidR="00165675" w:rsidRPr="002815E1">
        <w:rPr>
          <w:rFonts w:ascii="Times New Roman" w:hAnsi="Times New Roman" w:cs="Times New Roman"/>
          <w:sz w:val="24"/>
          <w:szCs w:val="24"/>
        </w:rPr>
        <w:t>.</w:t>
      </w:r>
      <w:r w:rsidR="00A22E9C" w:rsidRPr="002815E1">
        <w:rPr>
          <w:rFonts w:ascii="Times New Roman" w:hAnsi="Times New Roman" w:cs="Times New Roman"/>
          <w:sz w:val="24"/>
          <w:szCs w:val="24"/>
        </w:rPr>
        <w:t xml:space="preserve"> To achieve these portfolio objectives, the study will apply Markowitz</w:t>
      </w:r>
      <w:r w:rsidR="003B475F">
        <w:rPr>
          <w:rFonts w:ascii="Times New Roman" w:hAnsi="Times New Roman" w:cs="Times New Roman"/>
          <w:sz w:val="24"/>
          <w:szCs w:val="24"/>
        </w:rPr>
        <w:t>'s</w:t>
      </w:r>
      <w:r w:rsidR="00A22E9C" w:rsidRPr="002815E1">
        <w:rPr>
          <w:rFonts w:ascii="Times New Roman" w:hAnsi="Times New Roman" w:cs="Times New Roman"/>
          <w:sz w:val="24"/>
          <w:szCs w:val="24"/>
        </w:rPr>
        <w:t xml:space="preserve"> theory to come up with appropriate weight allocation for different securities.</w:t>
      </w:r>
    </w:p>
    <w:p w:rsidR="00A22E9C" w:rsidRPr="002815E1" w:rsidRDefault="00A22E9C"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The Markowitz technique identifies the most optimal portfolio for the investor by examining three critical variables: yield, volatility, and coefficient of </w:t>
      </w:r>
      <w:r w:rsidR="002815E1" w:rsidRPr="002815E1">
        <w:rPr>
          <w:rFonts w:ascii="Times New Roman" w:hAnsi="Times New Roman" w:cs="Times New Roman"/>
          <w:sz w:val="24"/>
          <w:szCs w:val="24"/>
        </w:rPr>
        <w:t>correlation (</w:t>
      </w:r>
      <w:r w:rsidR="00BD1B68" w:rsidRPr="002815E1">
        <w:rPr>
          <w:rFonts w:ascii="Times New Roman" w:hAnsi="Times New Roman" w:cs="Times New Roman"/>
          <w:sz w:val="24"/>
          <w:szCs w:val="24"/>
        </w:rPr>
        <w:t>Solanki, 2011)</w:t>
      </w:r>
      <w:r w:rsidRPr="002815E1">
        <w:rPr>
          <w:rFonts w:ascii="Times New Roman" w:hAnsi="Times New Roman" w:cs="Times New Roman"/>
          <w:sz w:val="24"/>
          <w:szCs w:val="24"/>
        </w:rPr>
        <w:t>. The investor can apply this model to determine the most effective portfolio by calculating the trade-off between volatility and return. As per this idea, the impacts of one fund purchase are weighed against the impacts of another fund purchase, and the outcomes are then assessed.</w:t>
      </w:r>
    </w:p>
    <w:p w:rsidR="00A22E9C" w:rsidRDefault="00A22E9C" w:rsidP="00980AA6">
      <w:pPr>
        <w:spacing w:after="0"/>
      </w:pPr>
    </w:p>
    <w:p w:rsidR="00851FE7" w:rsidRDefault="00851FE7" w:rsidP="00980AA6">
      <w:pPr>
        <w:spacing w:after="0"/>
      </w:pPr>
    </w:p>
    <w:p w:rsidR="002A63B2" w:rsidRPr="00402FD7" w:rsidRDefault="002A63B2" w:rsidP="00980AA6">
      <w:pPr>
        <w:spacing w:after="0"/>
        <w:rPr>
          <w:b/>
        </w:rPr>
      </w:pPr>
      <w:r w:rsidRPr="00402FD7">
        <w:rPr>
          <w:b/>
        </w:rPr>
        <w:t>Short</w:t>
      </w:r>
      <w:r w:rsidR="003B475F">
        <w:rPr>
          <w:b/>
        </w:rPr>
        <w:t>-</w:t>
      </w:r>
      <w:r w:rsidRPr="00402FD7">
        <w:rPr>
          <w:b/>
        </w:rPr>
        <w:t>term return and standard deviation (yearly).</w:t>
      </w:r>
    </w:p>
    <w:p w:rsidR="002A63B2" w:rsidRDefault="002A63B2" w:rsidP="00980AA6">
      <w:pPr>
        <w:spacing w:after="0"/>
      </w:pPr>
    </w:p>
    <w:tbl>
      <w:tblPr>
        <w:tblW w:w="6960" w:type="dxa"/>
        <w:tblLook w:val="04A0" w:firstRow="1" w:lastRow="0" w:firstColumn="1" w:lastColumn="0" w:noHBand="0" w:noVBand="1"/>
      </w:tblPr>
      <w:tblGrid>
        <w:gridCol w:w="2460"/>
        <w:gridCol w:w="1960"/>
        <w:gridCol w:w="2540"/>
      </w:tblGrid>
      <w:tr w:rsidR="002A63B2" w:rsidRPr="002A63B2" w:rsidTr="002A63B2">
        <w:trPr>
          <w:trHeight w:val="300"/>
        </w:trPr>
        <w:tc>
          <w:tcPr>
            <w:tcW w:w="2460" w:type="dxa"/>
            <w:tcBorders>
              <w:top w:val="single" w:sz="4" w:space="0" w:color="auto"/>
              <w:left w:val="nil"/>
              <w:bottom w:val="single" w:sz="4" w:space="0" w:color="auto"/>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color w:val="000000"/>
              </w:rPr>
            </w:pPr>
            <w:r w:rsidRPr="002A63B2">
              <w:rPr>
                <w:rFonts w:ascii="Calibri" w:eastAsia="Times New Roman" w:hAnsi="Calibri" w:cs="Calibri"/>
                <w:color w:val="000000"/>
              </w:rPr>
              <w:t xml:space="preserve">fund </w:t>
            </w:r>
          </w:p>
        </w:tc>
        <w:tc>
          <w:tcPr>
            <w:tcW w:w="1960" w:type="dxa"/>
            <w:tcBorders>
              <w:top w:val="single" w:sz="4" w:space="0" w:color="auto"/>
              <w:left w:val="nil"/>
              <w:bottom w:val="single" w:sz="4" w:space="0" w:color="auto"/>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color w:val="000000"/>
              </w:rPr>
            </w:pPr>
            <w:r w:rsidRPr="002A63B2">
              <w:rPr>
                <w:rFonts w:ascii="Calibri" w:eastAsia="Times New Roman" w:hAnsi="Calibri" w:cs="Calibri"/>
                <w:color w:val="000000"/>
              </w:rPr>
              <w:t>yearly return</w:t>
            </w:r>
          </w:p>
        </w:tc>
        <w:tc>
          <w:tcPr>
            <w:tcW w:w="2540" w:type="dxa"/>
            <w:tcBorders>
              <w:top w:val="single" w:sz="4" w:space="0" w:color="auto"/>
              <w:left w:val="nil"/>
              <w:bottom w:val="single" w:sz="4" w:space="0" w:color="auto"/>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color w:val="000000"/>
              </w:rPr>
            </w:pPr>
            <w:r w:rsidRPr="002A63B2">
              <w:rPr>
                <w:rFonts w:ascii="Calibri" w:eastAsia="Times New Roman" w:hAnsi="Calibri" w:cs="Calibri"/>
                <w:color w:val="000000"/>
              </w:rPr>
              <w:t>yearly standard deviation</w:t>
            </w:r>
          </w:p>
        </w:tc>
      </w:tr>
      <w:tr w:rsidR="002A63B2" w:rsidRPr="002A63B2" w:rsidTr="002A63B2">
        <w:trPr>
          <w:trHeight w:val="300"/>
        </w:trPr>
        <w:tc>
          <w:tcPr>
            <w:tcW w:w="24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Cash (%)</w:t>
            </w:r>
          </w:p>
        </w:tc>
        <w:tc>
          <w:tcPr>
            <w:tcW w:w="19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-0.967</w:t>
            </w:r>
          </w:p>
        </w:tc>
        <w:tc>
          <w:tcPr>
            <w:tcW w:w="254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1.177</w:t>
            </w:r>
          </w:p>
        </w:tc>
      </w:tr>
      <w:tr w:rsidR="002A63B2" w:rsidRPr="002A63B2" w:rsidTr="002A63B2">
        <w:trPr>
          <w:trHeight w:val="300"/>
        </w:trPr>
        <w:tc>
          <w:tcPr>
            <w:tcW w:w="24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Bond Index</w:t>
            </w:r>
          </w:p>
        </w:tc>
        <w:tc>
          <w:tcPr>
            <w:tcW w:w="19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0.095</w:t>
            </w:r>
          </w:p>
        </w:tc>
        <w:tc>
          <w:tcPr>
            <w:tcW w:w="254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0.101</w:t>
            </w:r>
          </w:p>
        </w:tc>
      </w:tr>
      <w:tr w:rsidR="002A63B2" w:rsidRPr="002A63B2" w:rsidTr="002A63B2">
        <w:trPr>
          <w:trHeight w:val="300"/>
        </w:trPr>
        <w:tc>
          <w:tcPr>
            <w:tcW w:w="24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Equity Index</w:t>
            </w:r>
          </w:p>
        </w:tc>
        <w:tc>
          <w:tcPr>
            <w:tcW w:w="19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0.212</w:t>
            </w:r>
          </w:p>
        </w:tc>
        <w:tc>
          <w:tcPr>
            <w:tcW w:w="254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0.213</w:t>
            </w:r>
          </w:p>
        </w:tc>
      </w:tr>
      <w:tr w:rsidR="002A63B2" w:rsidRPr="002A63B2" w:rsidTr="002A63B2">
        <w:trPr>
          <w:trHeight w:val="300"/>
        </w:trPr>
        <w:tc>
          <w:tcPr>
            <w:tcW w:w="24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Direct Property Index</w:t>
            </w:r>
          </w:p>
        </w:tc>
        <w:tc>
          <w:tcPr>
            <w:tcW w:w="19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0.016</w:t>
            </w:r>
          </w:p>
        </w:tc>
        <w:tc>
          <w:tcPr>
            <w:tcW w:w="254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0.020</w:t>
            </w:r>
          </w:p>
        </w:tc>
      </w:tr>
      <w:tr w:rsidR="002A63B2" w:rsidRPr="002A63B2" w:rsidTr="002A63B2">
        <w:trPr>
          <w:trHeight w:val="300"/>
        </w:trPr>
        <w:tc>
          <w:tcPr>
            <w:tcW w:w="24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Listed Property Index</w:t>
            </w:r>
          </w:p>
        </w:tc>
        <w:tc>
          <w:tcPr>
            <w:tcW w:w="19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-0.042</w:t>
            </w:r>
          </w:p>
        </w:tc>
        <w:tc>
          <w:tcPr>
            <w:tcW w:w="254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0.138</w:t>
            </w:r>
          </w:p>
        </w:tc>
      </w:tr>
      <w:tr w:rsidR="002A63B2" w:rsidRPr="002A63B2" w:rsidTr="002A63B2">
        <w:trPr>
          <w:trHeight w:val="300"/>
        </w:trPr>
        <w:tc>
          <w:tcPr>
            <w:tcW w:w="24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Hedge Funds Index</w:t>
            </w:r>
          </w:p>
        </w:tc>
        <w:tc>
          <w:tcPr>
            <w:tcW w:w="19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0.109</w:t>
            </w:r>
          </w:p>
        </w:tc>
        <w:tc>
          <w:tcPr>
            <w:tcW w:w="254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0.075</w:t>
            </w:r>
          </w:p>
        </w:tc>
      </w:tr>
      <w:tr w:rsidR="002A63B2" w:rsidRPr="002A63B2" w:rsidTr="002A63B2">
        <w:trPr>
          <w:trHeight w:val="300"/>
        </w:trPr>
        <w:tc>
          <w:tcPr>
            <w:tcW w:w="24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Commodity Index</w:t>
            </w:r>
          </w:p>
        </w:tc>
        <w:tc>
          <w:tcPr>
            <w:tcW w:w="196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-0.008</w:t>
            </w:r>
          </w:p>
        </w:tc>
        <w:tc>
          <w:tcPr>
            <w:tcW w:w="2540" w:type="dxa"/>
            <w:tcBorders>
              <w:top w:val="nil"/>
              <w:left w:val="nil"/>
              <w:bottom w:val="nil"/>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0.466</w:t>
            </w:r>
          </w:p>
        </w:tc>
      </w:tr>
      <w:tr w:rsidR="002A63B2" w:rsidRPr="002A63B2" w:rsidTr="002A63B2">
        <w:trPr>
          <w:trHeight w:val="300"/>
        </w:trPr>
        <w:tc>
          <w:tcPr>
            <w:tcW w:w="2460" w:type="dxa"/>
            <w:tcBorders>
              <w:top w:val="nil"/>
              <w:left w:val="nil"/>
              <w:bottom w:val="single" w:sz="4" w:space="0" w:color="auto"/>
              <w:right w:val="nil"/>
            </w:tcBorders>
            <w:shd w:val="clear" w:color="auto" w:fill="auto"/>
            <w:noWrap/>
            <w:vAlign w:val="bottom"/>
            <w:hideMark/>
          </w:tcPr>
          <w:p w:rsidR="002A63B2" w:rsidRPr="002A63B2" w:rsidRDefault="002A63B2" w:rsidP="002A63B2">
            <w:pPr>
              <w:spacing w:after="0" w:line="240" w:lineRule="auto"/>
              <w:rPr>
                <w:rFonts w:ascii="Calibri" w:eastAsia="Times New Roman" w:hAnsi="Calibri" w:cs="Calibri"/>
                <w:bCs/>
                <w:color w:val="000000"/>
              </w:rPr>
            </w:pPr>
            <w:r w:rsidRPr="002A63B2">
              <w:rPr>
                <w:rFonts w:ascii="Calibri" w:eastAsia="Times New Roman" w:hAnsi="Calibri" w:cs="Calibri"/>
                <w:bCs/>
                <w:color w:val="000000"/>
              </w:rPr>
              <w:t>Private Equity Index</w:t>
            </w:r>
          </w:p>
        </w:tc>
        <w:tc>
          <w:tcPr>
            <w:tcW w:w="1960" w:type="dxa"/>
            <w:tcBorders>
              <w:top w:val="nil"/>
              <w:left w:val="nil"/>
              <w:bottom w:val="single" w:sz="4" w:space="0" w:color="auto"/>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0.115</w:t>
            </w:r>
          </w:p>
        </w:tc>
        <w:tc>
          <w:tcPr>
            <w:tcW w:w="2540" w:type="dxa"/>
            <w:tcBorders>
              <w:top w:val="nil"/>
              <w:left w:val="nil"/>
              <w:bottom w:val="single" w:sz="4" w:space="0" w:color="auto"/>
              <w:right w:val="nil"/>
            </w:tcBorders>
            <w:shd w:val="clear" w:color="auto" w:fill="auto"/>
            <w:noWrap/>
            <w:vAlign w:val="bottom"/>
            <w:hideMark/>
          </w:tcPr>
          <w:p w:rsidR="002A63B2" w:rsidRPr="002A63B2" w:rsidRDefault="002A63B2" w:rsidP="002A63B2">
            <w:pPr>
              <w:spacing w:after="0" w:line="240" w:lineRule="auto"/>
              <w:jc w:val="right"/>
              <w:rPr>
                <w:rFonts w:ascii="Calibri" w:eastAsia="Times New Roman" w:hAnsi="Calibri" w:cs="Calibri"/>
                <w:color w:val="000000"/>
              </w:rPr>
            </w:pPr>
            <w:r w:rsidRPr="002A63B2">
              <w:rPr>
                <w:rFonts w:ascii="Calibri" w:eastAsia="Times New Roman" w:hAnsi="Calibri" w:cs="Calibri"/>
                <w:color w:val="000000"/>
              </w:rPr>
              <w:t>0.245</w:t>
            </w:r>
          </w:p>
        </w:tc>
      </w:tr>
    </w:tbl>
    <w:p w:rsidR="002A63B2" w:rsidRDefault="002A63B2" w:rsidP="00980AA6">
      <w:pPr>
        <w:spacing w:after="0"/>
      </w:pPr>
    </w:p>
    <w:p w:rsidR="00093EEC" w:rsidRPr="002815E1" w:rsidRDefault="006937BB" w:rsidP="002815E1">
      <w:pPr>
        <w:spacing w:after="0" w:line="480" w:lineRule="auto"/>
        <w:ind w:firstLine="720"/>
        <w:jc w:val="both"/>
        <w:rPr>
          <w:sz w:val="24"/>
          <w:szCs w:val="24"/>
        </w:rPr>
      </w:pPr>
      <w:r w:rsidRPr="002815E1">
        <w:rPr>
          <w:sz w:val="24"/>
          <w:szCs w:val="24"/>
        </w:rPr>
        <w:t xml:space="preserve">From the above table, based on the short-term period (one year) the cash has </w:t>
      </w:r>
      <w:r w:rsidR="003B475F">
        <w:rPr>
          <w:sz w:val="24"/>
          <w:szCs w:val="24"/>
        </w:rPr>
        <w:t xml:space="preserve">a </w:t>
      </w:r>
      <w:r w:rsidRPr="002815E1">
        <w:rPr>
          <w:sz w:val="24"/>
          <w:szCs w:val="24"/>
        </w:rPr>
        <w:t>mean return of -0.967 and a standard deviation of 1.177. the high standard deviation indicates a high volatility in cash returns over the short-term period (2020). The bond index has a mean of 0.095 which is positive indicating that over the short period, investing in bonds w</w:t>
      </w:r>
      <w:r w:rsidR="00093EEC" w:rsidRPr="002815E1">
        <w:rPr>
          <w:sz w:val="24"/>
          <w:szCs w:val="24"/>
        </w:rPr>
        <w:t>as</w:t>
      </w:r>
      <w:r w:rsidRPr="002815E1">
        <w:rPr>
          <w:sz w:val="24"/>
          <w:szCs w:val="24"/>
        </w:rPr>
        <w:t xml:space="preserve"> profitable. The standard deviation is 0.101 which is more than the return hence high volatility in bond returns. </w:t>
      </w:r>
      <w:r w:rsidR="003B475F">
        <w:rPr>
          <w:sz w:val="24"/>
          <w:szCs w:val="24"/>
        </w:rPr>
        <w:t>The e</w:t>
      </w:r>
      <w:r w:rsidRPr="002815E1">
        <w:rPr>
          <w:sz w:val="24"/>
          <w:szCs w:val="24"/>
        </w:rPr>
        <w:t xml:space="preserve">quity index has a return of 0.212 and a standard deviation of 0.213. direct property index has </w:t>
      </w:r>
      <w:r w:rsidR="003B475F">
        <w:rPr>
          <w:sz w:val="24"/>
          <w:szCs w:val="24"/>
        </w:rPr>
        <w:t xml:space="preserve">a </w:t>
      </w:r>
      <w:r w:rsidRPr="002815E1">
        <w:rPr>
          <w:sz w:val="24"/>
          <w:szCs w:val="24"/>
        </w:rPr>
        <w:t xml:space="preserve">return of 0.016 and a standard deviation of 0.020 indicating a high level of volatility of the returns. </w:t>
      </w:r>
      <w:r w:rsidR="003B475F">
        <w:rPr>
          <w:sz w:val="24"/>
          <w:szCs w:val="24"/>
        </w:rPr>
        <w:t>The l</w:t>
      </w:r>
      <w:r w:rsidRPr="002815E1">
        <w:rPr>
          <w:sz w:val="24"/>
          <w:szCs w:val="24"/>
        </w:rPr>
        <w:t xml:space="preserve">isted property </w:t>
      </w:r>
      <w:r w:rsidR="00093EEC" w:rsidRPr="002815E1">
        <w:rPr>
          <w:sz w:val="24"/>
          <w:szCs w:val="24"/>
        </w:rPr>
        <w:t>index has</w:t>
      </w:r>
      <w:r w:rsidRPr="002815E1">
        <w:rPr>
          <w:sz w:val="24"/>
          <w:szCs w:val="24"/>
        </w:rPr>
        <w:t xml:space="preserve"> a negative return of -0.042 and </w:t>
      </w:r>
      <w:r w:rsidR="003B475F">
        <w:rPr>
          <w:sz w:val="24"/>
          <w:szCs w:val="24"/>
        </w:rPr>
        <w:t xml:space="preserve">a </w:t>
      </w:r>
      <w:r w:rsidRPr="002815E1">
        <w:rPr>
          <w:sz w:val="24"/>
          <w:szCs w:val="24"/>
        </w:rPr>
        <w:t xml:space="preserve">standard deviation of 0.138 indicating </w:t>
      </w:r>
      <w:r w:rsidR="003B475F">
        <w:rPr>
          <w:sz w:val="24"/>
          <w:szCs w:val="24"/>
        </w:rPr>
        <w:t xml:space="preserve">the </w:t>
      </w:r>
      <w:r w:rsidRPr="002815E1">
        <w:rPr>
          <w:sz w:val="24"/>
          <w:szCs w:val="24"/>
        </w:rPr>
        <w:t xml:space="preserve">high level of volatility in </w:t>
      </w:r>
      <w:r w:rsidR="003B475F">
        <w:rPr>
          <w:sz w:val="24"/>
          <w:szCs w:val="24"/>
        </w:rPr>
        <w:t xml:space="preserve">the </w:t>
      </w:r>
      <w:r w:rsidRPr="002815E1">
        <w:rPr>
          <w:sz w:val="24"/>
          <w:szCs w:val="24"/>
        </w:rPr>
        <w:t xml:space="preserve">listed property index. </w:t>
      </w:r>
      <w:r w:rsidR="003B475F">
        <w:rPr>
          <w:sz w:val="24"/>
          <w:szCs w:val="24"/>
        </w:rPr>
        <w:t>The h</w:t>
      </w:r>
      <w:r w:rsidRPr="002815E1">
        <w:rPr>
          <w:sz w:val="24"/>
          <w:szCs w:val="24"/>
        </w:rPr>
        <w:t>edge funds index ha</w:t>
      </w:r>
      <w:r w:rsidR="003B475F">
        <w:rPr>
          <w:sz w:val="24"/>
          <w:szCs w:val="24"/>
        </w:rPr>
        <w:t>s</w:t>
      </w:r>
      <w:r w:rsidRPr="002815E1">
        <w:rPr>
          <w:sz w:val="24"/>
          <w:szCs w:val="24"/>
        </w:rPr>
        <w:t xml:space="preserve"> a positive return of 0.109 and low volatility of 0.075. commodity index </w:t>
      </w:r>
      <w:r w:rsidR="00093EEC" w:rsidRPr="002815E1">
        <w:rPr>
          <w:sz w:val="24"/>
          <w:szCs w:val="24"/>
        </w:rPr>
        <w:t xml:space="preserve">has </w:t>
      </w:r>
      <w:r w:rsidR="003B475F">
        <w:rPr>
          <w:sz w:val="24"/>
          <w:szCs w:val="24"/>
        </w:rPr>
        <w:t xml:space="preserve">the </w:t>
      </w:r>
      <w:r w:rsidR="00093EEC" w:rsidRPr="002815E1">
        <w:rPr>
          <w:sz w:val="24"/>
          <w:szCs w:val="24"/>
        </w:rPr>
        <w:t>return</w:t>
      </w:r>
      <w:r w:rsidRPr="002815E1">
        <w:rPr>
          <w:sz w:val="24"/>
          <w:szCs w:val="24"/>
        </w:rPr>
        <w:t xml:space="preserve"> of -0.</w:t>
      </w:r>
      <w:r w:rsidR="00093EEC" w:rsidRPr="002815E1">
        <w:rPr>
          <w:sz w:val="24"/>
          <w:szCs w:val="24"/>
        </w:rPr>
        <w:t>008 and</w:t>
      </w:r>
      <w:r w:rsidRPr="002815E1">
        <w:rPr>
          <w:sz w:val="24"/>
          <w:szCs w:val="24"/>
        </w:rPr>
        <w:t xml:space="preserve"> the highest volatility at 0.466 and finally the private equity index has </w:t>
      </w:r>
      <w:r w:rsidR="003B475F">
        <w:rPr>
          <w:sz w:val="24"/>
          <w:szCs w:val="24"/>
        </w:rPr>
        <w:t xml:space="preserve">a </w:t>
      </w:r>
      <w:r w:rsidR="00093EEC" w:rsidRPr="002815E1">
        <w:rPr>
          <w:sz w:val="24"/>
          <w:szCs w:val="24"/>
        </w:rPr>
        <w:t xml:space="preserve">0.115 return and 0.245 as volatility. </w:t>
      </w:r>
      <w:r w:rsidR="003B475F">
        <w:rPr>
          <w:sz w:val="24"/>
          <w:szCs w:val="24"/>
        </w:rPr>
        <w:t>In</w:t>
      </w:r>
      <w:r w:rsidR="00093EEC" w:rsidRPr="002815E1">
        <w:rPr>
          <w:sz w:val="24"/>
          <w:szCs w:val="24"/>
        </w:rPr>
        <w:t xml:space="preserve"> </w:t>
      </w:r>
      <w:r w:rsidR="003B475F">
        <w:rPr>
          <w:sz w:val="24"/>
          <w:szCs w:val="24"/>
        </w:rPr>
        <w:t xml:space="preserve">the </w:t>
      </w:r>
      <w:r w:rsidR="00093EEC" w:rsidRPr="002815E1">
        <w:rPr>
          <w:sz w:val="24"/>
          <w:szCs w:val="24"/>
        </w:rPr>
        <w:t>short</w:t>
      </w:r>
      <w:r w:rsidR="003B475F">
        <w:rPr>
          <w:sz w:val="24"/>
          <w:szCs w:val="24"/>
        </w:rPr>
        <w:t xml:space="preserve"> </w:t>
      </w:r>
      <w:r w:rsidR="00093EEC" w:rsidRPr="002815E1">
        <w:rPr>
          <w:sz w:val="24"/>
          <w:szCs w:val="24"/>
        </w:rPr>
        <w:t>term, any rational investor will invest in equity since it has the highest return as compared to other funds.</w:t>
      </w: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6937BB" w:rsidRPr="00093EEC" w:rsidRDefault="006937BB" w:rsidP="00980AA6">
      <w:pPr>
        <w:spacing w:after="0"/>
        <w:rPr>
          <w:b/>
        </w:rPr>
      </w:pPr>
    </w:p>
    <w:p w:rsidR="002A63B2" w:rsidRPr="00093EEC" w:rsidRDefault="002A63B2" w:rsidP="00980AA6">
      <w:pPr>
        <w:spacing w:after="0"/>
        <w:rPr>
          <w:b/>
        </w:rPr>
      </w:pPr>
      <w:r w:rsidRPr="00093EEC">
        <w:rPr>
          <w:b/>
        </w:rPr>
        <w:t>Medium</w:t>
      </w:r>
      <w:r w:rsidR="003B475F">
        <w:rPr>
          <w:b/>
        </w:rPr>
        <w:t>-</w:t>
      </w:r>
      <w:r w:rsidRPr="00093EEC">
        <w:rPr>
          <w:b/>
        </w:rPr>
        <w:t>term return and standard deviation(yearly)</w:t>
      </w:r>
    </w:p>
    <w:tbl>
      <w:tblPr>
        <w:tblW w:w="6960" w:type="dxa"/>
        <w:tblLook w:val="04A0" w:firstRow="1" w:lastRow="0" w:firstColumn="1" w:lastColumn="0" w:noHBand="0" w:noVBand="1"/>
      </w:tblPr>
      <w:tblGrid>
        <w:gridCol w:w="2460"/>
        <w:gridCol w:w="1960"/>
        <w:gridCol w:w="2540"/>
      </w:tblGrid>
      <w:tr w:rsidR="00131D9F" w:rsidRPr="00131D9F" w:rsidTr="00131D9F">
        <w:trPr>
          <w:trHeight w:val="300"/>
        </w:trPr>
        <w:tc>
          <w:tcPr>
            <w:tcW w:w="246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 xml:space="preserve">fund </w:t>
            </w:r>
          </w:p>
        </w:tc>
        <w:tc>
          <w:tcPr>
            <w:tcW w:w="196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yearly return</w:t>
            </w:r>
          </w:p>
        </w:tc>
        <w:tc>
          <w:tcPr>
            <w:tcW w:w="254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yearly standard deviation</w:t>
            </w:r>
          </w:p>
        </w:tc>
      </w:tr>
      <w:tr w:rsidR="00131D9F" w:rsidRPr="00131D9F" w:rsidTr="00131D9F">
        <w:trPr>
          <w:trHeight w:val="300"/>
        </w:trPr>
        <w:tc>
          <w:tcPr>
            <w:tcW w:w="24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Cash (%)</w:t>
            </w:r>
          </w:p>
        </w:tc>
        <w:tc>
          <w:tcPr>
            <w:tcW w:w="1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0.364</w:t>
            </w:r>
          </w:p>
        </w:tc>
        <w:tc>
          <w:tcPr>
            <w:tcW w:w="25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0.7169</w:t>
            </w:r>
          </w:p>
        </w:tc>
      </w:tr>
      <w:tr w:rsidR="00131D9F" w:rsidRPr="00131D9F" w:rsidTr="00131D9F">
        <w:trPr>
          <w:trHeight w:val="300"/>
        </w:trPr>
        <w:tc>
          <w:tcPr>
            <w:tcW w:w="24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Bond Index</w:t>
            </w:r>
          </w:p>
        </w:tc>
        <w:tc>
          <w:tcPr>
            <w:tcW w:w="1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0.047</w:t>
            </w:r>
          </w:p>
        </w:tc>
        <w:tc>
          <w:tcPr>
            <w:tcW w:w="25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0.0707</w:t>
            </w:r>
          </w:p>
        </w:tc>
      </w:tr>
      <w:tr w:rsidR="00131D9F" w:rsidRPr="00131D9F" w:rsidTr="00131D9F">
        <w:trPr>
          <w:trHeight w:val="300"/>
        </w:trPr>
        <w:tc>
          <w:tcPr>
            <w:tcW w:w="24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Equity Index</w:t>
            </w:r>
          </w:p>
        </w:tc>
        <w:tc>
          <w:tcPr>
            <w:tcW w:w="1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0.145</w:t>
            </w:r>
          </w:p>
        </w:tc>
        <w:tc>
          <w:tcPr>
            <w:tcW w:w="25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0.1091</w:t>
            </w:r>
          </w:p>
        </w:tc>
      </w:tr>
      <w:tr w:rsidR="00131D9F" w:rsidRPr="00131D9F" w:rsidTr="00131D9F">
        <w:trPr>
          <w:trHeight w:val="300"/>
        </w:trPr>
        <w:tc>
          <w:tcPr>
            <w:tcW w:w="24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Direct Property Index</w:t>
            </w:r>
          </w:p>
        </w:tc>
        <w:tc>
          <w:tcPr>
            <w:tcW w:w="1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0.058</w:t>
            </w:r>
          </w:p>
        </w:tc>
        <w:tc>
          <w:tcPr>
            <w:tcW w:w="25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0.0137</w:t>
            </w:r>
          </w:p>
        </w:tc>
      </w:tr>
      <w:tr w:rsidR="00131D9F" w:rsidRPr="00131D9F" w:rsidTr="00131D9F">
        <w:trPr>
          <w:trHeight w:val="300"/>
        </w:trPr>
        <w:tc>
          <w:tcPr>
            <w:tcW w:w="24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Listed Property Index</w:t>
            </w:r>
          </w:p>
        </w:tc>
        <w:tc>
          <w:tcPr>
            <w:tcW w:w="1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0.074</w:t>
            </w:r>
          </w:p>
        </w:tc>
        <w:tc>
          <w:tcPr>
            <w:tcW w:w="25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0.1261</w:t>
            </w:r>
          </w:p>
        </w:tc>
      </w:tr>
      <w:tr w:rsidR="00131D9F" w:rsidRPr="00131D9F" w:rsidTr="00131D9F">
        <w:trPr>
          <w:trHeight w:val="300"/>
        </w:trPr>
        <w:tc>
          <w:tcPr>
            <w:tcW w:w="24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Hedge Funds Index</w:t>
            </w:r>
          </w:p>
        </w:tc>
        <w:tc>
          <w:tcPr>
            <w:tcW w:w="1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0.061</w:t>
            </w:r>
          </w:p>
        </w:tc>
        <w:tc>
          <w:tcPr>
            <w:tcW w:w="25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0.0457</w:t>
            </w:r>
          </w:p>
        </w:tc>
      </w:tr>
      <w:tr w:rsidR="00131D9F" w:rsidRPr="00131D9F" w:rsidTr="00131D9F">
        <w:trPr>
          <w:trHeight w:val="300"/>
        </w:trPr>
        <w:tc>
          <w:tcPr>
            <w:tcW w:w="24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Commodity Index</w:t>
            </w:r>
          </w:p>
        </w:tc>
        <w:tc>
          <w:tcPr>
            <w:tcW w:w="1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0.019</w:t>
            </w:r>
          </w:p>
        </w:tc>
        <w:tc>
          <w:tcPr>
            <w:tcW w:w="25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0.2683</w:t>
            </w:r>
          </w:p>
        </w:tc>
      </w:tr>
      <w:tr w:rsidR="00131D9F" w:rsidRPr="00131D9F" w:rsidTr="00131D9F">
        <w:trPr>
          <w:trHeight w:val="300"/>
        </w:trPr>
        <w:tc>
          <w:tcPr>
            <w:tcW w:w="2460" w:type="dxa"/>
            <w:tcBorders>
              <w:top w:val="nil"/>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color w:val="000000"/>
              </w:rPr>
            </w:pPr>
            <w:r w:rsidRPr="00131D9F">
              <w:rPr>
                <w:rFonts w:ascii="Calibri" w:eastAsia="Times New Roman" w:hAnsi="Calibri" w:cs="Calibri"/>
                <w:color w:val="000000"/>
              </w:rPr>
              <w:t>Private Equity Index</w:t>
            </w:r>
          </w:p>
        </w:tc>
        <w:tc>
          <w:tcPr>
            <w:tcW w:w="1960" w:type="dxa"/>
            <w:tcBorders>
              <w:top w:val="nil"/>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0.141</w:t>
            </w:r>
          </w:p>
        </w:tc>
        <w:tc>
          <w:tcPr>
            <w:tcW w:w="2540" w:type="dxa"/>
            <w:tcBorders>
              <w:top w:val="nil"/>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0.1537</w:t>
            </w:r>
          </w:p>
        </w:tc>
      </w:tr>
    </w:tbl>
    <w:p w:rsidR="002A63B2" w:rsidRDefault="002A63B2" w:rsidP="00980AA6">
      <w:pPr>
        <w:spacing w:after="0"/>
      </w:pPr>
    </w:p>
    <w:p w:rsidR="00093EEC" w:rsidRPr="002815E1" w:rsidRDefault="00093EEC"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From the above table, based on the medium-term period (five years) the cash has </w:t>
      </w:r>
      <w:r w:rsidR="003B475F">
        <w:rPr>
          <w:rFonts w:ascii="Times New Roman" w:hAnsi="Times New Roman" w:cs="Times New Roman"/>
          <w:sz w:val="24"/>
          <w:szCs w:val="24"/>
        </w:rPr>
        <w:t xml:space="preserve">a </w:t>
      </w:r>
      <w:r w:rsidRPr="002815E1">
        <w:rPr>
          <w:rFonts w:ascii="Times New Roman" w:hAnsi="Times New Roman" w:cs="Times New Roman"/>
          <w:sz w:val="24"/>
          <w:szCs w:val="24"/>
        </w:rPr>
        <w:t xml:space="preserve">mean return of 0.364 and a standard deviation of 0.7169. The high standard deviation indicates a high volatility in cash returns over the medium-term period. The bond index has a mean of 0.047 which is positive indicating that over the medium-term period, investing in bonds was profitable. The standard deviation is 0.0707 which is less than the return hence low volatility in bond returns. </w:t>
      </w:r>
      <w:r w:rsidR="003B475F">
        <w:rPr>
          <w:rFonts w:ascii="Times New Roman" w:hAnsi="Times New Roman" w:cs="Times New Roman"/>
          <w:sz w:val="24"/>
          <w:szCs w:val="24"/>
        </w:rPr>
        <w:t>The e</w:t>
      </w:r>
      <w:r w:rsidRPr="002815E1">
        <w:rPr>
          <w:rFonts w:ascii="Times New Roman" w:hAnsi="Times New Roman" w:cs="Times New Roman"/>
          <w:sz w:val="24"/>
          <w:szCs w:val="24"/>
        </w:rPr>
        <w:t xml:space="preserve">quity index has a return of 0.145 and a standard deviation of 0.1091. direct property index has </w:t>
      </w:r>
      <w:r w:rsidR="003B475F">
        <w:rPr>
          <w:rFonts w:ascii="Times New Roman" w:hAnsi="Times New Roman" w:cs="Times New Roman"/>
          <w:sz w:val="24"/>
          <w:szCs w:val="24"/>
        </w:rPr>
        <w:t xml:space="preserve">a </w:t>
      </w:r>
      <w:r w:rsidRPr="002815E1">
        <w:rPr>
          <w:rFonts w:ascii="Times New Roman" w:hAnsi="Times New Roman" w:cs="Times New Roman"/>
          <w:sz w:val="24"/>
          <w:szCs w:val="24"/>
        </w:rPr>
        <w:t xml:space="preserve">return of 0.058 and a standard deviation of 0.0137. </w:t>
      </w:r>
      <w:r w:rsidR="003B475F">
        <w:rPr>
          <w:rFonts w:ascii="Times New Roman" w:hAnsi="Times New Roman" w:cs="Times New Roman"/>
          <w:sz w:val="24"/>
          <w:szCs w:val="24"/>
        </w:rPr>
        <w:t>The l</w:t>
      </w:r>
      <w:r w:rsidRPr="002815E1">
        <w:rPr>
          <w:rFonts w:ascii="Times New Roman" w:hAnsi="Times New Roman" w:cs="Times New Roman"/>
          <w:sz w:val="24"/>
          <w:szCs w:val="24"/>
        </w:rPr>
        <w:t xml:space="preserve">isted property index has a positive return of 0.074 and </w:t>
      </w:r>
      <w:r w:rsidR="003B475F">
        <w:rPr>
          <w:rFonts w:ascii="Times New Roman" w:hAnsi="Times New Roman" w:cs="Times New Roman"/>
          <w:sz w:val="24"/>
          <w:szCs w:val="24"/>
        </w:rPr>
        <w:t xml:space="preserve">a </w:t>
      </w:r>
      <w:r w:rsidRPr="002815E1">
        <w:rPr>
          <w:rFonts w:ascii="Times New Roman" w:hAnsi="Times New Roman" w:cs="Times New Roman"/>
          <w:sz w:val="24"/>
          <w:szCs w:val="24"/>
        </w:rPr>
        <w:t xml:space="preserve">standard deviation of 0.126 indicating </w:t>
      </w:r>
      <w:r w:rsidR="003B475F">
        <w:rPr>
          <w:rFonts w:ascii="Times New Roman" w:hAnsi="Times New Roman" w:cs="Times New Roman"/>
          <w:sz w:val="24"/>
          <w:szCs w:val="24"/>
        </w:rPr>
        <w:t xml:space="preserve">the </w:t>
      </w:r>
      <w:r w:rsidRPr="002815E1">
        <w:rPr>
          <w:rFonts w:ascii="Times New Roman" w:hAnsi="Times New Roman" w:cs="Times New Roman"/>
          <w:sz w:val="24"/>
          <w:szCs w:val="24"/>
        </w:rPr>
        <w:t xml:space="preserve">high level of volatility in </w:t>
      </w:r>
      <w:r w:rsidR="003B475F">
        <w:rPr>
          <w:rFonts w:ascii="Times New Roman" w:hAnsi="Times New Roman" w:cs="Times New Roman"/>
          <w:sz w:val="24"/>
          <w:szCs w:val="24"/>
        </w:rPr>
        <w:t xml:space="preserve">the </w:t>
      </w:r>
      <w:r w:rsidRPr="002815E1">
        <w:rPr>
          <w:rFonts w:ascii="Times New Roman" w:hAnsi="Times New Roman" w:cs="Times New Roman"/>
          <w:sz w:val="24"/>
          <w:szCs w:val="24"/>
        </w:rPr>
        <w:t xml:space="preserve">listed property index. </w:t>
      </w:r>
      <w:r w:rsidR="003B475F">
        <w:rPr>
          <w:rFonts w:ascii="Times New Roman" w:hAnsi="Times New Roman" w:cs="Times New Roman"/>
          <w:sz w:val="24"/>
          <w:szCs w:val="24"/>
        </w:rPr>
        <w:t>The h</w:t>
      </w:r>
      <w:r w:rsidRPr="002815E1">
        <w:rPr>
          <w:rFonts w:ascii="Times New Roman" w:hAnsi="Times New Roman" w:cs="Times New Roman"/>
          <w:sz w:val="24"/>
          <w:szCs w:val="24"/>
        </w:rPr>
        <w:t>edge funds index ha</w:t>
      </w:r>
      <w:r w:rsidR="003B475F">
        <w:rPr>
          <w:rFonts w:ascii="Times New Roman" w:hAnsi="Times New Roman" w:cs="Times New Roman"/>
          <w:sz w:val="24"/>
          <w:szCs w:val="24"/>
        </w:rPr>
        <w:t>s</w:t>
      </w:r>
      <w:r w:rsidRPr="002815E1">
        <w:rPr>
          <w:rFonts w:ascii="Times New Roman" w:hAnsi="Times New Roman" w:cs="Times New Roman"/>
          <w:sz w:val="24"/>
          <w:szCs w:val="24"/>
        </w:rPr>
        <w:t xml:space="preserve"> a positive return of 0.061 and low volatility of 0.0457. commodity index has </w:t>
      </w:r>
      <w:r w:rsidR="003B475F">
        <w:rPr>
          <w:rFonts w:ascii="Times New Roman" w:hAnsi="Times New Roman" w:cs="Times New Roman"/>
          <w:sz w:val="24"/>
          <w:szCs w:val="24"/>
        </w:rPr>
        <w:t xml:space="preserve">a </w:t>
      </w:r>
      <w:r w:rsidRPr="002815E1">
        <w:rPr>
          <w:rFonts w:ascii="Times New Roman" w:hAnsi="Times New Roman" w:cs="Times New Roman"/>
          <w:sz w:val="24"/>
          <w:szCs w:val="24"/>
        </w:rPr>
        <w:t>return of 0.019 and volatility at 0.2683 and finally</w:t>
      </w:r>
      <w:r w:rsidR="003B475F">
        <w:rPr>
          <w:rFonts w:ascii="Times New Roman" w:hAnsi="Times New Roman" w:cs="Times New Roman"/>
          <w:sz w:val="24"/>
          <w:szCs w:val="24"/>
        </w:rPr>
        <w:t>,</w:t>
      </w:r>
      <w:r w:rsidRPr="002815E1">
        <w:rPr>
          <w:rFonts w:ascii="Times New Roman" w:hAnsi="Times New Roman" w:cs="Times New Roman"/>
          <w:sz w:val="24"/>
          <w:szCs w:val="24"/>
        </w:rPr>
        <w:t xml:space="preserve"> the private equity index has </w:t>
      </w:r>
      <w:r w:rsidR="003B475F">
        <w:rPr>
          <w:rFonts w:ascii="Times New Roman" w:hAnsi="Times New Roman" w:cs="Times New Roman"/>
          <w:sz w:val="24"/>
          <w:szCs w:val="24"/>
        </w:rPr>
        <w:t xml:space="preserve">a </w:t>
      </w:r>
      <w:r w:rsidRPr="002815E1">
        <w:rPr>
          <w:rFonts w:ascii="Times New Roman" w:hAnsi="Times New Roman" w:cs="Times New Roman"/>
          <w:sz w:val="24"/>
          <w:szCs w:val="24"/>
        </w:rPr>
        <w:t xml:space="preserve">0.141 return and 0.1537 as volatility. </w:t>
      </w:r>
      <w:r w:rsidR="003B475F">
        <w:rPr>
          <w:rFonts w:ascii="Times New Roman" w:hAnsi="Times New Roman" w:cs="Times New Roman"/>
          <w:sz w:val="24"/>
          <w:szCs w:val="24"/>
        </w:rPr>
        <w:t>In</w:t>
      </w:r>
      <w:r w:rsidRPr="002815E1">
        <w:rPr>
          <w:rFonts w:ascii="Times New Roman" w:hAnsi="Times New Roman" w:cs="Times New Roman"/>
          <w:sz w:val="24"/>
          <w:szCs w:val="24"/>
        </w:rPr>
        <w:t xml:space="preserve"> </w:t>
      </w:r>
      <w:r w:rsidR="003B475F">
        <w:rPr>
          <w:rFonts w:ascii="Times New Roman" w:hAnsi="Times New Roman" w:cs="Times New Roman"/>
          <w:sz w:val="24"/>
          <w:szCs w:val="24"/>
        </w:rPr>
        <w:t xml:space="preserve">the </w:t>
      </w:r>
      <w:r w:rsidRPr="002815E1">
        <w:rPr>
          <w:rFonts w:ascii="Times New Roman" w:hAnsi="Times New Roman" w:cs="Times New Roman"/>
          <w:sz w:val="24"/>
          <w:szCs w:val="24"/>
        </w:rPr>
        <w:t>short</w:t>
      </w:r>
      <w:r w:rsidR="003B475F">
        <w:rPr>
          <w:rFonts w:ascii="Times New Roman" w:hAnsi="Times New Roman" w:cs="Times New Roman"/>
          <w:sz w:val="24"/>
          <w:szCs w:val="24"/>
        </w:rPr>
        <w:t xml:space="preserve"> </w:t>
      </w:r>
      <w:r w:rsidRPr="002815E1">
        <w:rPr>
          <w:rFonts w:ascii="Times New Roman" w:hAnsi="Times New Roman" w:cs="Times New Roman"/>
          <w:sz w:val="24"/>
          <w:szCs w:val="24"/>
        </w:rPr>
        <w:t xml:space="preserve">term, any rational investor will invest in </w:t>
      </w:r>
      <w:r w:rsidR="003B475F">
        <w:rPr>
          <w:rFonts w:ascii="Times New Roman" w:hAnsi="Times New Roman" w:cs="Times New Roman"/>
          <w:sz w:val="24"/>
          <w:szCs w:val="24"/>
        </w:rPr>
        <w:t xml:space="preserve">a </w:t>
      </w:r>
      <w:r w:rsidRPr="002815E1">
        <w:rPr>
          <w:rFonts w:ascii="Times New Roman" w:hAnsi="Times New Roman" w:cs="Times New Roman"/>
          <w:sz w:val="24"/>
          <w:szCs w:val="24"/>
        </w:rPr>
        <w:t>cash fund since it has the highest return as compared to other funds.</w:t>
      </w:r>
    </w:p>
    <w:p w:rsidR="00093EEC" w:rsidRPr="002815E1" w:rsidRDefault="00093EEC"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When comparing the </w:t>
      </w:r>
      <w:r w:rsidR="006221C4" w:rsidRPr="002815E1">
        <w:rPr>
          <w:rFonts w:ascii="Times New Roman" w:hAnsi="Times New Roman" w:cs="Times New Roman"/>
          <w:sz w:val="24"/>
          <w:szCs w:val="24"/>
        </w:rPr>
        <w:t>two periods (short and medium</w:t>
      </w:r>
      <w:r w:rsidR="003B475F">
        <w:rPr>
          <w:rFonts w:ascii="Times New Roman" w:hAnsi="Times New Roman" w:cs="Times New Roman"/>
          <w:sz w:val="24"/>
          <w:szCs w:val="24"/>
        </w:rPr>
        <w:t>-</w:t>
      </w:r>
      <w:r w:rsidR="006221C4" w:rsidRPr="002815E1">
        <w:rPr>
          <w:rFonts w:ascii="Times New Roman" w:hAnsi="Times New Roman" w:cs="Times New Roman"/>
          <w:sz w:val="24"/>
          <w:szCs w:val="24"/>
        </w:rPr>
        <w:t>term) it is clear the over the past five years (medium</w:t>
      </w:r>
      <w:r w:rsidR="003B475F">
        <w:rPr>
          <w:rFonts w:ascii="Times New Roman" w:hAnsi="Times New Roman" w:cs="Times New Roman"/>
          <w:sz w:val="24"/>
          <w:szCs w:val="24"/>
        </w:rPr>
        <w:t>-</w:t>
      </w:r>
      <w:r w:rsidR="006221C4" w:rsidRPr="002815E1">
        <w:rPr>
          <w:rFonts w:ascii="Times New Roman" w:hAnsi="Times New Roman" w:cs="Times New Roman"/>
          <w:sz w:val="24"/>
          <w:szCs w:val="24"/>
        </w:rPr>
        <w:t xml:space="preserve">term) funds generated positive returns as compared to </w:t>
      </w:r>
      <w:r w:rsidR="003B475F">
        <w:rPr>
          <w:rFonts w:ascii="Times New Roman" w:hAnsi="Times New Roman" w:cs="Times New Roman"/>
          <w:sz w:val="24"/>
          <w:szCs w:val="24"/>
        </w:rPr>
        <w:t xml:space="preserve">the </w:t>
      </w:r>
      <w:proofErr w:type="gramStart"/>
      <w:r w:rsidR="006221C4" w:rsidRPr="002815E1">
        <w:rPr>
          <w:rFonts w:ascii="Times New Roman" w:hAnsi="Times New Roman" w:cs="Times New Roman"/>
          <w:sz w:val="24"/>
          <w:szCs w:val="24"/>
        </w:rPr>
        <w:t>short term</w:t>
      </w:r>
      <w:proofErr w:type="gramEnd"/>
      <w:r w:rsidR="006221C4" w:rsidRPr="002815E1">
        <w:rPr>
          <w:rFonts w:ascii="Times New Roman" w:hAnsi="Times New Roman" w:cs="Times New Roman"/>
          <w:sz w:val="24"/>
          <w:szCs w:val="24"/>
        </w:rPr>
        <w:t xml:space="preserve"> period (2020). This difference may be as a result of the Covid-19 pandemic </w:t>
      </w:r>
      <w:bookmarkStart w:id="1" w:name="_Hlk85219782"/>
      <w:r w:rsidR="006221C4" w:rsidRPr="002815E1">
        <w:rPr>
          <w:rFonts w:ascii="Times New Roman" w:hAnsi="Times New Roman" w:cs="Times New Roman"/>
          <w:sz w:val="24"/>
          <w:szCs w:val="24"/>
        </w:rPr>
        <w:t xml:space="preserve">which has led to more decreased economic activities around the world hence reduced purchasing power of individuals. With low purchasing power, the demand for goods and services reduces hence leading to </w:t>
      </w:r>
      <w:r w:rsidR="003B475F">
        <w:rPr>
          <w:rFonts w:ascii="Times New Roman" w:hAnsi="Times New Roman" w:cs="Times New Roman"/>
          <w:sz w:val="24"/>
          <w:szCs w:val="24"/>
        </w:rPr>
        <w:t xml:space="preserve">a </w:t>
      </w:r>
      <w:r w:rsidR="006221C4" w:rsidRPr="002815E1">
        <w:rPr>
          <w:rFonts w:ascii="Times New Roman" w:hAnsi="Times New Roman" w:cs="Times New Roman"/>
          <w:sz w:val="24"/>
          <w:szCs w:val="24"/>
        </w:rPr>
        <w:t>low production rate consequently leading to low returns for companies.</w:t>
      </w:r>
    </w:p>
    <w:bookmarkEnd w:id="1"/>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093EEC" w:rsidRDefault="00093EEC" w:rsidP="00980AA6">
      <w:pPr>
        <w:spacing w:after="0"/>
      </w:pPr>
    </w:p>
    <w:p w:rsidR="00131D9F" w:rsidRDefault="00131D9F" w:rsidP="00980AA6">
      <w:pPr>
        <w:spacing w:after="0"/>
      </w:pPr>
    </w:p>
    <w:p w:rsidR="00131D9F" w:rsidRDefault="006221C4" w:rsidP="00980AA6">
      <w:pPr>
        <w:spacing w:after="0"/>
      </w:pPr>
      <w:r>
        <w:t>Impact of Covid-19</w:t>
      </w:r>
    </w:p>
    <w:p w:rsidR="006221C4" w:rsidRDefault="006221C4" w:rsidP="00980AA6">
      <w:pPr>
        <w:spacing w:after="0"/>
      </w:pPr>
    </w:p>
    <w:p w:rsidR="00160BB3" w:rsidRDefault="006221C4" w:rsidP="00980AA6">
      <w:pPr>
        <w:spacing w:after="0"/>
      </w:pPr>
      <w:r>
        <w:t xml:space="preserve">Figure 1: </w:t>
      </w:r>
      <w:r w:rsidR="003B475F">
        <w:t xml:space="preserve">the </w:t>
      </w:r>
      <w:r>
        <w:t>quarterly return of different securities.</w:t>
      </w:r>
    </w:p>
    <w:p w:rsidR="00160BB3" w:rsidRDefault="00160BB3" w:rsidP="00980AA6">
      <w:pPr>
        <w:spacing w:after="0"/>
      </w:pPr>
      <w:r>
        <w:rPr>
          <w:noProof/>
        </w:rPr>
        <w:drawing>
          <wp:inline distT="0" distB="0" distL="0" distR="0" wp14:anchorId="3A48E590" wp14:editId="199B91A1">
            <wp:extent cx="4572000" cy="2743200"/>
            <wp:effectExtent l="0" t="0" r="0" b="0"/>
            <wp:docPr id="1" name="Chart 1">
              <a:extLst xmlns:a="http://schemas.openxmlformats.org/drawingml/2006/main">
                <a:ext uri="{FF2B5EF4-FFF2-40B4-BE49-F238E27FC236}">
                  <a16:creationId xmlns:a16="http://schemas.microsoft.com/office/drawing/2014/main" id="{1C848D77-E6D7-494B-874B-2E0E6205FA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31D9F" w:rsidRDefault="00131D9F" w:rsidP="00980AA6">
      <w:pPr>
        <w:spacing w:after="0"/>
      </w:pPr>
    </w:p>
    <w:p w:rsidR="006221C4" w:rsidRPr="002815E1" w:rsidRDefault="006221C4" w:rsidP="002815E1">
      <w:pPr>
        <w:spacing w:after="0" w:line="48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 xml:space="preserve">From the above graphs, there is a downward trend in quarterly returns from Q4 2019 to Q2 2020. The reduction is a result of Covid-19. The pandemic has led to more decreased economic activities around the world hence reduced purchasing power of individuals. With low purchasing power, the demand for goods and services reduces hence leading to </w:t>
      </w:r>
      <w:r w:rsidR="003B475F">
        <w:rPr>
          <w:rFonts w:ascii="Times New Roman" w:hAnsi="Times New Roman" w:cs="Times New Roman"/>
          <w:sz w:val="24"/>
          <w:szCs w:val="24"/>
        </w:rPr>
        <w:t xml:space="preserve">a </w:t>
      </w:r>
      <w:r w:rsidRPr="002815E1">
        <w:rPr>
          <w:rFonts w:ascii="Times New Roman" w:hAnsi="Times New Roman" w:cs="Times New Roman"/>
          <w:sz w:val="24"/>
          <w:szCs w:val="24"/>
        </w:rPr>
        <w:t xml:space="preserve">low production rate consequently leading to low returns for companies. The high unemployment rate </w:t>
      </w:r>
      <w:r w:rsidR="009055C6" w:rsidRPr="002815E1">
        <w:rPr>
          <w:rFonts w:ascii="Times New Roman" w:hAnsi="Times New Roman" w:cs="Times New Roman"/>
          <w:sz w:val="24"/>
          <w:szCs w:val="24"/>
        </w:rPr>
        <w:t>may also be a reason for reduced purchasing power among individuals.</w:t>
      </w: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131D9F" w:rsidRDefault="00131D9F" w:rsidP="00980AA6">
      <w:pPr>
        <w:spacing w:after="0"/>
      </w:pPr>
    </w:p>
    <w:p w:rsidR="00CE253D" w:rsidRDefault="00CE253D" w:rsidP="00980AA6">
      <w:pPr>
        <w:spacing w:after="0"/>
      </w:pPr>
    </w:p>
    <w:p w:rsidR="00CE253D" w:rsidRDefault="00CE253D"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2815E1" w:rsidRDefault="002815E1" w:rsidP="00980AA6">
      <w:pPr>
        <w:spacing w:after="0"/>
      </w:pPr>
    </w:p>
    <w:p w:rsidR="00CE253D" w:rsidRDefault="00CE253D" w:rsidP="00980AA6">
      <w:pPr>
        <w:spacing w:after="0"/>
      </w:pPr>
    </w:p>
    <w:p w:rsidR="00CE253D" w:rsidRDefault="00CE253D" w:rsidP="00980AA6">
      <w:pPr>
        <w:spacing w:after="0"/>
      </w:pPr>
    </w:p>
    <w:p w:rsidR="00CE253D" w:rsidRDefault="00CE253D" w:rsidP="00980AA6">
      <w:pPr>
        <w:spacing w:after="0"/>
      </w:pPr>
    </w:p>
    <w:p w:rsidR="00131D9F" w:rsidRDefault="00131D9F" w:rsidP="00980AA6">
      <w:pPr>
        <w:spacing w:after="0"/>
      </w:pPr>
    </w:p>
    <w:p w:rsidR="00131D9F" w:rsidRDefault="00131D9F" w:rsidP="00980AA6">
      <w:pPr>
        <w:spacing w:after="0"/>
      </w:pPr>
    </w:p>
    <w:p w:rsidR="00131D9F" w:rsidRPr="00422E92" w:rsidRDefault="00131D9F" w:rsidP="00980AA6">
      <w:pPr>
        <w:spacing w:after="0"/>
        <w:rPr>
          <w:b/>
        </w:rPr>
      </w:pPr>
      <w:r w:rsidRPr="00422E92">
        <w:rPr>
          <w:b/>
        </w:rPr>
        <w:t xml:space="preserve">Short term correlation matrix </w:t>
      </w:r>
    </w:p>
    <w:p w:rsidR="00131D9F" w:rsidRDefault="00131D9F" w:rsidP="00980AA6">
      <w:pPr>
        <w:spacing w:after="0"/>
      </w:pPr>
    </w:p>
    <w:tbl>
      <w:tblPr>
        <w:tblW w:w="12282" w:type="dxa"/>
        <w:tblLook w:val="04A0" w:firstRow="1" w:lastRow="0" w:firstColumn="1" w:lastColumn="0" w:noHBand="0" w:noVBand="1"/>
      </w:tblPr>
      <w:tblGrid>
        <w:gridCol w:w="1180"/>
        <w:gridCol w:w="920"/>
        <w:gridCol w:w="356"/>
        <w:gridCol w:w="697"/>
        <w:gridCol w:w="467"/>
        <w:gridCol w:w="713"/>
        <w:gridCol w:w="451"/>
        <w:gridCol w:w="825"/>
        <w:gridCol w:w="116"/>
        <w:gridCol w:w="1048"/>
        <w:gridCol w:w="232"/>
        <w:gridCol w:w="932"/>
        <w:gridCol w:w="232"/>
        <w:gridCol w:w="709"/>
        <w:gridCol w:w="251"/>
        <w:gridCol w:w="1029"/>
        <w:gridCol w:w="1164"/>
        <w:gridCol w:w="960"/>
      </w:tblGrid>
      <w:tr w:rsidR="00160BB3" w:rsidRPr="00160BB3" w:rsidTr="00CE253D">
        <w:trPr>
          <w:trHeight w:val="300"/>
        </w:trPr>
        <w:tc>
          <w:tcPr>
            <w:tcW w:w="2100"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jc w:val="center"/>
              <w:rPr>
                <w:rFonts w:ascii="Calibri" w:eastAsia="Times New Roman" w:hAnsi="Calibri" w:cs="Calibri"/>
                <w:i/>
                <w:iCs/>
                <w:color w:val="000000"/>
              </w:rPr>
            </w:pPr>
            <w:r w:rsidRPr="00160BB3">
              <w:rPr>
                <w:rFonts w:ascii="Calibri" w:eastAsia="Times New Roman" w:hAnsi="Calibri" w:cs="Calibri"/>
                <w:i/>
                <w:iCs/>
                <w:color w:val="000000"/>
              </w:rPr>
              <w:t> </w:t>
            </w:r>
          </w:p>
        </w:tc>
        <w:tc>
          <w:tcPr>
            <w:tcW w:w="1053"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Cash (%)</w:t>
            </w:r>
          </w:p>
        </w:tc>
        <w:tc>
          <w:tcPr>
            <w:tcW w:w="1180"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Bond Index</w:t>
            </w:r>
          </w:p>
        </w:tc>
        <w:tc>
          <w:tcPr>
            <w:tcW w:w="1276"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Equity Index</w:t>
            </w:r>
          </w:p>
        </w:tc>
        <w:tc>
          <w:tcPr>
            <w:tcW w:w="1164"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Direct Property Index</w:t>
            </w:r>
          </w:p>
        </w:tc>
        <w:tc>
          <w:tcPr>
            <w:tcW w:w="1164"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Listed Property Index</w:t>
            </w:r>
          </w:p>
        </w:tc>
        <w:tc>
          <w:tcPr>
            <w:tcW w:w="941"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Hedge Funds Index</w:t>
            </w:r>
          </w:p>
        </w:tc>
        <w:tc>
          <w:tcPr>
            <w:tcW w:w="1280" w:type="dxa"/>
            <w:gridSpan w:val="2"/>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Commodity Index</w:t>
            </w:r>
          </w:p>
        </w:tc>
        <w:tc>
          <w:tcPr>
            <w:tcW w:w="1164" w:type="dxa"/>
            <w:tcBorders>
              <w:top w:val="single" w:sz="4" w:space="0" w:color="auto"/>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Private Equity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p>
        </w:tc>
      </w:tr>
      <w:tr w:rsidR="00160BB3" w:rsidRPr="00160BB3" w:rsidTr="00CE253D">
        <w:trPr>
          <w:trHeight w:val="300"/>
        </w:trPr>
        <w:tc>
          <w:tcPr>
            <w:tcW w:w="210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Cash (%)</w:t>
            </w:r>
          </w:p>
        </w:tc>
        <w:tc>
          <w:tcPr>
            <w:tcW w:w="1053"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11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-0.0829055</w:t>
            </w:r>
          </w:p>
        </w:tc>
        <w:tc>
          <w:tcPr>
            <w:tcW w:w="1276"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0.35317107</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-0.7179738</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-0.155233</w:t>
            </w:r>
          </w:p>
        </w:tc>
        <w:tc>
          <w:tcPr>
            <w:tcW w:w="941"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0.18108</w:t>
            </w:r>
          </w:p>
        </w:tc>
        <w:tc>
          <w:tcPr>
            <w:tcW w:w="12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-0.16658</w:t>
            </w:r>
          </w:p>
        </w:tc>
        <w:tc>
          <w:tcPr>
            <w:tcW w:w="1164"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-0.165459</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160BB3" w:rsidRPr="00160BB3" w:rsidTr="00CE253D">
        <w:trPr>
          <w:trHeight w:val="300"/>
        </w:trPr>
        <w:tc>
          <w:tcPr>
            <w:tcW w:w="210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Bond Index</w:t>
            </w:r>
          </w:p>
        </w:tc>
        <w:tc>
          <w:tcPr>
            <w:tcW w:w="1053"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-0.08291</w:t>
            </w:r>
          </w:p>
        </w:tc>
        <w:tc>
          <w:tcPr>
            <w:tcW w:w="11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1276"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-0.6919779</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-0.6340104</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-0.971483</w:t>
            </w:r>
          </w:p>
        </w:tc>
        <w:tc>
          <w:tcPr>
            <w:tcW w:w="941"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-0.9317</w:t>
            </w:r>
          </w:p>
        </w:tc>
        <w:tc>
          <w:tcPr>
            <w:tcW w:w="12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-0.96614</w:t>
            </w:r>
          </w:p>
        </w:tc>
        <w:tc>
          <w:tcPr>
            <w:tcW w:w="1164"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-0.967514</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160BB3" w:rsidRPr="00160BB3" w:rsidTr="00CE253D">
        <w:trPr>
          <w:trHeight w:val="300"/>
        </w:trPr>
        <w:tc>
          <w:tcPr>
            <w:tcW w:w="210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Equity Index</w:t>
            </w:r>
          </w:p>
        </w:tc>
        <w:tc>
          <w:tcPr>
            <w:tcW w:w="1053"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0.353171</w:t>
            </w:r>
          </w:p>
        </w:tc>
        <w:tc>
          <w:tcPr>
            <w:tcW w:w="11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-0.6919779</w:t>
            </w:r>
          </w:p>
        </w:tc>
        <w:tc>
          <w:tcPr>
            <w:tcW w:w="1276"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0.2000312</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0.6123726</w:t>
            </w:r>
          </w:p>
        </w:tc>
        <w:tc>
          <w:tcPr>
            <w:tcW w:w="941"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0.44664</w:t>
            </w:r>
          </w:p>
        </w:tc>
        <w:tc>
          <w:tcPr>
            <w:tcW w:w="12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0.547142</w:t>
            </w:r>
          </w:p>
        </w:tc>
        <w:tc>
          <w:tcPr>
            <w:tcW w:w="1164"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0.6332305</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160BB3" w:rsidRPr="00160BB3" w:rsidTr="00CE253D">
        <w:trPr>
          <w:trHeight w:val="300"/>
        </w:trPr>
        <w:tc>
          <w:tcPr>
            <w:tcW w:w="210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Direct Property Index</w:t>
            </w:r>
          </w:p>
        </w:tc>
        <w:tc>
          <w:tcPr>
            <w:tcW w:w="1053"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-0.71797</w:t>
            </w:r>
          </w:p>
        </w:tc>
        <w:tc>
          <w:tcPr>
            <w:tcW w:w="11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-0.6340104</w:t>
            </w:r>
          </w:p>
        </w:tc>
        <w:tc>
          <w:tcPr>
            <w:tcW w:w="1276"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0.20003123</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0.7986404</w:t>
            </w:r>
          </w:p>
        </w:tc>
        <w:tc>
          <w:tcPr>
            <w:tcW w:w="941"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0.51499</w:t>
            </w:r>
          </w:p>
        </w:tc>
        <w:tc>
          <w:tcPr>
            <w:tcW w:w="12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0.804949</w:t>
            </w:r>
          </w:p>
        </w:tc>
        <w:tc>
          <w:tcPr>
            <w:tcW w:w="1164"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0.8032396</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160BB3" w:rsidRPr="00160BB3" w:rsidTr="00CE253D">
        <w:trPr>
          <w:trHeight w:val="300"/>
        </w:trPr>
        <w:tc>
          <w:tcPr>
            <w:tcW w:w="210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Listed Property Index</w:t>
            </w:r>
          </w:p>
        </w:tc>
        <w:tc>
          <w:tcPr>
            <w:tcW w:w="1053"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-0.15523</w:t>
            </w:r>
          </w:p>
        </w:tc>
        <w:tc>
          <w:tcPr>
            <w:tcW w:w="11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-0.9714825</w:t>
            </w:r>
          </w:p>
        </w:tc>
        <w:tc>
          <w:tcPr>
            <w:tcW w:w="1276"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0.61237263</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0.7986404</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941"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0.87499</w:t>
            </w:r>
          </w:p>
        </w:tc>
        <w:tc>
          <w:tcPr>
            <w:tcW w:w="12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0.996004</w:t>
            </w:r>
          </w:p>
        </w:tc>
        <w:tc>
          <w:tcPr>
            <w:tcW w:w="1164"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0.9991288</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160BB3" w:rsidRPr="00160BB3" w:rsidTr="00CE253D">
        <w:trPr>
          <w:trHeight w:val="300"/>
        </w:trPr>
        <w:tc>
          <w:tcPr>
            <w:tcW w:w="210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Hedge Funds Index</w:t>
            </w:r>
          </w:p>
        </w:tc>
        <w:tc>
          <w:tcPr>
            <w:tcW w:w="1053"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0.181081</w:t>
            </w:r>
          </w:p>
        </w:tc>
        <w:tc>
          <w:tcPr>
            <w:tcW w:w="11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-0.9316908</w:t>
            </w:r>
          </w:p>
        </w:tc>
        <w:tc>
          <w:tcPr>
            <w:tcW w:w="1276"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0.44663613</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0.5149939</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0.8749945</w:t>
            </w:r>
          </w:p>
        </w:tc>
        <w:tc>
          <w:tcPr>
            <w:tcW w:w="941"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12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0.899696</w:t>
            </w:r>
          </w:p>
        </w:tc>
        <w:tc>
          <w:tcPr>
            <w:tcW w:w="1164"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0.8562217</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160BB3" w:rsidRPr="00160BB3" w:rsidTr="00CE253D">
        <w:trPr>
          <w:trHeight w:val="300"/>
        </w:trPr>
        <w:tc>
          <w:tcPr>
            <w:tcW w:w="210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Commodity Index</w:t>
            </w:r>
          </w:p>
        </w:tc>
        <w:tc>
          <w:tcPr>
            <w:tcW w:w="1053"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-0.16658</w:t>
            </w:r>
          </w:p>
        </w:tc>
        <w:tc>
          <w:tcPr>
            <w:tcW w:w="11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-0.9661383</w:t>
            </w:r>
          </w:p>
        </w:tc>
        <w:tc>
          <w:tcPr>
            <w:tcW w:w="1276"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0.54714169</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0.8049492</w:t>
            </w:r>
          </w:p>
        </w:tc>
        <w:tc>
          <w:tcPr>
            <w:tcW w:w="1164"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0.9960036</w:t>
            </w:r>
          </w:p>
        </w:tc>
        <w:tc>
          <w:tcPr>
            <w:tcW w:w="941"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0.8997</w:t>
            </w:r>
          </w:p>
        </w:tc>
        <w:tc>
          <w:tcPr>
            <w:tcW w:w="1280" w:type="dxa"/>
            <w:gridSpan w:val="2"/>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1164"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0.9916888</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160BB3" w:rsidRPr="00160BB3" w:rsidTr="00CE253D">
        <w:trPr>
          <w:trHeight w:val="315"/>
        </w:trPr>
        <w:tc>
          <w:tcPr>
            <w:tcW w:w="2100"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Private Equity Index</w:t>
            </w:r>
          </w:p>
        </w:tc>
        <w:tc>
          <w:tcPr>
            <w:tcW w:w="1053"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-0.16546</w:t>
            </w:r>
          </w:p>
        </w:tc>
        <w:tc>
          <w:tcPr>
            <w:tcW w:w="1180"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-0.9675139</w:t>
            </w:r>
          </w:p>
        </w:tc>
        <w:tc>
          <w:tcPr>
            <w:tcW w:w="1276"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0.63323051</w:t>
            </w:r>
          </w:p>
        </w:tc>
        <w:tc>
          <w:tcPr>
            <w:tcW w:w="1164"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0.8032396</w:t>
            </w:r>
          </w:p>
        </w:tc>
        <w:tc>
          <w:tcPr>
            <w:tcW w:w="1164"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0.9991288</w:t>
            </w:r>
          </w:p>
        </w:tc>
        <w:tc>
          <w:tcPr>
            <w:tcW w:w="941"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0.85622</w:t>
            </w:r>
          </w:p>
        </w:tc>
        <w:tc>
          <w:tcPr>
            <w:tcW w:w="1280" w:type="dxa"/>
            <w:gridSpan w:val="2"/>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0.991689</w:t>
            </w:r>
          </w:p>
        </w:tc>
        <w:tc>
          <w:tcPr>
            <w:tcW w:w="1164" w:type="dxa"/>
            <w:tcBorders>
              <w:top w:val="nil"/>
              <w:left w:val="nil"/>
              <w:bottom w:val="single" w:sz="8"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r>
      <w:tr w:rsidR="00CE253D" w:rsidRPr="00160BB3" w:rsidTr="00CE253D">
        <w:trPr>
          <w:gridAfter w:val="3"/>
          <w:wAfter w:w="3153" w:type="dxa"/>
          <w:trHeight w:val="300"/>
        </w:trPr>
        <w:tc>
          <w:tcPr>
            <w:tcW w:w="1180" w:type="dxa"/>
            <w:tcBorders>
              <w:top w:val="nil"/>
              <w:left w:val="nil"/>
              <w:bottom w:val="nil"/>
              <w:right w:val="nil"/>
            </w:tcBorders>
            <w:shd w:val="clear" w:color="auto" w:fill="auto"/>
            <w:noWrap/>
            <w:vAlign w:val="bottom"/>
            <w:hideMark/>
          </w:tcPr>
          <w:p w:rsidR="00CE253D" w:rsidRPr="00160BB3" w:rsidRDefault="00CE253D" w:rsidP="00CE253D">
            <w:pPr>
              <w:spacing w:after="0" w:line="240" w:lineRule="auto"/>
              <w:rPr>
                <w:rFonts w:ascii="Times New Roman" w:eastAsia="Times New Roman" w:hAnsi="Times New Roman" w:cs="Times New Roman"/>
                <w:sz w:val="20"/>
                <w:szCs w:val="20"/>
              </w:rPr>
            </w:pPr>
          </w:p>
        </w:tc>
        <w:tc>
          <w:tcPr>
            <w:tcW w:w="1276" w:type="dxa"/>
            <w:gridSpan w:val="2"/>
            <w:tcBorders>
              <w:top w:val="nil"/>
              <w:left w:val="nil"/>
              <w:bottom w:val="nil"/>
              <w:right w:val="nil"/>
            </w:tcBorders>
            <w:shd w:val="clear" w:color="auto" w:fill="auto"/>
            <w:noWrap/>
            <w:vAlign w:val="bottom"/>
            <w:hideMark/>
          </w:tcPr>
          <w:p w:rsidR="00CE253D" w:rsidRPr="00160BB3" w:rsidRDefault="00CE253D" w:rsidP="00160BB3">
            <w:pPr>
              <w:spacing w:after="0" w:line="240" w:lineRule="auto"/>
              <w:rPr>
                <w:rFonts w:ascii="Times New Roman" w:eastAsia="Times New Roman" w:hAnsi="Times New Roman" w:cs="Times New Roman"/>
                <w:sz w:val="20"/>
                <w:szCs w:val="20"/>
              </w:rPr>
            </w:pPr>
          </w:p>
        </w:tc>
        <w:tc>
          <w:tcPr>
            <w:tcW w:w="1164" w:type="dxa"/>
            <w:gridSpan w:val="2"/>
            <w:tcBorders>
              <w:top w:val="nil"/>
              <w:left w:val="nil"/>
              <w:bottom w:val="nil"/>
              <w:right w:val="nil"/>
            </w:tcBorders>
            <w:shd w:val="clear" w:color="auto" w:fill="auto"/>
            <w:noWrap/>
            <w:vAlign w:val="bottom"/>
            <w:hideMark/>
          </w:tcPr>
          <w:p w:rsidR="00CE253D" w:rsidRPr="00160BB3" w:rsidRDefault="00CE253D" w:rsidP="00160BB3">
            <w:pPr>
              <w:spacing w:after="0" w:line="240" w:lineRule="auto"/>
              <w:rPr>
                <w:rFonts w:ascii="Times New Roman" w:eastAsia="Times New Roman" w:hAnsi="Times New Roman" w:cs="Times New Roman"/>
                <w:sz w:val="20"/>
                <w:szCs w:val="20"/>
              </w:rPr>
            </w:pPr>
          </w:p>
        </w:tc>
        <w:tc>
          <w:tcPr>
            <w:tcW w:w="1164" w:type="dxa"/>
            <w:gridSpan w:val="2"/>
            <w:tcBorders>
              <w:top w:val="nil"/>
              <w:left w:val="nil"/>
              <w:bottom w:val="nil"/>
              <w:right w:val="nil"/>
            </w:tcBorders>
            <w:shd w:val="clear" w:color="auto" w:fill="auto"/>
            <w:noWrap/>
            <w:vAlign w:val="bottom"/>
            <w:hideMark/>
          </w:tcPr>
          <w:p w:rsidR="00CE253D" w:rsidRPr="00160BB3" w:rsidRDefault="00CE253D" w:rsidP="00160BB3">
            <w:pPr>
              <w:spacing w:after="0" w:line="240" w:lineRule="auto"/>
              <w:rPr>
                <w:rFonts w:ascii="Times New Roman" w:eastAsia="Times New Roman" w:hAnsi="Times New Roman" w:cs="Times New Roman"/>
                <w:sz w:val="20"/>
                <w:szCs w:val="20"/>
              </w:rPr>
            </w:pPr>
          </w:p>
        </w:tc>
        <w:tc>
          <w:tcPr>
            <w:tcW w:w="941" w:type="dxa"/>
            <w:gridSpan w:val="2"/>
            <w:tcBorders>
              <w:top w:val="nil"/>
              <w:left w:val="nil"/>
              <w:bottom w:val="nil"/>
              <w:right w:val="nil"/>
            </w:tcBorders>
            <w:shd w:val="clear" w:color="auto" w:fill="auto"/>
            <w:noWrap/>
            <w:vAlign w:val="bottom"/>
            <w:hideMark/>
          </w:tcPr>
          <w:p w:rsidR="00CE253D" w:rsidRPr="00160BB3" w:rsidRDefault="00CE253D" w:rsidP="00160BB3">
            <w:pPr>
              <w:spacing w:after="0" w:line="240" w:lineRule="auto"/>
              <w:rPr>
                <w:rFonts w:ascii="Times New Roman" w:eastAsia="Times New Roman" w:hAnsi="Times New Roman" w:cs="Times New Roman"/>
                <w:sz w:val="20"/>
                <w:szCs w:val="20"/>
              </w:rPr>
            </w:pPr>
          </w:p>
        </w:tc>
        <w:tc>
          <w:tcPr>
            <w:tcW w:w="1280" w:type="dxa"/>
            <w:gridSpan w:val="2"/>
            <w:tcBorders>
              <w:top w:val="nil"/>
              <w:left w:val="nil"/>
              <w:bottom w:val="nil"/>
              <w:right w:val="nil"/>
            </w:tcBorders>
            <w:shd w:val="clear" w:color="auto" w:fill="auto"/>
            <w:noWrap/>
            <w:vAlign w:val="bottom"/>
            <w:hideMark/>
          </w:tcPr>
          <w:p w:rsidR="00CE253D" w:rsidRPr="00160BB3" w:rsidRDefault="00CE253D" w:rsidP="00160BB3">
            <w:pPr>
              <w:spacing w:after="0" w:line="240" w:lineRule="auto"/>
              <w:rPr>
                <w:rFonts w:ascii="Times New Roman" w:eastAsia="Times New Roman" w:hAnsi="Times New Roman" w:cs="Times New Roman"/>
                <w:sz w:val="20"/>
                <w:szCs w:val="20"/>
              </w:rPr>
            </w:pPr>
          </w:p>
        </w:tc>
        <w:tc>
          <w:tcPr>
            <w:tcW w:w="1164" w:type="dxa"/>
            <w:gridSpan w:val="2"/>
            <w:tcBorders>
              <w:top w:val="nil"/>
              <w:left w:val="nil"/>
              <w:bottom w:val="nil"/>
              <w:right w:val="nil"/>
            </w:tcBorders>
            <w:shd w:val="clear" w:color="auto" w:fill="auto"/>
            <w:noWrap/>
            <w:vAlign w:val="bottom"/>
            <w:hideMark/>
          </w:tcPr>
          <w:p w:rsidR="00CE253D" w:rsidRPr="00160BB3" w:rsidRDefault="00CE253D" w:rsidP="00160BB3">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rsidR="00CE253D" w:rsidRPr="00160BB3" w:rsidRDefault="00CE253D" w:rsidP="00160BB3">
            <w:pPr>
              <w:spacing w:after="0" w:line="240" w:lineRule="auto"/>
              <w:rPr>
                <w:rFonts w:ascii="Times New Roman" w:eastAsia="Times New Roman" w:hAnsi="Times New Roman" w:cs="Times New Roman"/>
                <w:sz w:val="20"/>
                <w:szCs w:val="20"/>
              </w:rPr>
            </w:pPr>
          </w:p>
        </w:tc>
      </w:tr>
    </w:tbl>
    <w:p w:rsidR="00131D9F" w:rsidRPr="00BD1B68" w:rsidRDefault="003B475F" w:rsidP="00BD1B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w:t>
      </w:r>
      <w:r w:rsidR="00CE253D" w:rsidRPr="00BD1B68">
        <w:rPr>
          <w:rFonts w:ascii="Times New Roman" w:hAnsi="Times New Roman" w:cs="Times New Roman"/>
          <w:sz w:val="24"/>
          <w:szCs w:val="24"/>
        </w:rPr>
        <w:t>orrelation matrix is applied to assess the relationship between different funds, a positive correlation coefficient indicates a positive association that is increas</w:t>
      </w:r>
      <w:r>
        <w:rPr>
          <w:rFonts w:ascii="Times New Roman" w:hAnsi="Times New Roman" w:cs="Times New Roman"/>
          <w:sz w:val="24"/>
          <w:szCs w:val="24"/>
        </w:rPr>
        <w:t>ing</w:t>
      </w:r>
      <w:r w:rsidR="00CE253D" w:rsidRPr="00BD1B68">
        <w:rPr>
          <w:rFonts w:ascii="Times New Roman" w:hAnsi="Times New Roman" w:cs="Times New Roman"/>
          <w:sz w:val="24"/>
          <w:szCs w:val="24"/>
        </w:rPr>
        <w:t xml:space="preserve"> in one fu</w:t>
      </w:r>
      <w:r>
        <w:rPr>
          <w:rFonts w:ascii="Times New Roman" w:hAnsi="Times New Roman" w:cs="Times New Roman"/>
          <w:sz w:val="24"/>
          <w:szCs w:val="24"/>
        </w:rPr>
        <w:t>n</w:t>
      </w:r>
      <w:r w:rsidR="00CE253D" w:rsidRPr="00BD1B68">
        <w:rPr>
          <w:rFonts w:ascii="Times New Roman" w:hAnsi="Times New Roman" w:cs="Times New Roman"/>
          <w:sz w:val="24"/>
          <w:szCs w:val="24"/>
        </w:rPr>
        <w:t xml:space="preserve">d leads to a decrease in another fund. A negative correlation coefficient indicates an inverse relationship that is, </w:t>
      </w:r>
      <w:r>
        <w:rPr>
          <w:rFonts w:ascii="Times New Roman" w:hAnsi="Times New Roman" w:cs="Times New Roman"/>
          <w:sz w:val="24"/>
          <w:szCs w:val="24"/>
        </w:rPr>
        <w:t xml:space="preserve">an </w:t>
      </w:r>
      <w:r w:rsidR="00CE253D" w:rsidRPr="00BD1B68">
        <w:rPr>
          <w:rFonts w:ascii="Times New Roman" w:hAnsi="Times New Roman" w:cs="Times New Roman"/>
          <w:sz w:val="24"/>
          <w:szCs w:val="24"/>
        </w:rPr>
        <w:t xml:space="preserve">increase in one fund leads to a decrease in the other fund. From the above table, funds with </w:t>
      </w:r>
      <w:r>
        <w:rPr>
          <w:rFonts w:ascii="Times New Roman" w:hAnsi="Times New Roman" w:cs="Times New Roman"/>
          <w:sz w:val="24"/>
          <w:szCs w:val="24"/>
        </w:rPr>
        <w:t xml:space="preserve">the </w:t>
      </w:r>
      <w:r w:rsidR="00CE253D" w:rsidRPr="00BD1B68">
        <w:rPr>
          <w:rFonts w:ascii="Times New Roman" w:hAnsi="Times New Roman" w:cs="Times New Roman"/>
          <w:sz w:val="24"/>
          <w:szCs w:val="24"/>
        </w:rPr>
        <w:t xml:space="preserve">highest correlation are </w:t>
      </w:r>
      <w:r w:rsidR="00B75738" w:rsidRPr="00BD1B68">
        <w:rPr>
          <w:rFonts w:ascii="Times New Roman" w:hAnsi="Times New Roman" w:cs="Times New Roman"/>
          <w:sz w:val="24"/>
          <w:szCs w:val="24"/>
        </w:rPr>
        <w:t xml:space="preserve">listed property index and commodity index with </w:t>
      </w:r>
      <w:r>
        <w:rPr>
          <w:rFonts w:ascii="Times New Roman" w:hAnsi="Times New Roman" w:cs="Times New Roman"/>
          <w:sz w:val="24"/>
          <w:szCs w:val="24"/>
        </w:rPr>
        <w:t xml:space="preserve">a </w:t>
      </w:r>
      <w:r w:rsidR="00B75738" w:rsidRPr="00BD1B68">
        <w:rPr>
          <w:rFonts w:ascii="Times New Roman" w:hAnsi="Times New Roman" w:cs="Times New Roman"/>
          <w:sz w:val="24"/>
          <w:szCs w:val="24"/>
        </w:rPr>
        <w:t xml:space="preserve">correlation coefficient of 0.9960036 indicating a perfect positive relationship between these two variables, that is </w:t>
      </w:r>
      <w:r>
        <w:rPr>
          <w:rFonts w:ascii="Times New Roman" w:hAnsi="Times New Roman" w:cs="Times New Roman"/>
          <w:sz w:val="24"/>
          <w:szCs w:val="24"/>
        </w:rPr>
        <w:t xml:space="preserve">the </w:t>
      </w:r>
      <w:r w:rsidR="00B75738" w:rsidRPr="00BD1B68">
        <w:rPr>
          <w:rFonts w:ascii="Times New Roman" w:hAnsi="Times New Roman" w:cs="Times New Roman"/>
          <w:sz w:val="24"/>
          <w:szCs w:val="24"/>
        </w:rPr>
        <w:t>increase in listed property index by one unit leads to an increase in commodity index by one unit. Fu</w:t>
      </w:r>
      <w:r>
        <w:rPr>
          <w:rFonts w:ascii="Times New Roman" w:hAnsi="Times New Roman" w:cs="Times New Roman"/>
          <w:sz w:val="24"/>
          <w:szCs w:val="24"/>
        </w:rPr>
        <w:t>n</w:t>
      </w:r>
      <w:r w:rsidR="00B75738" w:rsidRPr="00BD1B68">
        <w:rPr>
          <w:rFonts w:ascii="Times New Roman" w:hAnsi="Times New Roman" w:cs="Times New Roman"/>
          <w:sz w:val="24"/>
          <w:szCs w:val="24"/>
        </w:rPr>
        <w:t>ds such as; cash and bond index, cash and direct property index, bond index and equity index</w:t>
      </w:r>
      <w:r>
        <w:rPr>
          <w:rFonts w:ascii="Times New Roman" w:hAnsi="Times New Roman" w:cs="Times New Roman"/>
          <w:sz w:val="24"/>
          <w:szCs w:val="24"/>
        </w:rPr>
        <w:t>,</w:t>
      </w:r>
      <w:r w:rsidR="00B75738" w:rsidRPr="00BD1B68">
        <w:rPr>
          <w:rFonts w:ascii="Times New Roman" w:hAnsi="Times New Roman" w:cs="Times New Roman"/>
          <w:sz w:val="24"/>
          <w:szCs w:val="24"/>
        </w:rPr>
        <w:t xml:space="preserve"> etc. have </w:t>
      </w:r>
      <w:r>
        <w:rPr>
          <w:rFonts w:ascii="Times New Roman" w:hAnsi="Times New Roman" w:cs="Times New Roman"/>
          <w:sz w:val="24"/>
          <w:szCs w:val="24"/>
        </w:rPr>
        <w:t xml:space="preserve">a </w:t>
      </w:r>
      <w:r w:rsidR="00B75738" w:rsidRPr="00BD1B68">
        <w:rPr>
          <w:rFonts w:ascii="Times New Roman" w:hAnsi="Times New Roman" w:cs="Times New Roman"/>
          <w:sz w:val="24"/>
          <w:szCs w:val="24"/>
        </w:rPr>
        <w:t xml:space="preserve">negative correlation coefficient indicating </w:t>
      </w:r>
      <w:r>
        <w:rPr>
          <w:rFonts w:ascii="Times New Roman" w:hAnsi="Times New Roman" w:cs="Times New Roman"/>
          <w:sz w:val="24"/>
          <w:szCs w:val="24"/>
        </w:rPr>
        <w:t xml:space="preserve">an </w:t>
      </w:r>
      <w:r w:rsidR="00B75738" w:rsidRPr="00BD1B68">
        <w:rPr>
          <w:rFonts w:ascii="Times New Roman" w:hAnsi="Times New Roman" w:cs="Times New Roman"/>
          <w:sz w:val="24"/>
          <w:szCs w:val="24"/>
        </w:rPr>
        <w:t>increase in one variable leads to a decrease in another variable.</w:t>
      </w:r>
    </w:p>
    <w:p w:rsidR="00131D9F" w:rsidRDefault="00131D9F" w:rsidP="00980AA6">
      <w:pPr>
        <w:spacing w:after="0"/>
      </w:pPr>
    </w:p>
    <w:p w:rsidR="00131D9F" w:rsidRDefault="00131D9F" w:rsidP="00980AA6">
      <w:pPr>
        <w:spacing w:after="0"/>
      </w:pPr>
    </w:p>
    <w:p w:rsidR="00131D9F" w:rsidRPr="00422E92" w:rsidRDefault="00131D9F" w:rsidP="00980AA6">
      <w:pPr>
        <w:spacing w:after="0"/>
        <w:rPr>
          <w:b/>
        </w:rPr>
      </w:pPr>
      <w:r w:rsidRPr="00422E92">
        <w:rPr>
          <w:b/>
        </w:rPr>
        <w:t>Middle term correlation matrix.</w:t>
      </w:r>
    </w:p>
    <w:p w:rsidR="00131D9F" w:rsidRDefault="00131D9F" w:rsidP="00980AA6">
      <w:pPr>
        <w:spacing w:after="0"/>
      </w:pPr>
    </w:p>
    <w:tbl>
      <w:tblPr>
        <w:tblW w:w="11494" w:type="dxa"/>
        <w:tblLook w:val="04A0" w:firstRow="1" w:lastRow="0" w:firstColumn="1" w:lastColumn="0" w:noHBand="0" w:noVBand="1"/>
      </w:tblPr>
      <w:tblGrid>
        <w:gridCol w:w="2100"/>
        <w:gridCol w:w="1053"/>
        <w:gridCol w:w="1276"/>
        <w:gridCol w:w="1276"/>
        <w:gridCol w:w="1164"/>
        <w:gridCol w:w="1164"/>
        <w:gridCol w:w="941"/>
        <w:gridCol w:w="1280"/>
        <w:gridCol w:w="1164"/>
        <w:gridCol w:w="960"/>
      </w:tblGrid>
      <w:tr w:rsidR="00131D9F" w:rsidRPr="00131D9F" w:rsidTr="00131D9F">
        <w:trPr>
          <w:trHeight w:val="300"/>
        </w:trPr>
        <w:tc>
          <w:tcPr>
            <w:tcW w:w="210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jc w:val="center"/>
              <w:rPr>
                <w:rFonts w:ascii="Calibri" w:eastAsia="Times New Roman" w:hAnsi="Calibri" w:cs="Calibri"/>
                <w:i/>
                <w:iCs/>
                <w:color w:val="000000"/>
              </w:rPr>
            </w:pPr>
            <w:r w:rsidRPr="00131D9F">
              <w:rPr>
                <w:rFonts w:ascii="Calibri" w:eastAsia="Times New Roman" w:hAnsi="Calibri" w:cs="Calibri"/>
                <w:i/>
                <w:iCs/>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Cash (%)</w:t>
            </w:r>
          </w:p>
        </w:tc>
        <w:tc>
          <w:tcPr>
            <w:tcW w:w="118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Bond Index</w:t>
            </w:r>
          </w:p>
        </w:tc>
        <w:tc>
          <w:tcPr>
            <w:tcW w:w="114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Equity Index</w:t>
            </w:r>
          </w:p>
        </w:tc>
        <w:tc>
          <w:tcPr>
            <w:tcW w:w="112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Direct Property Index</w:t>
            </w:r>
          </w:p>
        </w:tc>
        <w:tc>
          <w:tcPr>
            <w:tcW w:w="104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Listed Property Index</w:t>
            </w:r>
          </w:p>
        </w:tc>
        <w:tc>
          <w:tcPr>
            <w:tcW w:w="880"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Hedge Funds Index</w:t>
            </w:r>
          </w:p>
        </w:tc>
        <w:tc>
          <w:tcPr>
            <w:tcW w:w="1094" w:type="dxa"/>
            <w:tcBorders>
              <w:top w:val="single" w:sz="4" w:space="0" w:color="auto"/>
              <w:left w:val="nil"/>
              <w:bottom w:val="single" w:sz="4"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Commodity Index</w:t>
            </w:r>
          </w:p>
        </w:tc>
        <w:tc>
          <w:tcPr>
            <w:tcW w:w="1020" w:type="dxa"/>
            <w:tcBorders>
              <w:top w:val="single" w:sz="4" w:space="0" w:color="auto"/>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Private Equity Index</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p>
        </w:tc>
      </w:tr>
      <w:tr w:rsidR="00131D9F" w:rsidRPr="00131D9F" w:rsidTr="00131D9F">
        <w:trPr>
          <w:trHeight w:val="300"/>
        </w:trPr>
        <w:tc>
          <w:tcPr>
            <w:tcW w:w="210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Cash (%)</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-0.3826161</w:t>
            </w:r>
          </w:p>
        </w:tc>
        <w:tc>
          <w:tcPr>
            <w:tcW w:w="11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0.06273476</w:t>
            </w:r>
          </w:p>
        </w:tc>
        <w:tc>
          <w:tcPr>
            <w:tcW w:w="11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0.1813964</w:t>
            </w:r>
          </w:p>
        </w:tc>
        <w:tc>
          <w:tcPr>
            <w:tcW w:w="10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-0.137788</w:t>
            </w:r>
          </w:p>
        </w:tc>
        <w:tc>
          <w:tcPr>
            <w:tcW w:w="8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-0.3191</w:t>
            </w:r>
          </w:p>
        </w:tc>
        <w:tc>
          <w:tcPr>
            <w:tcW w:w="1094"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-0.06018</w:t>
            </w:r>
          </w:p>
        </w:tc>
        <w:tc>
          <w:tcPr>
            <w:tcW w:w="10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-0.099546</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r w:rsidR="00131D9F" w:rsidRPr="00131D9F" w:rsidTr="00131D9F">
        <w:trPr>
          <w:trHeight w:val="300"/>
        </w:trPr>
        <w:tc>
          <w:tcPr>
            <w:tcW w:w="210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Bond Index</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-0.38262</w:t>
            </w:r>
          </w:p>
        </w:tc>
        <w:tc>
          <w:tcPr>
            <w:tcW w:w="11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11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-0.3781453</w:t>
            </w:r>
          </w:p>
        </w:tc>
        <w:tc>
          <w:tcPr>
            <w:tcW w:w="11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-0.3166338</w:t>
            </w:r>
          </w:p>
        </w:tc>
        <w:tc>
          <w:tcPr>
            <w:tcW w:w="10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0.0274147</w:t>
            </w:r>
          </w:p>
        </w:tc>
        <w:tc>
          <w:tcPr>
            <w:tcW w:w="8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0.04254</w:t>
            </w:r>
          </w:p>
        </w:tc>
        <w:tc>
          <w:tcPr>
            <w:tcW w:w="1094"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-0.56154</w:t>
            </w:r>
          </w:p>
        </w:tc>
        <w:tc>
          <w:tcPr>
            <w:tcW w:w="10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-0.413137</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r w:rsidR="00131D9F" w:rsidRPr="00131D9F" w:rsidTr="00131D9F">
        <w:trPr>
          <w:trHeight w:val="300"/>
        </w:trPr>
        <w:tc>
          <w:tcPr>
            <w:tcW w:w="210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Equity Index</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0.062735</w:t>
            </w:r>
          </w:p>
        </w:tc>
        <w:tc>
          <w:tcPr>
            <w:tcW w:w="11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-0.3781453</w:t>
            </w:r>
          </w:p>
        </w:tc>
        <w:tc>
          <w:tcPr>
            <w:tcW w:w="11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11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-0.0756769</w:t>
            </w:r>
          </w:p>
        </w:tc>
        <w:tc>
          <w:tcPr>
            <w:tcW w:w="10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0.4451</w:t>
            </w:r>
          </w:p>
        </w:tc>
        <w:tc>
          <w:tcPr>
            <w:tcW w:w="8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0.61314</w:t>
            </w:r>
          </w:p>
        </w:tc>
        <w:tc>
          <w:tcPr>
            <w:tcW w:w="1094"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0.603926</w:t>
            </w:r>
          </w:p>
        </w:tc>
        <w:tc>
          <w:tcPr>
            <w:tcW w:w="10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0.7400321</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r w:rsidR="00131D9F" w:rsidRPr="00131D9F" w:rsidTr="00131D9F">
        <w:trPr>
          <w:trHeight w:val="300"/>
        </w:trPr>
        <w:tc>
          <w:tcPr>
            <w:tcW w:w="210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Direct Property Index</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0.181396</w:t>
            </w:r>
          </w:p>
        </w:tc>
        <w:tc>
          <w:tcPr>
            <w:tcW w:w="11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-0.3166338</w:t>
            </w:r>
          </w:p>
        </w:tc>
        <w:tc>
          <w:tcPr>
            <w:tcW w:w="11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-0.0756769</w:t>
            </w:r>
          </w:p>
        </w:tc>
        <w:tc>
          <w:tcPr>
            <w:tcW w:w="11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10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0.3887281</w:t>
            </w:r>
          </w:p>
        </w:tc>
        <w:tc>
          <w:tcPr>
            <w:tcW w:w="8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-0.2707</w:t>
            </w:r>
          </w:p>
        </w:tc>
        <w:tc>
          <w:tcPr>
            <w:tcW w:w="1094"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0.400505</w:t>
            </w:r>
          </w:p>
        </w:tc>
        <w:tc>
          <w:tcPr>
            <w:tcW w:w="10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0.3089034</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r w:rsidR="00131D9F" w:rsidRPr="00131D9F" w:rsidTr="00131D9F">
        <w:trPr>
          <w:trHeight w:val="300"/>
        </w:trPr>
        <w:tc>
          <w:tcPr>
            <w:tcW w:w="210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Listed Property Index</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-0.13779</w:t>
            </w:r>
          </w:p>
        </w:tc>
        <w:tc>
          <w:tcPr>
            <w:tcW w:w="11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0.02741474</w:t>
            </w:r>
          </w:p>
        </w:tc>
        <w:tc>
          <w:tcPr>
            <w:tcW w:w="11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0.44509999</w:t>
            </w:r>
          </w:p>
        </w:tc>
        <w:tc>
          <w:tcPr>
            <w:tcW w:w="11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0.3887281</w:t>
            </w:r>
          </w:p>
        </w:tc>
        <w:tc>
          <w:tcPr>
            <w:tcW w:w="10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8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0.28468</w:t>
            </w:r>
          </w:p>
        </w:tc>
        <w:tc>
          <w:tcPr>
            <w:tcW w:w="1094"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0.60173</w:t>
            </w:r>
          </w:p>
        </w:tc>
        <w:tc>
          <w:tcPr>
            <w:tcW w:w="10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0.6640988</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r w:rsidR="00131D9F" w:rsidRPr="00131D9F" w:rsidTr="00131D9F">
        <w:trPr>
          <w:trHeight w:val="300"/>
        </w:trPr>
        <w:tc>
          <w:tcPr>
            <w:tcW w:w="210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Hedge Funds Index</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-0.3191</w:t>
            </w:r>
          </w:p>
        </w:tc>
        <w:tc>
          <w:tcPr>
            <w:tcW w:w="11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0.04253931</w:t>
            </w:r>
          </w:p>
        </w:tc>
        <w:tc>
          <w:tcPr>
            <w:tcW w:w="11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0.61313643</w:t>
            </w:r>
          </w:p>
        </w:tc>
        <w:tc>
          <w:tcPr>
            <w:tcW w:w="11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-0.2707216</w:t>
            </w:r>
          </w:p>
        </w:tc>
        <w:tc>
          <w:tcPr>
            <w:tcW w:w="10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0.2846815</w:t>
            </w:r>
          </w:p>
        </w:tc>
        <w:tc>
          <w:tcPr>
            <w:tcW w:w="8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1094"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0.399053</w:t>
            </w:r>
          </w:p>
        </w:tc>
        <w:tc>
          <w:tcPr>
            <w:tcW w:w="10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0.6460285</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r w:rsidR="00131D9F" w:rsidRPr="00131D9F" w:rsidTr="00131D9F">
        <w:trPr>
          <w:trHeight w:val="300"/>
        </w:trPr>
        <w:tc>
          <w:tcPr>
            <w:tcW w:w="210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Commodity Index</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-0.06018</w:t>
            </w:r>
          </w:p>
        </w:tc>
        <w:tc>
          <w:tcPr>
            <w:tcW w:w="11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-0.5615375</w:t>
            </w:r>
          </w:p>
        </w:tc>
        <w:tc>
          <w:tcPr>
            <w:tcW w:w="11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0.60392629</w:t>
            </w:r>
          </w:p>
        </w:tc>
        <w:tc>
          <w:tcPr>
            <w:tcW w:w="11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0.4005053</w:t>
            </w:r>
          </w:p>
        </w:tc>
        <w:tc>
          <w:tcPr>
            <w:tcW w:w="104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0.6017303</w:t>
            </w:r>
          </w:p>
        </w:tc>
        <w:tc>
          <w:tcPr>
            <w:tcW w:w="88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0.39905</w:t>
            </w:r>
          </w:p>
        </w:tc>
        <w:tc>
          <w:tcPr>
            <w:tcW w:w="1094"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0.8571276</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r w:rsidR="00131D9F" w:rsidRPr="00131D9F" w:rsidTr="00131D9F">
        <w:trPr>
          <w:trHeight w:val="315"/>
        </w:trPr>
        <w:tc>
          <w:tcPr>
            <w:tcW w:w="210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rPr>
                <w:rFonts w:ascii="Calibri" w:eastAsia="Times New Roman" w:hAnsi="Calibri" w:cs="Calibri"/>
                <w:b/>
                <w:bCs/>
                <w:color w:val="000000"/>
              </w:rPr>
            </w:pPr>
            <w:r w:rsidRPr="00131D9F">
              <w:rPr>
                <w:rFonts w:ascii="Calibri" w:eastAsia="Times New Roman" w:hAnsi="Calibri" w:cs="Calibri"/>
                <w:b/>
                <w:bCs/>
                <w:color w:val="000000"/>
              </w:rPr>
              <w:t>Private Equity Index</w:t>
            </w:r>
          </w:p>
        </w:tc>
        <w:tc>
          <w:tcPr>
            <w:tcW w:w="96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-0.09955</w:t>
            </w:r>
          </w:p>
        </w:tc>
        <w:tc>
          <w:tcPr>
            <w:tcW w:w="118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-0.4131372</w:t>
            </w:r>
          </w:p>
        </w:tc>
        <w:tc>
          <w:tcPr>
            <w:tcW w:w="114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0.74003208</w:t>
            </w:r>
          </w:p>
        </w:tc>
        <w:tc>
          <w:tcPr>
            <w:tcW w:w="112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0.3089034</w:t>
            </w:r>
          </w:p>
        </w:tc>
        <w:tc>
          <w:tcPr>
            <w:tcW w:w="104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0.6640988</w:t>
            </w:r>
          </w:p>
        </w:tc>
        <w:tc>
          <w:tcPr>
            <w:tcW w:w="88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0.64603</w:t>
            </w:r>
          </w:p>
        </w:tc>
        <w:tc>
          <w:tcPr>
            <w:tcW w:w="1094"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0.857128</w:t>
            </w:r>
          </w:p>
        </w:tc>
        <w:tc>
          <w:tcPr>
            <w:tcW w:w="1020" w:type="dxa"/>
            <w:tcBorders>
              <w:top w:val="nil"/>
              <w:left w:val="nil"/>
              <w:bottom w:val="single" w:sz="8" w:space="0" w:color="auto"/>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r w:rsidRPr="00131D9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31D9F" w:rsidRPr="00131D9F" w:rsidRDefault="00131D9F" w:rsidP="00131D9F">
            <w:pPr>
              <w:spacing w:after="0" w:line="240" w:lineRule="auto"/>
              <w:jc w:val="right"/>
              <w:rPr>
                <w:rFonts w:ascii="Calibri" w:eastAsia="Times New Roman" w:hAnsi="Calibri" w:cs="Calibri"/>
                <w:color w:val="000000"/>
              </w:rPr>
            </w:pPr>
          </w:p>
        </w:tc>
      </w:tr>
    </w:tbl>
    <w:p w:rsidR="00131D9F" w:rsidRDefault="00131D9F" w:rsidP="00980AA6">
      <w:pPr>
        <w:spacing w:after="0"/>
      </w:pPr>
    </w:p>
    <w:p w:rsidR="00B75738" w:rsidRDefault="00B75738" w:rsidP="00980AA6">
      <w:pPr>
        <w:spacing w:after="0"/>
      </w:pPr>
    </w:p>
    <w:p w:rsidR="00B75738" w:rsidRPr="00B75738" w:rsidRDefault="003B475F" w:rsidP="00BD1B68">
      <w:pPr>
        <w:spacing w:after="0" w:line="480" w:lineRule="auto"/>
        <w:ind w:firstLine="720"/>
        <w:jc w:val="both"/>
      </w:pPr>
      <w:r>
        <w:rPr>
          <w:rFonts w:ascii="Times New Roman" w:hAnsi="Times New Roman" w:cs="Times New Roman"/>
          <w:sz w:val="24"/>
          <w:szCs w:val="24"/>
        </w:rPr>
        <w:t>The c</w:t>
      </w:r>
      <w:r w:rsidR="00B75738" w:rsidRPr="00BD1B68">
        <w:rPr>
          <w:rFonts w:ascii="Times New Roman" w:hAnsi="Times New Roman" w:cs="Times New Roman"/>
          <w:sz w:val="24"/>
          <w:szCs w:val="24"/>
        </w:rPr>
        <w:t>orrelation matrix is applied to assess the relationship between different funds, a positive correlation coefficient indicates a positive association that is increas</w:t>
      </w:r>
      <w:r>
        <w:rPr>
          <w:rFonts w:ascii="Times New Roman" w:hAnsi="Times New Roman" w:cs="Times New Roman"/>
          <w:sz w:val="24"/>
          <w:szCs w:val="24"/>
        </w:rPr>
        <w:t>ing</w:t>
      </w:r>
      <w:r w:rsidR="00B75738" w:rsidRPr="00BD1B68">
        <w:rPr>
          <w:rFonts w:ascii="Times New Roman" w:hAnsi="Times New Roman" w:cs="Times New Roman"/>
          <w:sz w:val="24"/>
          <w:szCs w:val="24"/>
        </w:rPr>
        <w:t xml:space="preserve"> in one fu</w:t>
      </w:r>
      <w:r>
        <w:rPr>
          <w:rFonts w:ascii="Times New Roman" w:hAnsi="Times New Roman" w:cs="Times New Roman"/>
          <w:sz w:val="24"/>
          <w:szCs w:val="24"/>
        </w:rPr>
        <w:t>n</w:t>
      </w:r>
      <w:r w:rsidR="00B75738" w:rsidRPr="00BD1B68">
        <w:rPr>
          <w:rFonts w:ascii="Times New Roman" w:hAnsi="Times New Roman" w:cs="Times New Roman"/>
          <w:sz w:val="24"/>
          <w:szCs w:val="24"/>
        </w:rPr>
        <w:t xml:space="preserve">d leads to a decrease in another fund. A negative correlation coefficient indicates an inverse relationship that is, </w:t>
      </w:r>
      <w:r>
        <w:rPr>
          <w:rFonts w:ascii="Times New Roman" w:hAnsi="Times New Roman" w:cs="Times New Roman"/>
          <w:sz w:val="24"/>
          <w:szCs w:val="24"/>
        </w:rPr>
        <w:t xml:space="preserve">an </w:t>
      </w:r>
      <w:r w:rsidR="00B75738" w:rsidRPr="00BD1B68">
        <w:rPr>
          <w:rFonts w:ascii="Times New Roman" w:hAnsi="Times New Roman" w:cs="Times New Roman"/>
          <w:sz w:val="24"/>
          <w:szCs w:val="24"/>
        </w:rPr>
        <w:t xml:space="preserve">increase in one fund leads to a decrease in the other fund. From the above table, funds with </w:t>
      </w:r>
      <w:r>
        <w:rPr>
          <w:rFonts w:ascii="Times New Roman" w:hAnsi="Times New Roman" w:cs="Times New Roman"/>
          <w:sz w:val="24"/>
          <w:szCs w:val="24"/>
        </w:rPr>
        <w:t xml:space="preserve">the </w:t>
      </w:r>
      <w:r w:rsidR="00B75738" w:rsidRPr="00BD1B68">
        <w:rPr>
          <w:rFonts w:ascii="Times New Roman" w:hAnsi="Times New Roman" w:cs="Times New Roman"/>
          <w:sz w:val="24"/>
          <w:szCs w:val="24"/>
        </w:rPr>
        <w:t xml:space="preserve">highest correlation are listed property index and commodity index with </w:t>
      </w:r>
      <w:r>
        <w:rPr>
          <w:rFonts w:ascii="Times New Roman" w:hAnsi="Times New Roman" w:cs="Times New Roman"/>
          <w:sz w:val="24"/>
          <w:szCs w:val="24"/>
        </w:rPr>
        <w:t xml:space="preserve">a </w:t>
      </w:r>
      <w:r w:rsidR="00B75738" w:rsidRPr="00BD1B68">
        <w:rPr>
          <w:rFonts w:ascii="Times New Roman" w:hAnsi="Times New Roman" w:cs="Times New Roman"/>
          <w:sz w:val="24"/>
          <w:szCs w:val="24"/>
        </w:rPr>
        <w:t xml:space="preserve">correlation coefficient of 0.857128 indicating </w:t>
      </w:r>
      <w:r w:rsidR="004904C4" w:rsidRPr="00BD1B68">
        <w:rPr>
          <w:rFonts w:ascii="Times New Roman" w:hAnsi="Times New Roman" w:cs="Times New Roman"/>
          <w:sz w:val="24"/>
          <w:szCs w:val="24"/>
        </w:rPr>
        <w:t>a positive</w:t>
      </w:r>
      <w:r w:rsidR="00B75738" w:rsidRPr="00BD1B68">
        <w:rPr>
          <w:rFonts w:ascii="Times New Roman" w:hAnsi="Times New Roman" w:cs="Times New Roman"/>
          <w:sz w:val="24"/>
          <w:szCs w:val="24"/>
        </w:rPr>
        <w:t xml:space="preserve"> relationship between these two variables, that is </w:t>
      </w:r>
      <w:r>
        <w:rPr>
          <w:rFonts w:ascii="Times New Roman" w:hAnsi="Times New Roman" w:cs="Times New Roman"/>
          <w:sz w:val="24"/>
          <w:szCs w:val="24"/>
        </w:rPr>
        <w:t xml:space="preserve">an </w:t>
      </w:r>
      <w:r w:rsidR="00B75738" w:rsidRPr="00BD1B68">
        <w:rPr>
          <w:rFonts w:ascii="Times New Roman" w:hAnsi="Times New Roman" w:cs="Times New Roman"/>
          <w:sz w:val="24"/>
          <w:szCs w:val="24"/>
        </w:rPr>
        <w:t xml:space="preserve">increase in listed property index leads to an increase in </w:t>
      </w:r>
      <w:r>
        <w:rPr>
          <w:rFonts w:ascii="Times New Roman" w:hAnsi="Times New Roman" w:cs="Times New Roman"/>
          <w:sz w:val="24"/>
          <w:szCs w:val="24"/>
        </w:rPr>
        <w:t xml:space="preserve">a </w:t>
      </w:r>
      <w:r w:rsidR="00B75738" w:rsidRPr="00BD1B68">
        <w:rPr>
          <w:rFonts w:ascii="Times New Roman" w:hAnsi="Times New Roman" w:cs="Times New Roman"/>
          <w:sz w:val="24"/>
          <w:szCs w:val="24"/>
        </w:rPr>
        <w:t>commodity index. Fu</w:t>
      </w:r>
      <w:r>
        <w:rPr>
          <w:rFonts w:ascii="Times New Roman" w:hAnsi="Times New Roman" w:cs="Times New Roman"/>
          <w:sz w:val="24"/>
          <w:szCs w:val="24"/>
        </w:rPr>
        <w:t>n</w:t>
      </w:r>
      <w:r w:rsidR="00B75738" w:rsidRPr="00BD1B68">
        <w:rPr>
          <w:rFonts w:ascii="Times New Roman" w:hAnsi="Times New Roman" w:cs="Times New Roman"/>
          <w:sz w:val="24"/>
          <w:szCs w:val="24"/>
        </w:rPr>
        <w:t xml:space="preserve">ds such as; cash and bond index, cash and </w:t>
      </w:r>
      <w:r w:rsidR="004904C4" w:rsidRPr="00BD1B68">
        <w:rPr>
          <w:rFonts w:ascii="Times New Roman" w:hAnsi="Times New Roman" w:cs="Times New Roman"/>
          <w:sz w:val="24"/>
          <w:szCs w:val="24"/>
        </w:rPr>
        <w:t>listed</w:t>
      </w:r>
      <w:r w:rsidR="00B75738" w:rsidRPr="00BD1B68">
        <w:rPr>
          <w:rFonts w:ascii="Times New Roman" w:hAnsi="Times New Roman" w:cs="Times New Roman"/>
          <w:sz w:val="24"/>
          <w:szCs w:val="24"/>
        </w:rPr>
        <w:t xml:space="preserve"> property index, bond index and equity index</w:t>
      </w:r>
      <w:r>
        <w:rPr>
          <w:rFonts w:ascii="Times New Roman" w:hAnsi="Times New Roman" w:cs="Times New Roman"/>
          <w:sz w:val="24"/>
          <w:szCs w:val="24"/>
        </w:rPr>
        <w:t>,</w:t>
      </w:r>
      <w:r w:rsidR="00B75738" w:rsidRPr="00BD1B68">
        <w:rPr>
          <w:rFonts w:ascii="Times New Roman" w:hAnsi="Times New Roman" w:cs="Times New Roman"/>
          <w:sz w:val="24"/>
          <w:szCs w:val="24"/>
        </w:rPr>
        <w:t xml:space="preserve"> etc. have negative correlation coefficient</w:t>
      </w:r>
      <w:r>
        <w:rPr>
          <w:rFonts w:ascii="Times New Roman" w:hAnsi="Times New Roman" w:cs="Times New Roman"/>
          <w:sz w:val="24"/>
          <w:szCs w:val="24"/>
        </w:rPr>
        <w:t>s</w:t>
      </w:r>
      <w:r w:rsidR="00B75738" w:rsidRPr="00BD1B68">
        <w:rPr>
          <w:rFonts w:ascii="Times New Roman" w:hAnsi="Times New Roman" w:cs="Times New Roman"/>
          <w:sz w:val="24"/>
          <w:szCs w:val="24"/>
        </w:rPr>
        <w:t xml:space="preserve"> indicating increase in one variable leads to a decrease in another variable</w:t>
      </w:r>
      <w:r w:rsidR="00B75738" w:rsidRPr="00B75738">
        <w:t>.</w:t>
      </w:r>
    </w:p>
    <w:p w:rsidR="00B75738" w:rsidRDefault="00B75738" w:rsidP="00980AA6">
      <w:pPr>
        <w:spacing w:after="0"/>
      </w:pPr>
    </w:p>
    <w:p w:rsidR="00160BB3" w:rsidRDefault="00160BB3"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Default="004904C4" w:rsidP="00980AA6">
      <w:pPr>
        <w:spacing w:after="0"/>
      </w:pPr>
    </w:p>
    <w:p w:rsidR="004904C4" w:rsidRPr="004904C4" w:rsidRDefault="004904C4" w:rsidP="00980AA6">
      <w:pPr>
        <w:spacing w:after="0"/>
        <w:rPr>
          <w:b/>
        </w:rPr>
      </w:pPr>
    </w:p>
    <w:p w:rsidR="004904C4" w:rsidRPr="00BD1B68" w:rsidRDefault="004904C4" w:rsidP="00BD1B68">
      <w:pPr>
        <w:spacing w:after="0" w:line="480" w:lineRule="auto"/>
        <w:ind w:firstLine="720"/>
        <w:jc w:val="both"/>
        <w:rPr>
          <w:rFonts w:ascii="Times New Roman" w:hAnsi="Times New Roman" w:cs="Times New Roman"/>
          <w:b/>
          <w:sz w:val="24"/>
          <w:szCs w:val="24"/>
        </w:rPr>
      </w:pPr>
      <w:r w:rsidRPr="00BD1B68">
        <w:rPr>
          <w:rFonts w:ascii="Times New Roman" w:hAnsi="Times New Roman" w:cs="Times New Roman"/>
          <w:b/>
          <w:sz w:val="24"/>
          <w:szCs w:val="24"/>
        </w:rPr>
        <w:t>Markowitz portfolio theory.</w:t>
      </w:r>
    </w:p>
    <w:p w:rsidR="004904C4" w:rsidRPr="00BD1B68" w:rsidRDefault="004904C4" w:rsidP="00BD1B68">
      <w:pPr>
        <w:spacing w:after="0" w:line="480" w:lineRule="auto"/>
        <w:ind w:firstLine="720"/>
        <w:jc w:val="both"/>
        <w:rPr>
          <w:rFonts w:ascii="Times New Roman" w:hAnsi="Times New Roman" w:cs="Times New Roman"/>
          <w:sz w:val="24"/>
          <w:szCs w:val="24"/>
        </w:rPr>
      </w:pPr>
      <w:r w:rsidRPr="00BD1B68">
        <w:rPr>
          <w:rFonts w:ascii="Times New Roman" w:hAnsi="Times New Roman" w:cs="Times New Roman"/>
          <w:sz w:val="24"/>
          <w:szCs w:val="24"/>
        </w:rPr>
        <w:t xml:space="preserve">The Markowitz technique identifies the most optimal portfolio for the investor by examining three critical variables: yield, volatility, and coefficient of </w:t>
      </w:r>
      <w:proofErr w:type="gramStart"/>
      <w:r w:rsidRPr="00BD1B68">
        <w:rPr>
          <w:rFonts w:ascii="Times New Roman" w:hAnsi="Times New Roman" w:cs="Times New Roman"/>
          <w:sz w:val="24"/>
          <w:szCs w:val="24"/>
        </w:rPr>
        <w:t>correlation</w:t>
      </w:r>
      <w:r w:rsidR="00BD1B68" w:rsidRPr="00BD1B68">
        <w:rPr>
          <w:rFonts w:ascii="Times New Roman" w:hAnsi="Times New Roman" w:cs="Times New Roman"/>
          <w:sz w:val="24"/>
          <w:szCs w:val="24"/>
        </w:rPr>
        <w:t>(</w:t>
      </w:r>
      <w:proofErr w:type="gramEnd"/>
      <w:r w:rsidR="00BD1B68" w:rsidRPr="00BD1B68">
        <w:rPr>
          <w:rFonts w:ascii="Times New Roman" w:hAnsi="Times New Roman" w:cs="Times New Roman"/>
          <w:sz w:val="24"/>
          <w:szCs w:val="24"/>
        </w:rPr>
        <w:t>Solanki, 2011)</w:t>
      </w:r>
      <w:r w:rsidRPr="00BD1B68">
        <w:rPr>
          <w:rFonts w:ascii="Times New Roman" w:hAnsi="Times New Roman" w:cs="Times New Roman"/>
          <w:sz w:val="24"/>
          <w:szCs w:val="24"/>
        </w:rPr>
        <w:t xml:space="preserve">. The investor can apply this model to determine the most effective portfolio by calculating the trade-off between volatility and return. As per this idea, the impacts of one fund purchase are weighed against the impacts of another fund purchase, and the outcomes are then assessed. </w:t>
      </w:r>
    </w:p>
    <w:p w:rsidR="004904C4" w:rsidRPr="00BD1B68" w:rsidRDefault="004904C4" w:rsidP="00BD1B68">
      <w:pPr>
        <w:spacing w:after="0" w:line="480" w:lineRule="auto"/>
        <w:ind w:firstLine="720"/>
        <w:jc w:val="both"/>
        <w:rPr>
          <w:rFonts w:ascii="Times New Roman" w:hAnsi="Times New Roman" w:cs="Times New Roman"/>
          <w:sz w:val="24"/>
          <w:szCs w:val="24"/>
        </w:rPr>
      </w:pPr>
      <w:r w:rsidRPr="00BD1B68">
        <w:rPr>
          <w:rFonts w:ascii="Times New Roman" w:hAnsi="Times New Roman" w:cs="Times New Roman"/>
          <w:sz w:val="24"/>
          <w:szCs w:val="24"/>
        </w:rPr>
        <w:t>Under Markowitz portfolio theory return and standard deviation are calculated as follows;</w:t>
      </w:r>
    </w:p>
    <w:p w:rsidR="004904C4" w:rsidRPr="00BD1B68" w:rsidRDefault="004904C4" w:rsidP="00BD1B68">
      <w:pPr>
        <w:spacing w:after="0" w:line="480" w:lineRule="auto"/>
        <w:ind w:firstLine="720"/>
        <w:jc w:val="both"/>
        <w:rPr>
          <w:rFonts w:ascii="Times New Roman" w:eastAsiaTheme="minorEastAsia" w:hAnsi="Times New Roman" w:cs="Times New Roman"/>
          <w:sz w:val="24"/>
          <w:szCs w:val="24"/>
        </w:rPr>
      </w:pPr>
      <w:r w:rsidRPr="00BD1B68">
        <w:rPr>
          <w:rFonts w:ascii="Times New Roman" w:hAnsi="Times New Roman" w:cs="Times New Roman"/>
          <w:sz w:val="24"/>
          <w:szCs w:val="24"/>
        </w:rPr>
        <w:t xml:space="preserve">Return = </w:t>
      </w:r>
      <w:r w:rsidR="00642C43" w:rsidRPr="00BD1B68">
        <w:rPr>
          <w:rFonts w:ascii="Times New Roman" w:hAnsi="Times New Roman" w:cs="Times New Roman"/>
          <w:sz w:val="24"/>
          <w:szCs w:val="24"/>
        </w:rPr>
        <w:t>E (</w:t>
      </w:r>
      <w:proofErr w:type="spellStart"/>
      <w:r w:rsidR="00642C43" w:rsidRPr="00BD1B68">
        <w:rPr>
          <w:rFonts w:ascii="Times New Roman" w:hAnsi="Times New Roman" w:cs="Times New Roman"/>
          <w:sz w:val="24"/>
          <w:szCs w:val="24"/>
        </w:rPr>
        <w:t>rp</w:t>
      </w:r>
      <w:proofErr w:type="spellEnd"/>
      <w:r w:rsidR="00642C43" w:rsidRPr="00BD1B68">
        <w:rPr>
          <w:rFonts w:ascii="Times New Roman" w:hAnsi="Times New Roman" w:cs="Times New Roman"/>
          <w:sz w:val="24"/>
          <w:szCs w:val="24"/>
        </w:rPr>
        <w:t xml:space="preserve">)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i=i</m:t>
            </m:r>
          </m:sub>
          <m:sup>
            <m:r>
              <w:rPr>
                <w:rFonts w:ascii="Cambria Math" w:hAnsi="Cambria Math" w:cs="Times New Roman"/>
                <w:sz w:val="24"/>
                <w:szCs w:val="24"/>
              </w:rPr>
              <m:t>n</m:t>
            </m:r>
          </m:sup>
          <m:e>
            <m:r>
              <w:rPr>
                <w:rFonts w:ascii="Cambria Math" w:hAnsi="Cambria Math" w:cs="Times New Roman"/>
                <w:sz w:val="24"/>
                <w:szCs w:val="24"/>
              </w:rPr>
              <m:t>Wi E(Ri)</m:t>
            </m:r>
          </m:e>
        </m:nary>
      </m:oMath>
    </w:p>
    <w:p w:rsidR="00CF1BBA" w:rsidRPr="00BD1B68" w:rsidRDefault="00CF1BBA" w:rsidP="00BD1B68">
      <w:pPr>
        <w:spacing w:after="0" w:line="480" w:lineRule="auto"/>
        <w:ind w:firstLine="720"/>
        <w:jc w:val="both"/>
        <w:rPr>
          <w:rFonts w:ascii="Times New Roman" w:eastAsiaTheme="minorEastAsia" w:hAnsi="Times New Roman" w:cs="Times New Roman"/>
          <w:sz w:val="24"/>
          <w:szCs w:val="24"/>
        </w:rPr>
      </w:pPr>
      <w:r w:rsidRPr="00BD1B68">
        <w:rPr>
          <w:rFonts w:ascii="Times New Roman" w:hAnsi="Times New Roman" w:cs="Times New Roman"/>
          <w:sz w:val="24"/>
          <w:szCs w:val="24"/>
        </w:rPr>
        <w:t>Standard deviation (</w:t>
      </w:r>
      <w:proofErr w:type="spellStart"/>
      <w:r w:rsidRPr="00BD1B68">
        <w:rPr>
          <w:rFonts w:ascii="Times New Roman" w:hAnsi="Times New Roman" w:cs="Times New Roman"/>
          <w:sz w:val="24"/>
          <w:szCs w:val="24"/>
        </w:rPr>
        <w:t>σp</w:t>
      </w:r>
      <w:proofErr w:type="spellEnd"/>
      <w:r w:rsidRPr="00BD1B68">
        <w:rPr>
          <w:rFonts w:ascii="Times New Roman" w:hAnsi="Times New Roman" w:cs="Times New Roman"/>
          <w:sz w:val="24"/>
          <w:szCs w:val="24"/>
        </w:rPr>
        <w:t xml:space="preserve">) = </w:t>
      </w: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e>
        </m:nary>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(Wi* σi*Wj* σj*ρ</m:t>
                </m:r>
              </m:e>
            </m:nary>
          </m:e>
        </m:nary>
      </m:oMath>
      <w:proofErr w:type="spellStart"/>
      <w:r w:rsidRPr="00BD1B68">
        <w:rPr>
          <w:rFonts w:ascii="Times New Roman" w:eastAsiaTheme="minorEastAsia" w:hAnsi="Times New Roman" w:cs="Times New Roman"/>
          <w:sz w:val="24"/>
          <w:szCs w:val="24"/>
        </w:rPr>
        <w:t>ij</w:t>
      </w:r>
      <w:proofErr w:type="spellEnd"/>
    </w:p>
    <w:p w:rsidR="00CF1BBA" w:rsidRPr="00BD1B68" w:rsidRDefault="00CF1BBA" w:rsidP="00BD1B68">
      <w:pPr>
        <w:spacing w:after="0" w:line="480" w:lineRule="auto"/>
        <w:ind w:firstLine="720"/>
        <w:jc w:val="both"/>
        <w:rPr>
          <w:rFonts w:ascii="Times New Roman" w:hAnsi="Times New Roman" w:cs="Times New Roman"/>
          <w:sz w:val="24"/>
          <w:szCs w:val="24"/>
        </w:rPr>
      </w:pPr>
      <w:r w:rsidRPr="00BD1B68">
        <w:rPr>
          <w:rFonts w:ascii="Times New Roman" w:hAnsi="Times New Roman" w:cs="Times New Roman"/>
          <w:sz w:val="24"/>
          <w:szCs w:val="24"/>
        </w:rPr>
        <w:t xml:space="preserve">The portfolio objective is </w:t>
      </w:r>
      <w:r w:rsidR="00DF29A5" w:rsidRPr="00BD1B68">
        <w:rPr>
          <w:rFonts w:ascii="Times New Roman" w:hAnsi="Times New Roman" w:cs="Times New Roman"/>
          <w:sz w:val="24"/>
          <w:szCs w:val="24"/>
        </w:rPr>
        <w:t>the return of the portfolio should not be less than 6% per year. The volatility of the portfolio should not be more than 12%, at least 60% of the funds should be invested in liquid assets (cash, bonds, equity</w:t>
      </w:r>
      <w:r w:rsidR="003B475F">
        <w:rPr>
          <w:rFonts w:ascii="Times New Roman" w:hAnsi="Times New Roman" w:cs="Times New Roman"/>
          <w:sz w:val="24"/>
          <w:szCs w:val="24"/>
        </w:rPr>
        <w:t>,</w:t>
      </w:r>
      <w:r w:rsidR="00DF29A5" w:rsidRPr="00BD1B68">
        <w:rPr>
          <w:rFonts w:ascii="Times New Roman" w:hAnsi="Times New Roman" w:cs="Times New Roman"/>
          <w:sz w:val="24"/>
          <w:szCs w:val="24"/>
        </w:rPr>
        <w:t xml:space="preserve"> and listed property index), cash should hold at least 5% of the total allocation and at least 40 to 60% of the funds should be invested in traditional assets, that is bonds, equity</w:t>
      </w:r>
      <w:r w:rsidR="003B475F">
        <w:rPr>
          <w:rFonts w:ascii="Times New Roman" w:hAnsi="Times New Roman" w:cs="Times New Roman"/>
          <w:sz w:val="24"/>
          <w:szCs w:val="24"/>
        </w:rPr>
        <w:t>,</w:t>
      </w:r>
      <w:r w:rsidR="00DF29A5" w:rsidRPr="00BD1B68">
        <w:rPr>
          <w:rFonts w:ascii="Times New Roman" w:hAnsi="Times New Roman" w:cs="Times New Roman"/>
          <w:sz w:val="24"/>
          <w:szCs w:val="24"/>
        </w:rPr>
        <w:t xml:space="preserve"> and cash.</w:t>
      </w:r>
    </w:p>
    <w:p w:rsidR="00CF1BBA" w:rsidRPr="00BD1B68" w:rsidRDefault="00CF1BBA" w:rsidP="00BD1B68">
      <w:pPr>
        <w:spacing w:after="0" w:line="480" w:lineRule="auto"/>
        <w:ind w:firstLine="720"/>
        <w:jc w:val="both"/>
        <w:rPr>
          <w:rFonts w:ascii="Times New Roman" w:hAnsi="Times New Roman" w:cs="Times New Roman"/>
          <w:sz w:val="24"/>
          <w:szCs w:val="24"/>
        </w:rPr>
      </w:pPr>
    </w:p>
    <w:p w:rsidR="00160BB3" w:rsidRPr="00422E92" w:rsidRDefault="00160BB3" w:rsidP="00980AA6">
      <w:pPr>
        <w:spacing w:after="0"/>
        <w:rPr>
          <w:b/>
        </w:rPr>
      </w:pPr>
      <w:r w:rsidRPr="00422E92">
        <w:rPr>
          <w:b/>
        </w:rPr>
        <w:t xml:space="preserve">Weight </w:t>
      </w:r>
    </w:p>
    <w:p w:rsidR="00160BB3" w:rsidRDefault="00160BB3" w:rsidP="00980AA6">
      <w:pPr>
        <w:spacing w:after="0"/>
      </w:pPr>
    </w:p>
    <w:tbl>
      <w:tblPr>
        <w:tblW w:w="3521" w:type="dxa"/>
        <w:tblLook w:val="04A0" w:firstRow="1" w:lastRow="0" w:firstColumn="1" w:lastColumn="0" w:noHBand="0" w:noVBand="1"/>
      </w:tblPr>
      <w:tblGrid>
        <w:gridCol w:w="2561"/>
        <w:gridCol w:w="1053"/>
      </w:tblGrid>
      <w:tr w:rsidR="00160BB3" w:rsidRPr="00160BB3" w:rsidTr="00160BB3">
        <w:trPr>
          <w:trHeight w:val="300"/>
        </w:trPr>
        <w:tc>
          <w:tcPr>
            <w:tcW w:w="2561" w:type="dxa"/>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 xml:space="preserve">weights  for optimization </w:t>
            </w:r>
          </w:p>
        </w:tc>
        <w:tc>
          <w:tcPr>
            <w:tcW w:w="960" w:type="dxa"/>
            <w:tcBorders>
              <w:top w:val="single" w:sz="4" w:space="0" w:color="auto"/>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color w:val="000000"/>
              </w:rPr>
            </w:pPr>
            <w:r w:rsidRPr="00160BB3">
              <w:rPr>
                <w:rFonts w:ascii="Calibri" w:eastAsia="Times New Roman" w:hAnsi="Calibri" w:cs="Calibri"/>
                <w:color w:val="000000"/>
              </w:rPr>
              <w:t xml:space="preserve">weights </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Cash (%)</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0.120743</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Bond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Equity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0.879257</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Listed Property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Direct Property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Hedge Funds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Commodity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Private Equity Index</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 xml:space="preserve">total </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1</w:t>
            </w: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Times New Roman" w:eastAsia="Times New Roman" w:hAnsi="Times New Roman" w:cs="Times New Roman"/>
                <w:sz w:val="20"/>
                <w:szCs w:val="20"/>
              </w:rPr>
            </w:pPr>
          </w:p>
        </w:tc>
      </w:tr>
      <w:tr w:rsidR="00160BB3" w:rsidRPr="00160BB3" w:rsidTr="00160BB3">
        <w:trPr>
          <w:trHeight w:val="300"/>
        </w:trPr>
        <w:tc>
          <w:tcPr>
            <w:tcW w:w="2561"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portfolio return</w:t>
            </w:r>
          </w:p>
        </w:tc>
        <w:tc>
          <w:tcPr>
            <w:tcW w:w="960" w:type="dxa"/>
            <w:tcBorders>
              <w:top w:val="nil"/>
              <w:left w:val="nil"/>
              <w:bottom w:val="nil"/>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0.171828</w:t>
            </w:r>
          </w:p>
        </w:tc>
      </w:tr>
      <w:tr w:rsidR="00160BB3" w:rsidRPr="00160BB3" w:rsidTr="00160BB3">
        <w:trPr>
          <w:trHeight w:val="300"/>
        </w:trPr>
        <w:tc>
          <w:tcPr>
            <w:tcW w:w="2561" w:type="dxa"/>
            <w:tcBorders>
              <w:top w:val="nil"/>
              <w:left w:val="nil"/>
              <w:bottom w:val="single" w:sz="4" w:space="0" w:color="auto"/>
              <w:right w:val="nil"/>
            </w:tcBorders>
            <w:shd w:val="clear" w:color="auto" w:fill="auto"/>
            <w:noWrap/>
            <w:vAlign w:val="bottom"/>
            <w:hideMark/>
          </w:tcPr>
          <w:p w:rsidR="00160BB3" w:rsidRPr="00160BB3" w:rsidRDefault="004904C4" w:rsidP="00160BB3">
            <w:pPr>
              <w:spacing w:after="0" w:line="240" w:lineRule="auto"/>
              <w:rPr>
                <w:rFonts w:ascii="Calibri" w:eastAsia="Times New Roman" w:hAnsi="Calibri" w:cs="Calibri"/>
                <w:b/>
                <w:bCs/>
                <w:color w:val="000000"/>
              </w:rPr>
            </w:pPr>
            <w:r w:rsidRPr="00160BB3">
              <w:rPr>
                <w:rFonts w:ascii="Calibri" w:eastAsia="Times New Roman" w:hAnsi="Calibri" w:cs="Calibri"/>
                <w:b/>
                <w:bCs/>
                <w:color w:val="000000"/>
              </w:rPr>
              <w:t>portfolio standard</w:t>
            </w:r>
            <w:r w:rsidR="00160BB3" w:rsidRPr="00160BB3">
              <w:rPr>
                <w:rFonts w:ascii="Calibri" w:eastAsia="Times New Roman" w:hAnsi="Calibri" w:cs="Calibri"/>
                <w:b/>
                <w:bCs/>
                <w:color w:val="000000"/>
              </w:rPr>
              <w:t xml:space="preserve"> deviation </w:t>
            </w:r>
          </w:p>
        </w:tc>
        <w:tc>
          <w:tcPr>
            <w:tcW w:w="960" w:type="dxa"/>
            <w:tcBorders>
              <w:top w:val="nil"/>
              <w:left w:val="nil"/>
              <w:bottom w:val="single" w:sz="4" w:space="0" w:color="auto"/>
              <w:right w:val="nil"/>
            </w:tcBorders>
            <w:shd w:val="clear" w:color="auto" w:fill="auto"/>
            <w:noWrap/>
            <w:vAlign w:val="bottom"/>
            <w:hideMark/>
          </w:tcPr>
          <w:p w:rsidR="00160BB3" w:rsidRPr="00160BB3" w:rsidRDefault="00160BB3" w:rsidP="00160BB3">
            <w:pPr>
              <w:spacing w:after="0" w:line="240" w:lineRule="auto"/>
              <w:jc w:val="right"/>
              <w:rPr>
                <w:rFonts w:ascii="Calibri" w:eastAsia="Times New Roman" w:hAnsi="Calibri" w:cs="Calibri"/>
                <w:color w:val="000000"/>
              </w:rPr>
            </w:pPr>
            <w:r w:rsidRPr="00160BB3">
              <w:rPr>
                <w:rFonts w:ascii="Calibri" w:eastAsia="Times New Roman" w:hAnsi="Calibri" w:cs="Calibri"/>
                <w:color w:val="000000"/>
              </w:rPr>
              <w:t>0.12</w:t>
            </w:r>
          </w:p>
        </w:tc>
      </w:tr>
    </w:tbl>
    <w:p w:rsidR="004904C4" w:rsidRDefault="004904C4" w:rsidP="00980AA6">
      <w:pPr>
        <w:spacing w:after="0"/>
      </w:pPr>
    </w:p>
    <w:p w:rsidR="00151422" w:rsidRPr="00BD1B68" w:rsidRDefault="00151422" w:rsidP="00BD1B68">
      <w:pPr>
        <w:spacing w:after="0" w:line="480" w:lineRule="auto"/>
        <w:ind w:firstLine="720"/>
        <w:jc w:val="both"/>
        <w:rPr>
          <w:rFonts w:ascii="Times New Roman" w:hAnsi="Times New Roman" w:cs="Times New Roman"/>
          <w:sz w:val="24"/>
          <w:szCs w:val="24"/>
        </w:rPr>
      </w:pPr>
      <w:r w:rsidRPr="00BD1B68">
        <w:rPr>
          <w:rFonts w:ascii="Times New Roman" w:hAnsi="Times New Roman" w:cs="Times New Roman"/>
          <w:sz w:val="24"/>
          <w:szCs w:val="24"/>
        </w:rPr>
        <w:t xml:space="preserve">Based on the above table, to achieve the objectives of the study one should only invest in cash and equity index since they yield </w:t>
      </w:r>
      <w:r w:rsidR="003B475F">
        <w:rPr>
          <w:rFonts w:ascii="Times New Roman" w:hAnsi="Times New Roman" w:cs="Times New Roman"/>
          <w:sz w:val="24"/>
          <w:szCs w:val="24"/>
        </w:rPr>
        <w:t xml:space="preserve">a </w:t>
      </w:r>
      <w:r w:rsidRPr="00BD1B68">
        <w:rPr>
          <w:rFonts w:ascii="Times New Roman" w:hAnsi="Times New Roman" w:cs="Times New Roman"/>
          <w:sz w:val="24"/>
          <w:szCs w:val="24"/>
        </w:rPr>
        <w:t xml:space="preserve">maximum portfolio return </w:t>
      </w:r>
      <w:r w:rsidR="003B475F">
        <w:rPr>
          <w:rFonts w:ascii="Times New Roman" w:hAnsi="Times New Roman" w:cs="Times New Roman"/>
          <w:sz w:val="24"/>
          <w:szCs w:val="24"/>
        </w:rPr>
        <w:t xml:space="preserve">of </w:t>
      </w:r>
      <w:r w:rsidRPr="00BD1B68">
        <w:rPr>
          <w:rFonts w:ascii="Times New Roman" w:hAnsi="Times New Roman" w:cs="Times New Roman"/>
          <w:sz w:val="24"/>
          <w:szCs w:val="24"/>
        </w:rPr>
        <w:t xml:space="preserve">0.171828 and a standard deviation of 0.12 which is still within our objective. To achieve these, </w:t>
      </w:r>
      <w:r w:rsidR="003B475F">
        <w:rPr>
          <w:rFonts w:ascii="Times New Roman" w:hAnsi="Times New Roman" w:cs="Times New Roman"/>
          <w:sz w:val="24"/>
          <w:szCs w:val="24"/>
        </w:rPr>
        <w:t xml:space="preserve">the </w:t>
      </w:r>
      <w:r w:rsidRPr="00BD1B68">
        <w:rPr>
          <w:rFonts w:ascii="Times New Roman" w:hAnsi="Times New Roman" w:cs="Times New Roman"/>
          <w:sz w:val="24"/>
          <w:szCs w:val="24"/>
        </w:rPr>
        <w:t xml:space="preserve">weights of </w:t>
      </w:r>
      <w:r w:rsidR="003B475F">
        <w:rPr>
          <w:rFonts w:ascii="Times New Roman" w:hAnsi="Times New Roman" w:cs="Times New Roman"/>
          <w:sz w:val="24"/>
          <w:szCs w:val="24"/>
        </w:rPr>
        <w:t xml:space="preserve">the </w:t>
      </w:r>
      <w:r w:rsidRPr="00BD1B68">
        <w:rPr>
          <w:rFonts w:ascii="Times New Roman" w:hAnsi="Times New Roman" w:cs="Times New Roman"/>
          <w:sz w:val="24"/>
          <w:szCs w:val="24"/>
        </w:rPr>
        <w:t>cash and equity index should be 0.879257 and 0.120743 respectively.</w:t>
      </w:r>
    </w:p>
    <w:p w:rsidR="00CF1BBA" w:rsidRDefault="00151422" w:rsidP="00BD1B68">
      <w:pPr>
        <w:spacing w:after="0" w:line="480" w:lineRule="auto"/>
        <w:ind w:firstLine="720"/>
        <w:jc w:val="both"/>
        <w:rPr>
          <w:rFonts w:ascii="Times New Roman" w:hAnsi="Times New Roman" w:cs="Times New Roman"/>
          <w:sz w:val="24"/>
          <w:szCs w:val="24"/>
        </w:rPr>
      </w:pPr>
      <w:r w:rsidRPr="00BD1B68">
        <w:rPr>
          <w:rFonts w:ascii="Times New Roman" w:hAnsi="Times New Roman" w:cs="Times New Roman"/>
          <w:sz w:val="24"/>
          <w:szCs w:val="24"/>
        </w:rPr>
        <w:t xml:space="preserve">In conclusion for us to achieve </w:t>
      </w:r>
      <w:r w:rsidR="003B475F">
        <w:rPr>
          <w:rFonts w:ascii="Times New Roman" w:hAnsi="Times New Roman" w:cs="Times New Roman"/>
          <w:sz w:val="24"/>
          <w:szCs w:val="24"/>
        </w:rPr>
        <w:t xml:space="preserve">the </w:t>
      </w:r>
      <w:r w:rsidRPr="00BD1B68">
        <w:rPr>
          <w:rFonts w:ascii="Times New Roman" w:hAnsi="Times New Roman" w:cs="Times New Roman"/>
          <w:sz w:val="24"/>
          <w:szCs w:val="24"/>
        </w:rPr>
        <w:t>main portfolio objectives; the return of the portfolio should not be less than 6% per year. The volatility of the portfolio should not be more than 12%, at least 60% of the funds should be invested in liquid assets (cash, bonds, equity</w:t>
      </w:r>
      <w:r w:rsidR="003B475F">
        <w:rPr>
          <w:rFonts w:ascii="Times New Roman" w:hAnsi="Times New Roman" w:cs="Times New Roman"/>
          <w:sz w:val="24"/>
          <w:szCs w:val="24"/>
        </w:rPr>
        <w:t>,</w:t>
      </w:r>
      <w:r w:rsidRPr="00BD1B68">
        <w:rPr>
          <w:rFonts w:ascii="Times New Roman" w:hAnsi="Times New Roman" w:cs="Times New Roman"/>
          <w:sz w:val="24"/>
          <w:szCs w:val="24"/>
        </w:rPr>
        <w:t xml:space="preserve"> and listed property index), cash should hold at least 5% of the total allocation and at least 40 to 60% of the funds should be invested in traditional assets, that is bonds, equity and cash one should only invest in cash and equity index.</w:t>
      </w:r>
    </w:p>
    <w:p w:rsidR="002815E1" w:rsidRPr="00BD1B68" w:rsidRDefault="002815E1" w:rsidP="00704CDA">
      <w:pPr>
        <w:spacing w:after="0" w:line="480" w:lineRule="auto"/>
        <w:jc w:val="both"/>
        <w:rPr>
          <w:rFonts w:ascii="Times New Roman" w:hAnsi="Times New Roman" w:cs="Times New Roman"/>
          <w:sz w:val="24"/>
          <w:szCs w:val="24"/>
        </w:rPr>
      </w:pPr>
      <w:bookmarkStart w:id="2" w:name="_GoBack"/>
      <w:bookmarkEnd w:id="2"/>
    </w:p>
    <w:p w:rsidR="00A94C0E" w:rsidRPr="00BD1B68" w:rsidRDefault="00A94C0E" w:rsidP="00980AA6">
      <w:pPr>
        <w:spacing w:after="0"/>
        <w:rPr>
          <w:rFonts w:ascii="Times New Roman" w:hAnsi="Times New Roman" w:cs="Times New Roman"/>
          <w:sz w:val="24"/>
          <w:szCs w:val="24"/>
        </w:rPr>
      </w:pPr>
    </w:p>
    <w:p w:rsidR="00A94C0E" w:rsidRPr="00BD1B68" w:rsidRDefault="00A94C0E" w:rsidP="00BD1B68">
      <w:pPr>
        <w:spacing w:after="0"/>
        <w:jc w:val="center"/>
        <w:rPr>
          <w:rFonts w:ascii="Times New Roman" w:hAnsi="Times New Roman" w:cs="Times New Roman"/>
          <w:b/>
          <w:sz w:val="24"/>
          <w:szCs w:val="24"/>
        </w:rPr>
      </w:pPr>
      <w:r w:rsidRPr="00BD1B68">
        <w:rPr>
          <w:rFonts w:ascii="Times New Roman" w:hAnsi="Times New Roman" w:cs="Times New Roman"/>
          <w:b/>
          <w:sz w:val="24"/>
          <w:szCs w:val="24"/>
        </w:rPr>
        <w:t>References.</w:t>
      </w:r>
    </w:p>
    <w:p w:rsidR="00A94C0E" w:rsidRPr="00BD1B68" w:rsidRDefault="00A94C0E" w:rsidP="00980AA6">
      <w:pPr>
        <w:spacing w:after="0"/>
        <w:rPr>
          <w:rFonts w:ascii="Times New Roman" w:hAnsi="Times New Roman" w:cs="Times New Roman"/>
          <w:b/>
          <w:sz w:val="24"/>
          <w:szCs w:val="24"/>
        </w:rPr>
      </w:pPr>
    </w:p>
    <w:p w:rsidR="00BD1B68" w:rsidRPr="00BD1B68" w:rsidRDefault="00BD1B68" w:rsidP="00BD1B68">
      <w:pPr>
        <w:pStyle w:val="NormalWeb"/>
        <w:spacing w:before="0" w:beforeAutospacing="0" w:after="0" w:afterAutospacing="0" w:line="480" w:lineRule="auto"/>
        <w:ind w:left="720" w:hanging="720"/>
      </w:pPr>
      <w:r w:rsidRPr="00BD1B68">
        <w:t xml:space="preserve">Chatterjee, S., Hora, S. C., &amp; </w:t>
      </w:r>
      <w:proofErr w:type="spellStart"/>
      <w:r w:rsidRPr="00BD1B68">
        <w:t>Rosoff</w:t>
      </w:r>
      <w:proofErr w:type="spellEnd"/>
      <w:r w:rsidRPr="00BD1B68">
        <w:t xml:space="preserve">, H. (2014). Portfolio Analysis of Layered Security Measures. </w:t>
      </w:r>
      <w:r w:rsidRPr="00BD1B68">
        <w:rPr>
          <w:i/>
          <w:iCs/>
        </w:rPr>
        <w:t>Risk Analysis</w:t>
      </w:r>
      <w:r w:rsidRPr="00BD1B68">
        <w:t xml:space="preserve">, </w:t>
      </w:r>
      <w:r w:rsidRPr="00BD1B68">
        <w:rPr>
          <w:i/>
          <w:iCs/>
        </w:rPr>
        <w:t>35</w:t>
      </w:r>
      <w:r w:rsidRPr="00BD1B68">
        <w:t xml:space="preserve">(3), 459–475. </w:t>
      </w:r>
      <w:hyperlink r:id="rId5" w:history="1">
        <w:r w:rsidRPr="00BD1B68">
          <w:rPr>
            <w:rStyle w:val="Hyperlink"/>
          </w:rPr>
          <w:t>https://doi.org/10.1111/risa.12303</w:t>
        </w:r>
      </w:hyperlink>
    </w:p>
    <w:p w:rsidR="00BD1B68" w:rsidRPr="00BD1B68" w:rsidRDefault="00BD1B68" w:rsidP="00BD1B68">
      <w:pPr>
        <w:pStyle w:val="NormalWeb"/>
        <w:spacing w:before="0" w:beforeAutospacing="0" w:after="0" w:afterAutospacing="0" w:line="480" w:lineRule="auto"/>
        <w:ind w:left="720" w:hanging="720"/>
      </w:pPr>
      <w:r w:rsidRPr="00BD1B68">
        <w:t xml:space="preserve">Clarke, R., de Silva, H., &amp; Thorley, S. (2010). Minimum-Variance Portfolio Composition. </w:t>
      </w:r>
      <w:r w:rsidRPr="00BD1B68">
        <w:rPr>
          <w:i/>
          <w:iCs/>
        </w:rPr>
        <w:t>The Journal of Portfolio Management</w:t>
      </w:r>
      <w:r w:rsidRPr="00BD1B68">
        <w:t xml:space="preserve">, 101116223821055. </w:t>
      </w:r>
      <w:hyperlink r:id="rId6" w:history="1">
        <w:r w:rsidRPr="00BD1B68">
          <w:rPr>
            <w:rStyle w:val="Hyperlink"/>
          </w:rPr>
          <w:t>https://doi.org/10.3905/jpm.2010.2010.1.009</w:t>
        </w:r>
      </w:hyperlink>
    </w:p>
    <w:p w:rsidR="00BD1B68" w:rsidRPr="00BD1B68" w:rsidRDefault="00BD1B68" w:rsidP="00BD1B68">
      <w:pPr>
        <w:pStyle w:val="NormalWeb"/>
        <w:spacing w:before="0" w:beforeAutospacing="0" w:after="0" w:afterAutospacing="0" w:line="480" w:lineRule="auto"/>
        <w:ind w:left="720" w:hanging="720"/>
      </w:pPr>
      <w:r w:rsidRPr="00BD1B68">
        <w:t xml:space="preserve">Solanki, D. A. H. (2011). Portfolio Selection Process through Markowitz Model. </w:t>
      </w:r>
      <w:r w:rsidRPr="00BD1B68">
        <w:rPr>
          <w:i/>
          <w:iCs/>
        </w:rPr>
        <w:t>Indian Journal of Applied Research</w:t>
      </w:r>
      <w:r w:rsidRPr="00BD1B68">
        <w:t xml:space="preserve">, </w:t>
      </w:r>
      <w:r w:rsidRPr="00BD1B68">
        <w:rPr>
          <w:i/>
          <w:iCs/>
        </w:rPr>
        <w:t>4</w:t>
      </w:r>
      <w:r w:rsidRPr="00BD1B68">
        <w:t>(8), 356–358. https://doi.org/10.15373/2249555x/august2014/90</w:t>
      </w:r>
    </w:p>
    <w:p w:rsidR="00BD1B68" w:rsidRPr="00BD1B68" w:rsidRDefault="00BD1B68" w:rsidP="00BD1B68">
      <w:pPr>
        <w:pStyle w:val="NormalWeb"/>
        <w:spacing w:before="0" w:beforeAutospacing="0" w:after="0" w:afterAutospacing="0" w:line="480" w:lineRule="auto"/>
        <w:ind w:left="720" w:hanging="720"/>
      </w:pPr>
      <w:proofErr w:type="spellStart"/>
      <w:r w:rsidRPr="00BD1B68">
        <w:t>Zakamulin</w:t>
      </w:r>
      <w:proofErr w:type="spellEnd"/>
      <w:r w:rsidRPr="00BD1B68">
        <w:t xml:space="preserve">, V. (2016). Optimal Dynamic Portfolio Risk Management. </w:t>
      </w:r>
      <w:r w:rsidRPr="00BD1B68">
        <w:rPr>
          <w:i/>
          <w:iCs/>
        </w:rPr>
        <w:t>The Journal of Portfolio Management</w:t>
      </w:r>
      <w:r w:rsidRPr="00BD1B68">
        <w:t>. Published. https://doi.org/10.3905/jpm.2016.2016.1.063</w:t>
      </w:r>
    </w:p>
    <w:p w:rsidR="00BD1B68" w:rsidRPr="00BD1B68" w:rsidRDefault="00BD1B68" w:rsidP="00BD1B68">
      <w:pPr>
        <w:pStyle w:val="NormalWeb"/>
        <w:spacing w:before="0" w:beforeAutospacing="0" w:after="0" w:afterAutospacing="0" w:line="480" w:lineRule="auto"/>
        <w:ind w:left="720" w:hanging="720"/>
      </w:pPr>
    </w:p>
    <w:p w:rsidR="00A94C0E" w:rsidRPr="00BD1B68" w:rsidRDefault="00A94C0E" w:rsidP="00980AA6">
      <w:pPr>
        <w:spacing w:after="0"/>
        <w:rPr>
          <w:rFonts w:ascii="Times New Roman" w:hAnsi="Times New Roman" w:cs="Times New Roman"/>
          <w:sz w:val="24"/>
          <w:szCs w:val="24"/>
        </w:rPr>
      </w:pPr>
    </w:p>
    <w:sectPr w:rsidR="00A94C0E" w:rsidRPr="00BD1B68" w:rsidSect="00131D9F">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zNDY3MTIyMzI2MTFU0lEKTi0uzszPAykwqgUAjy9plSwAAAA="/>
  </w:docVars>
  <w:rsids>
    <w:rsidRoot w:val="00980AA6"/>
    <w:rsid w:val="00093EEC"/>
    <w:rsid w:val="00131D9F"/>
    <w:rsid w:val="00151422"/>
    <w:rsid w:val="00160BB3"/>
    <w:rsid w:val="00165675"/>
    <w:rsid w:val="001704BA"/>
    <w:rsid w:val="001E32CE"/>
    <w:rsid w:val="001F28C6"/>
    <w:rsid w:val="002815E1"/>
    <w:rsid w:val="00297519"/>
    <w:rsid w:val="002A63B2"/>
    <w:rsid w:val="00387ADB"/>
    <w:rsid w:val="003A527C"/>
    <w:rsid w:val="003B475F"/>
    <w:rsid w:val="003C6193"/>
    <w:rsid w:val="00402FD7"/>
    <w:rsid w:val="004044D3"/>
    <w:rsid w:val="00422E92"/>
    <w:rsid w:val="004904C4"/>
    <w:rsid w:val="005A2678"/>
    <w:rsid w:val="006221C4"/>
    <w:rsid w:val="00642C43"/>
    <w:rsid w:val="006937BB"/>
    <w:rsid w:val="006964F1"/>
    <w:rsid w:val="006E4D3F"/>
    <w:rsid w:val="006E586A"/>
    <w:rsid w:val="00704CDA"/>
    <w:rsid w:val="00776324"/>
    <w:rsid w:val="007B2AE1"/>
    <w:rsid w:val="00851FE7"/>
    <w:rsid w:val="0086281A"/>
    <w:rsid w:val="0089436A"/>
    <w:rsid w:val="009055C6"/>
    <w:rsid w:val="00980AA6"/>
    <w:rsid w:val="00A22E9C"/>
    <w:rsid w:val="00A94C0E"/>
    <w:rsid w:val="00B57655"/>
    <w:rsid w:val="00B74C78"/>
    <w:rsid w:val="00B75738"/>
    <w:rsid w:val="00BD1B68"/>
    <w:rsid w:val="00BE7AF1"/>
    <w:rsid w:val="00C5472B"/>
    <w:rsid w:val="00CE253D"/>
    <w:rsid w:val="00CF1BBA"/>
    <w:rsid w:val="00D94015"/>
    <w:rsid w:val="00DF29A5"/>
    <w:rsid w:val="00E6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8095"/>
  <w15:chartTrackingRefBased/>
  <w15:docId w15:val="{B83D44BA-1AF5-41A7-A847-7698E8BC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1BBA"/>
    <w:rPr>
      <w:color w:val="808080"/>
    </w:rPr>
  </w:style>
  <w:style w:type="paragraph" w:styleId="NormalWeb">
    <w:name w:val="Normal (Web)"/>
    <w:basedOn w:val="Normal"/>
    <w:uiPriority w:val="99"/>
    <w:semiHidden/>
    <w:unhideWhenUsed/>
    <w:rsid w:val="00BD1B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B68"/>
    <w:rPr>
      <w:color w:val="0563C1" w:themeColor="hyperlink"/>
      <w:u w:val="single"/>
    </w:rPr>
  </w:style>
  <w:style w:type="character" w:customStyle="1" w:styleId="UnresolvedMention">
    <w:name w:val="Unresolved Mention"/>
    <w:basedOn w:val="DefaultParagraphFont"/>
    <w:uiPriority w:val="99"/>
    <w:semiHidden/>
    <w:unhideWhenUsed/>
    <w:rsid w:val="00BD1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68086">
      <w:bodyDiv w:val="1"/>
      <w:marLeft w:val="0"/>
      <w:marRight w:val="0"/>
      <w:marTop w:val="0"/>
      <w:marBottom w:val="0"/>
      <w:divBdr>
        <w:top w:val="none" w:sz="0" w:space="0" w:color="auto"/>
        <w:left w:val="none" w:sz="0" w:space="0" w:color="auto"/>
        <w:bottom w:val="none" w:sz="0" w:space="0" w:color="auto"/>
        <w:right w:val="none" w:sz="0" w:space="0" w:color="auto"/>
      </w:divBdr>
    </w:div>
    <w:div w:id="132069235">
      <w:bodyDiv w:val="1"/>
      <w:marLeft w:val="0"/>
      <w:marRight w:val="0"/>
      <w:marTop w:val="0"/>
      <w:marBottom w:val="0"/>
      <w:divBdr>
        <w:top w:val="none" w:sz="0" w:space="0" w:color="auto"/>
        <w:left w:val="none" w:sz="0" w:space="0" w:color="auto"/>
        <w:bottom w:val="none" w:sz="0" w:space="0" w:color="auto"/>
        <w:right w:val="none" w:sz="0" w:space="0" w:color="auto"/>
      </w:divBdr>
    </w:div>
    <w:div w:id="374550303">
      <w:bodyDiv w:val="1"/>
      <w:marLeft w:val="0"/>
      <w:marRight w:val="0"/>
      <w:marTop w:val="0"/>
      <w:marBottom w:val="0"/>
      <w:divBdr>
        <w:top w:val="none" w:sz="0" w:space="0" w:color="auto"/>
        <w:left w:val="none" w:sz="0" w:space="0" w:color="auto"/>
        <w:bottom w:val="none" w:sz="0" w:space="0" w:color="auto"/>
        <w:right w:val="none" w:sz="0" w:space="0" w:color="auto"/>
      </w:divBdr>
    </w:div>
    <w:div w:id="557471505">
      <w:bodyDiv w:val="1"/>
      <w:marLeft w:val="0"/>
      <w:marRight w:val="0"/>
      <w:marTop w:val="0"/>
      <w:marBottom w:val="0"/>
      <w:divBdr>
        <w:top w:val="none" w:sz="0" w:space="0" w:color="auto"/>
        <w:left w:val="none" w:sz="0" w:space="0" w:color="auto"/>
        <w:bottom w:val="none" w:sz="0" w:space="0" w:color="auto"/>
        <w:right w:val="none" w:sz="0" w:space="0" w:color="auto"/>
      </w:divBdr>
    </w:div>
    <w:div w:id="641037966">
      <w:bodyDiv w:val="1"/>
      <w:marLeft w:val="0"/>
      <w:marRight w:val="0"/>
      <w:marTop w:val="0"/>
      <w:marBottom w:val="0"/>
      <w:divBdr>
        <w:top w:val="none" w:sz="0" w:space="0" w:color="auto"/>
        <w:left w:val="none" w:sz="0" w:space="0" w:color="auto"/>
        <w:bottom w:val="none" w:sz="0" w:space="0" w:color="auto"/>
        <w:right w:val="none" w:sz="0" w:space="0" w:color="auto"/>
      </w:divBdr>
    </w:div>
    <w:div w:id="733235122">
      <w:bodyDiv w:val="1"/>
      <w:marLeft w:val="0"/>
      <w:marRight w:val="0"/>
      <w:marTop w:val="0"/>
      <w:marBottom w:val="0"/>
      <w:divBdr>
        <w:top w:val="none" w:sz="0" w:space="0" w:color="auto"/>
        <w:left w:val="none" w:sz="0" w:space="0" w:color="auto"/>
        <w:bottom w:val="none" w:sz="0" w:space="0" w:color="auto"/>
        <w:right w:val="none" w:sz="0" w:space="0" w:color="auto"/>
      </w:divBdr>
    </w:div>
    <w:div w:id="734668362">
      <w:bodyDiv w:val="1"/>
      <w:marLeft w:val="0"/>
      <w:marRight w:val="0"/>
      <w:marTop w:val="0"/>
      <w:marBottom w:val="0"/>
      <w:divBdr>
        <w:top w:val="none" w:sz="0" w:space="0" w:color="auto"/>
        <w:left w:val="none" w:sz="0" w:space="0" w:color="auto"/>
        <w:bottom w:val="none" w:sz="0" w:space="0" w:color="auto"/>
        <w:right w:val="none" w:sz="0" w:space="0" w:color="auto"/>
      </w:divBdr>
    </w:div>
    <w:div w:id="1087574059">
      <w:bodyDiv w:val="1"/>
      <w:marLeft w:val="0"/>
      <w:marRight w:val="0"/>
      <w:marTop w:val="0"/>
      <w:marBottom w:val="0"/>
      <w:divBdr>
        <w:top w:val="none" w:sz="0" w:space="0" w:color="auto"/>
        <w:left w:val="none" w:sz="0" w:space="0" w:color="auto"/>
        <w:bottom w:val="none" w:sz="0" w:space="0" w:color="auto"/>
        <w:right w:val="none" w:sz="0" w:space="0" w:color="auto"/>
      </w:divBdr>
    </w:div>
    <w:div w:id="1120802618">
      <w:bodyDiv w:val="1"/>
      <w:marLeft w:val="0"/>
      <w:marRight w:val="0"/>
      <w:marTop w:val="0"/>
      <w:marBottom w:val="0"/>
      <w:divBdr>
        <w:top w:val="none" w:sz="0" w:space="0" w:color="auto"/>
        <w:left w:val="none" w:sz="0" w:space="0" w:color="auto"/>
        <w:bottom w:val="none" w:sz="0" w:space="0" w:color="auto"/>
        <w:right w:val="none" w:sz="0" w:space="0" w:color="auto"/>
      </w:divBdr>
    </w:div>
    <w:div w:id="1172377927">
      <w:bodyDiv w:val="1"/>
      <w:marLeft w:val="0"/>
      <w:marRight w:val="0"/>
      <w:marTop w:val="0"/>
      <w:marBottom w:val="0"/>
      <w:divBdr>
        <w:top w:val="none" w:sz="0" w:space="0" w:color="auto"/>
        <w:left w:val="none" w:sz="0" w:space="0" w:color="auto"/>
        <w:bottom w:val="none" w:sz="0" w:space="0" w:color="auto"/>
        <w:right w:val="none" w:sz="0" w:space="0" w:color="auto"/>
      </w:divBdr>
    </w:div>
    <w:div w:id="1474298201">
      <w:bodyDiv w:val="1"/>
      <w:marLeft w:val="0"/>
      <w:marRight w:val="0"/>
      <w:marTop w:val="0"/>
      <w:marBottom w:val="0"/>
      <w:divBdr>
        <w:top w:val="none" w:sz="0" w:space="0" w:color="auto"/>
        <w:left w:val="none" w:sz="0" w:space="0" w:color="auto"/>
        <w:bottom w:val="none" w:sz="0" w:space="0" w:color="auto"/>
        <w:right w:val="none" w:sz="0" w:space="0" w:color="auto"/>
      </w:divBdr>
    </w:div>
    <w:div w:id="1530030208">
      <w:bodyDiv w:val="1"/>
      <w:marLeft w:val="0"/>
      <w:marRight w:val="0"/>
      <w:marTop w:val="0"/>
      <w:marBottom w:val="0"/>
      <w:divBdr>
        <w:top w:val="none" w:sz="0" w:space="0" w:color="auto"/>
        <w:left w:val="none" w:sz="0" w:space="0" w:color="auto"/>
        <w:bottom w:val="none" w:sz="0" w:space="0" w:color="auto"/>
        <w:right w:val="none" w:sz="0" w:space="0" w:color="auto"/>
      </w:divBdr>
    </w:div>
    <w:div w:id="1574316666">
      <w:bodyDiv w:val="1"/>
      <w:marLeft w:val="0"/>
      <w:marRight w:val="0"/>
      <w:marTop w:val="0"/>
      <w:marBottom w:val="0"/>
      <w:divBdr>
        <w:top w:val="none" w:sz="0" w:space="0" w:color="auto"/>
        <w:left w:val="none" w:sz="0" w:space="0" w:color="auto"/>
        <w:bottom w:val="none" w:sz="0" w:space="0" w:color="auto"/>
        <w:right w:val="none" w:sz="0" w:space="0" w:color="auto"/>
      </w:divBdr>
    </w:div>
    <w:div w:id="1600336980">
      <w:bodyDiv w:val="1"/>
      <w:marLeft w:val="0"/>
      <w:marRight w:val="0"/>
      <w:marTop w:val="0"/>
      <w:marBottom w:val="0"/>
      <w:divBdr>
        <w:top w:val="none" w:sz="0" w:space="0" w:color="auto"/>
        <w:left w:val="none" w:sz="0" w:space="0" w:color="auto"/>
        <w:bottom w:val="none" w:sz="0" w:space="0" w:color="auto"/>
        <w:right w:val="none" w:sz="0" w:space="0" w:color="auto"/>
      </w:divBdr>
    </w:div>
    <w:div w:id="1665739680">
      <w:bodyDiv w:val="1"/>
      <w:marLeft w:val="0"/>
      <w:marRight w:val="0"/>
      <w:marTop w:val="0"/>
      <w:marBottom w:val="0"/>
      <w:divBdr>
        <w:top w:val="none" w:sz="0" w:space="0" w:color="auto"/>
        <w:left w:val="none" w:sz="0" w:space="0" w:color="auto"/>
        <w:bottom w:val="none" w:sz="0" w:space="0" w:color="auto"/>
        <w:right w:val="none" w:sz="0" w:space="0" w:color="auto"/>
      </w:divBdr>
    </w:div>
    <w:div w:id="1695426897">
      <w:bodyDiv w:val="1"/>
      <w:marLeft w:val="0"/>
      <w:marRight w:val="0"/>
      <w:marTop w:val="0"/>
      <w:marBottom w:val="0"/>
      <w:divBdr>
        <w:top w:val="none" w:sz="0" w:space="0" w:color="auto"/>
        <w:left w:val="none" w:sz="0" w:space="0" w:color="auto"/>
        <w:bottom w:val="none" w:sz="0" w:space="0" w:color="auto"/>
        <w:right w:val="none" w:sz="0" w:space="0" w:color="auto"/>
      </w:divBdr>
    </w:div>
    <w:div w:id="1716001147">
      <w:bodyDiv w:val="1"/>
      <w:marLeft w:val="0"/>
      <w:marRight w:val="0"/>
      <w:marTop w:val="0"/>
      <w:marBottom w:val="0"/>
      <w:divBdr>
        <w:top w:val="none" w:sz="0" w:space="0" w:color="auto"/>
        <w:left w:val="none" w:sz="0" w:space="0" w:color="auto"/>
        <w:bottom w:val="none" w:sz="0" w:space="0" w:color="auto"/>
        <w:right w:val="none" w:sz="0" w:space="0" w:color="auto"/>
      </w:divBdr>
    </w:div>
    <w:div w:id="1874345959">
      <w:bodyDiv w:val="1"/>
      <w:marLeft w:val="0"/>
      <w:marRight w:val="0"/>
      <w:marTop w:val="0"/>
      <w:marBottom w:val="0"/>
      <w:divBdr>
        <w:top w:val="none" w:sz="0" w:space="0" w:color="auto"/>
        <w:left w:val="none" w:sz="0" w:space="0" w:color="auto"/>
        <w:bottom w:val="none" w:sz="0" w:space="0" w:color="auto"/>
        <w:right w:val="none" w:sz="0" w:space="0" w:color="auto"/>
      </w:divBdr>
    </w:div>
    <w:div w:id="1993177445">
      <w:bodyDiv w:val="1"/>
      <w:marLeft w:val="0"/>
      <w:marRight w:val="0"/>
      <w:marTop w:val="0"/>
      <w:marBottom w:val="0"/>
      <w:divBdr>
        <w:top w:val="none" w:sz="0" w:space="0" w:color="auto"/>
        <w:left w:val="none" w:sz="0" w:space="0" w:color="auto"/>
        <w:bottom w:val="none" w:sz="0" w:space="0" w:color="auto"/>
        <w:right w:val="none" w:sz="0" w:space="0" w:color="auto"/>
      </w:divBdr>
    </w:div>
    <w:div w:id="2132480127">
      <w:bodyDiv w:val="1"/>
      <w:marLeft w:val="0"/>
      <w:marRight w:val="0"/>
      <w:marTop w:val="0"/>
      <w:marBottom w:val="0"/>
      <w:divBdr>
        <w:top w:val="none" w:sz="0" w:space="0" w:color="auto"/>
        <w:left w:val="none" w:sz="0" w:space="0" w:color="auto"/>
        <w:bottom w:val="none" w:sz="0" w:space="0" w:color="auto"/>
        <w:right w:val="none" w:sz="0" w:space="0" w:color="auto"/>
      </w:divBdr>
    </w:div>
    <w:div w:id="2134665816">
      <w:bodyDiv w:val="1"/>
      <w:marLeft w:val="0"/>
      <w:marRight w:val="0"/>
      <w:marTop w:val="0"/>
      <w:marBottom w:val="0"/>
      <w:divBdr>
        <w:top w:val="none" w:sz="0" w:space="0" w:color="auto"/>
        <w:left w:val="none" w:sz="0" w:space="0" w:color="auto"/>
        <w:bottom w:val="none" w:sz="0" w:space="0" w:color="auto"/>
        <w:right w:val="none" w:sz="0" w:space="0" w:color="auto"/>
      </w:divBdr>
    </w:div>
    <w:div w:id="213833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905/jpm.2010.2010.1.009" TargetMode="External"/><Relationship Id="rId5" Type="http://schemas.openxmlformats.org/officeDocument/2006/relationships/hyperlink" Target="https://doi.org/10.1111/risa.12303"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jobs%20obuny\portfolio%20analysis%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quarterly return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Data!$O$13</c:f>
              <c:strCache>
                <c:ptCount val="1"/>
                <c:pt idx="0">
                  <c:v>Cash (%)</c:v>
                </c:pt>
              </c:strCache>
            </c:strRef>
          </c:tx>
          <c:spPr>
            <a:ln w="28575" cap="rnd">
              <a:solidFill>
                <a:schemeClr val="accent1"/>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Data!$O$14:$O$33</c:f>
              <c:numCache>
                <c:formatCode>General</c:formatCode>
                <c:ptCount val="20"/>
                <c:pt idx="0">
                  <c:v>0.31249999999999994</c:v>
                </c:pt>
                <c:pt idx="1">
                  <c:v>0.23809523809523819</c:v>
                </c:pt>
                <c:pt idx="2">
                  <c:v>7.6923076923076983E-2</c:v>
                </c:pt>
                <c:pt idx="3">
                  <c:v>0.78571428571428559</c:v>
                </c:pt>
                <c:pt idx="4">
                  <c:v>0.5</c:v>
                </c:pt>
                <c:pt idx="5">
                  <c:v>0.34666666666666668</c:v>
                </c:pt>
                <c:pt idx="6">
                  <c:v>2.9702970297029729E-2</c:v>
                </c:pt>
                <c:pt idx="7">
                  <c:v>0.31730769230769235</c:v>
                </c:pt>
                <c:pt idx="8">
                  <c:v>0.240875912408759</c:v>
                </c:pt>
                <c:pt idx="9">
                  <c:v>0.11176470588235292</c:v>
                </c:pt>
                <c:pt idx="10">
                  <c:v>0.13756613756613759</c:v>
                </c:pt>
                <c:pt idx="11">
                  <c:v>0.11627906976744186</c:v>
                </c:pt>
                <c:pt idx="12">
                  <c:v>-2.0833333333333259E-2</c:v>
                </c:pt>
                <c:pt idx="13">
                  <c:v>-0.1148936170212766</c:v>
                </c:pt>
                <c:pt idx="14">
                  <c:v>-0.11538461538461538</c:v>
                </c:pt>
                <c:pt idx="15">
                  <c:v>-0.17391304347826089</c:v>
                </c:pt>
                <c:pt idx="16">
                  <c:v>-0.92763157894736836</c:v>
                </c:pt>
                <c:pt idx="17">
                  <c:v>0.45454545454545459</c:v>
                </c:pt>
                <c:pt idx="18">
                  <c:v>-0.3125</c:v>
                </c:pt>
                <c:pt idx="19">
                  <c:v>-0.18181818181818185</c:v>
                </c:pt>
              </c:numCache>
            </c:numRef>
          </c:val>
          <c:smooth val="0"/>
          <c:extLst>
            <c:ext xmlns:c16="http://schemas.microsoft.com/office/drawing/2014/chart" uri="{C3380CC4-5D6E-409C-BE32-E72D297353CC}">
              <c16:uniqueId val="{00000000-602B-4A13-BC6A-292F9303DE10}"/>
            </c:ext>
          </c:extLst>
        </c:ser>
        <c:ser>
          <c:idx val="1"/>
          <c:order val="1"/>
          <c:tx>
            <c:strRef>
              <c:f>Data!$P$13</c:f>
              <c:strCache>
                <c:ptCount val="1"/>
                <c:pt idx="0">
                  <c:v>Bond Index</c:v>
                </c:pt>
              </c:strCache>
            </c:strRef>
          </c:tx>
          <c:spPr>
            <a:ln w="28575" cap="rnd">
              <a:solidFill>
                <a:schemeClr val="accent2"/>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Data!$P$14:$P$33</c:f>
              <c:numCache>
                <c:formatCode>0.00</c:formatCode>
                <c:ptCount val="20"/>
                <c:pt idx="0">
                  <c:v>4.5960653140889325E-2</c:v>
                </c:pt>
                <c:pt idx="1">
                  <c:v>-7.7750903009211981E-5</c:v>
                </c:pt>
                <c:pt idx="2">
                  <c:v>1.9405429801533872E-2</c:v>
                </c:pt>
                <c:pt idx="3">
                  <c:v>-4.8054362118968567E-2</c:v>
                </c:pt>
                <c:pt idx="4">
                  <c:v>1.3760980478579827E-4</c:v>
                </c:pt>
                <c:pt idx="5">
                  <c:v>1.1245876628013489E-2</c:v>
                </c:pt>
                <c:pt idx="6">
                  <c:v>1.5147522574889315E-2</c:v>
                </c:pt>
                <c:pt idx="7">
                  <c:v>-8.3692727402284849E-3</c:v>
                </c:pt>
                <c:pt idx="8">
                  <c:v>-4.1273942017331533E-2</c:v>
                </c:pt>
                <c:pt idx="9">
                  <c:v>3.7475841466489708E-4</c:v>
                </c:pt>
                <c:pt idx="10">
                  <c:v>7.0089248284338178E-3</c:v>
                </c:pt>
                <c:pt idx="11">
                  <c:v>-9.3286093888396149E-3</c:v>
                </c:pt>
                <c:pt idx="12">
                  <c:v>4.2545696434766134E-2</c:v>
                </c:pt>
                <c:pt idx="13">
                  <c:v>4.3720102156503911E-2</c:v>
                </c:pt>
                <c:pt idx="14">
                  <c:v>8.1900752156472148E-2</c:v>
                </c:pt>
                <c:pt idx="15">
                  <c:v>-2.2527359859042639E-2</c:v>
                </c:pt>
                <c:pt idx="16">
                  <c:v>6.4173208769214549E-2</c:v>
                </c:pt>
                <c:pt idx="17">
                  <c:v>5.7312786845029606E-2</c:v>
                </c:pt>
                <c:pt idx="18">
                  <c:v>5.538138577761806E-3</c:v>
                </c:pt>
                <c:pt idx="19">
                  <c:v>-3.2180529612130623E-2</c:v>
                </c:pt>
              </c:numCache>
            </c:numRef>
          </c:val>
          <c:smooth val="0"/>
          <c:extLst>
            <c:ext xmlns:c16="http://schemas.microsoft.com/office/drawing/2014/chart" uri="{C3380CC4-5D6E-409C-BE32-E72D297353CC}">
              <c16:uniqueId val="{00000001-602B-4A13-BC6A-292F9303DE10}"/>
            </c:ext>
          </c:extLst>
        </c:ser>
        <c:ser>
          <c:idx val="2"/>
          <c:order val="2"/>
          <c:tx>
            <c:strRef>
              <c:f>Data!$Q$13</c:f>
              <c:strCache>
                <c:ptCount val="1"/>
                <c:pt idx="0">
                  <c:v>Equity Index</c:v>
                </c:pt>
              </c:strCache>
            </c:strRef>
          </c:tx>
          <c:spPr>
            <a:ln w="28575" cap="rnd">
              <a:solidFill>
                <a:schemeClr val="accent3"/>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Data!$Q$14:$Q$33</c:f>
              <c:numCache>
                <c:formatCode>0.00</c:formatCode>
                <c:ptCount val="20"/>
                <c:pt idx="0">
                  <c:v>-6.26342693950378E-2</c:v>
                </c:pt>
                <c:pt idx="1">
                  <c:v>8.3483297870594733E-2</c:v>
                </c:pt>
                <c:pt idx="2">
                  <c:v>3.8622601074799319E-2</c:v>
                </c:pt>
                <c:pt idx="3">
                  <c:v>2.0587263165057799E-2</c:v>
                </c:pt>
                <c:pt idx="4">
                  <c:v>7.9425821369294103E-2</c:v>
                </c:pt>
                <c:pt idx="5">
                  <c:v>2.7072996935756637E-2</c:v>
                </c:pt>
                <c:pt idx="6">
                  <c:v>1.682257042518244E-2</c:v>
                </c:pt>
                <c:pt idx="7">
                  <c:v>8.0046979596406304E-2</c:v>
                </c:pt>
                <c:pt idx="8">
                  <c:v>3.8173955731667542E-2</c:v>
                </c:pt>
                <c:pt idx="9">
                  <c:v>7.3887217436027375E-3</c:v>
                </c:pt>
                <c:pt idx="10">
                  <c:v>6.9863164843631642E-2</c:v>
                </c:pt>
                <c:pt idx="11">
                  <c:v>-4.8378836160108026E-2</c:v>
                </c:pt>
                <c:pt idx="12">
                  <c:v>2.0640617767426119E-2</c:v>
                </c:pt>
                <c:pt idx="13">
                  <c:v>1.1102332587658848E-2</c:v>
                </c:pt>
                <c:pt idx="14">
                  <c:v>3.5716192788411878E-2</c:v>
                </c:pt>
                <c:pt idx="15">
                  <c:v>9.7428353417519653E-2</c:v>
                </c:pt>
                <c:pt idx="16">
                  <c:v>-5.8572511337726542E-2</c:v>
                </c:pt>
                <c:pt idx="17">
                  <c:v>3.0821410808536127E-2</c:v>
                </c:pt>
                <c:pt idx="18">
                  <c:v>0.16057556696605774</c:v>
                </c:pt>
                <c:pt idx="19">
                  <c:v>7.8869761446919012E-2</c:v>
                </c:pt>
              </c:numCache>
            </c:numRef>
          </c:val>
          <c:smooth val="0"/>
          <c:extLst>
            <c:ext xmlns:c16="http://schemas.microsoft.com/office/drawing/2014/chart" uri="{C3380CC4-5D6E-409C-BE32-E72D297353CC}">
              <c16:uniqueId val="{00000002-602B-4A13-BC6A-292F9303DE10}"/>
            </c:ext>
          </c:extLst>
        </c:ser>
        <c:ser>
          <c:idx val="3"/>
          <c:order val="3"/>
          <c:tx>
            <c:strRef>
              <c:f>Data!$R$13</c:f>
              <c:strCache>
                <c:ptCount val="1"/>
                <c:pt idx="0">
                  <c:v>Direct Property Index</c:v>
                </c:pt>
              </c:strCache>
            </c:strRef>
          </c:tx>
          <c:spPr>
            <a:ln w="28575" cap="rnd">
              <a:solidFill>
                <a:schemeClr val="accent4"/>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Data!$R$14:$R$33</c:f>
              <c:numCache>
                <c:formatCode>0.00</c:formatCode>
                <c:ptCount val="20"/>
                <c:pt idx="0">
                  <c:v>2.2100029740535782E-2</c:v>
                </c:pt>
                <c:pt idx="1">
                  <c:v>2.0299994960218788E-2</c:v>
                </c:pt>
                <c:pt idx="2">
                  <c:v>1.7699994443052067E-2</c:v>
                </c:pt>
                <c:pt idx="3">
                  <c:v>1.7300004894894243E-2</c:v>
                </c:pt>
                <c:pt idx="4">
                  <c:v>1.5499985043597548E-2</c:v>
                </c:pt>
                <c:pt idx="5">
                  <c:v>1.7500016219377228E-2</c:v>
                </c:pt>
                <c:pt idx="6">
                  <c:v>1.6999981596747756E-2</c:v>
                </c:pt>
                <c:pt idx="7">
                  <c:v>1.8000008319828446E-2</c:v>
                </c:pt>
                <c:pt idx="8">
                  <c:v>1.6999986164753452E-2</c:v>
                </c:pt>
                <c:pt idx="9">
                  <c:v>1.8100008016015488E-2</c:v>
                </c:pt>
                <c:pt idx="10">
                  <c:v>1.6700005731054682E-2</c:v>
                </c:pt>
                <c:pt idx="11">
                  <c:v>1.3699984586508783E-2</c:v>
                </c:pt>
                <c:pt idx="12">
                  <c:v>1.8000017943152317E-2</c:v>
                </c:pt>
                <c:pt idx="13">
                  <c:v>1.5099983779348484E-2</c:v>
                </c:pt>
                <c:pt idx="14">
                  <c:v>1.4100008210698277E-2</c:v>
                </c:pt>
                <c:pt idx="15">
                  <c:v>1.5500013624733511E-2</c:v>
                </c:pt>
                <c:pt idx="16">
                  <c:v>7.0999919473657145E-3</c:v>
                </c:pt>
                <c:pt idx="17">
                  <c:v>-9.8999919837191568E-3</c:v>
                </c:pt>
                <c:pt idx="18">
                  <c:v>7.399951282193405E-3</c:v>
                </c:pt>
                <c:pt idx="19">
                  <c:v>1.1499943835936444E-2</c:v>
                </c:pt>
              </c:numCache>
            </c:numRef>
          </c:val>
          <c:smooth val="0"/>
          <c:extLst>
            <c:ext xmlns:c16="http://schemas.microsoft.com/office/drawing/2014/chart" uri="{C3380CC4-5D6E-409C-BE32-E72D297353CC}">
              <c16:uniqueId val="{00000003-602B-4A13-BC6A-292F9303DE10}"/>
            </c:ext>
          </c:extLst>
        </c:ser>
        <c:ser>
          <c:idx val="4"/>
          <c:order val="4"/>
          <c:tx>
            <c:strRef>
              <c:f>Data!$S$13</c:f>
              <c:strCache>
                <c:ptCount val="1"/>
                <c:pt idx="0">
                  <c:v>Listed Property Index</c:v>
                </c:pt>
              </c:strCache>
            </c:strRef>
          </c:tx>
          <c:spPr>
            <a:ln w="28575" cap="rnd">
              <a:solidFill>
                <a:schemeClr val="accent5"/>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Data!$S$14:$S$33</c:f>
              <c:numCache>
                <c:formatCode>0.00</c:formatCode>
                <c:ptCount val="20"/>
                <c:pt idx="0">
                  <c:v>-3.3418388005781376E-2</c:v>
                </c:pt>
                <c:pt idx="1">
                  <c:v>0.10590468102992881</c:v>
                </c:pt>
                <c:pt idx="2">
                  <c:v>6.1983930044653066E-2</c:v>
                </c:pt>
                <c:pt idx="3">
                  <c:v>-7.5102668566581807E-2</c:v>
                </c:pt>
                <c:pt idx="4">
                  <c:v>8.3812401095248679E-2</c:v>
                </c:pt>
                <c:pt idx="5">
                  <c:v>-8.6231020490873649E-3</c:v>
                </c:pt>
                <c:pt idx="6">
                  <c:v>2.3336087105169254E-2</c:v>
                </c:pt>
                <c:pt idx="7">
                  <c:v>3.1471329226723251E-2</c:v>
                </c:pt>
                <c:pt idx="8">
                  <c:v>-0.10292166588093182</c:v>
                </c:pt>
                <c:pt idx="9">
                  <c:v>6.3832534760100479E-2</c:v>
                </c:pt>
                <c:pt idx="10">
                  <c:v>9.6222378030331734E-2</c:v>
                </c:pt>
                <c:pt idx="11">
                  <c:v>-1.7673929714149706E-2</c:v>
                </c:pt>
                <c:pt idx="12">
                  <c:v>4.409820013526735E-2</c:v>
                </c:pt>
                <c:pt idx="13">
                  <c:v>4.9999812006550827E-2</c:v>
                </c:pt>
                <c:pt idx="14">
                  <c:v>6.1010663194968527E-2</c:v>
                </c:pt>
                <c:pt idx="15">
                  <c:v>2.8077904771271842E-2</c:v>
                </c:pt>
                <c:pt idx="16">
                  <c:v>-5.7219258108038983E-2</c:v>
                </c:pt>
                <c:pt idx="17">
                  <c:v>-9.0451051485141667E-2</c:v>
                </c:pt>
                <c:pt idx="18">
                  <c:v>2.4498102005513823E-2</c:v>
                </c:pt>
                <c:pt idx="19">
                  <c:v>8.1450741577448166E-2</c:v>
                </c:pt>
              </c:numCache>
            </c:numRef>
          </c:val>
          <c:smooth val="0"/>
          <c:extLst>
            <c:ext xmlns:c16="http://schemas.microsoft.com/office/drawing/2014/chart" uri="{C3380CC4-5D6E-409C-BE32-E72D297353CC}">
              <c16:uniqueId val="{00000004-602B-4A13-BC6A-292F9303DE10}"/>
            </c:ext>
          </c:extLst>
        </c:ser>
        <c:ser>
          <c:idx val="5"/>
          <c:order val="5"/>
          <c:tx>
            <c:strRef>
              <c:f>Data!$T$13</c:f>
              <c:strCache>
                <c:ptCount val="1"/>
                <c:pt idx="0">
                  <c:v>Hedge Funds Index</c:v>
                </c:pt>
              </c:strCache>
            </c:strRef>
          </c:tx>
          <c:spPr>
            <a:ln w="28575" cap="rnd">
              <a:solidFill>
                <a:schemeClr val="accent6"/>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Data!$T$14:$T$33</c:f>
              <c:numCache>
                <c:formatCode>0.00</c:formatCode>
                <c:ptCount val="20"/>
                <c:pt idx="0">
                  <c:v>-4.2308131918373147E-2</c:v>
                </c:pt>
                <c:pt idx="1">
                  <c:v>1.7683727335322544E-2</c:v>
                </c:pt>
                <c:pt idx="2">
                  <c:v>1.4765740019052592E-2</c:v>
                </c:pt>
                <c:pt idx="3">
                  <c:v>3.0829955195219461E-3</c:v>
                </c:pt>
                <c:pt idx="4">
                  <c:v>2.8326367397292395E-2</c:v>
                </c:pt>
                <c:pt idx="5">
                  <c:v>1.2841395833871982E-2</c:v>
                </c:pt>
                <c:pt idx="6">
                  <c:v>1.8315024548804026E-2</c:v>
                </c:pt>
                <c:pt idx="7">
                  <c:v>1.5861503057488107E-2</c:v>
                </c:pt>
                <c:pt idx="8">
                  <c:v>1.6893748210930926E-2</c:v>
                </c:pt>
                <c:pt idx="9">
                  <c:v>4.2418467402328876E-3</c:v>
                </c:pt>
                <c:pt idx="10">
                  <c:v>-2.126463353142267E-4</c:v>
                </c:pt>
                <c:pt idx="11">
                  <c:v>-3.5414756605120383E-2</c:v>
                </c:pt>
                <c:pt idx="12">
                  <c:v>1.9382331225214527E-2</c:v>
                </c:pt>
                <c:pt idx="13">
                  <c:v>2.1598024387086443E-2</c:v>
                </c:pt>
                <c:pt idx="14">
                  <c:v>4.9432085220100071E-2</c:v>
                </c:pt>
                <c:pt idx="15">
                  <c:v>5.0990618093109764E-2</c:v>
                </c:pt>
                <c:pt idx="16">
                  <c:v>1.9863350387872108E-2</c:v>
                </c:pt>
                <c:pt idx="17">
                  <c:v>2.2790535838552499E-2</c:v>
                </c:pt>
                <c:pt idx="18">
                  <c:v>2.6013680256762737E-2</c:v>
                </c:pt>
                <c:pt idx="19">
                  <c:v>4.0764591735788711E-2</c:v>
                </c:pt>
              </c:numCache>
            </c:numRef>
          </c:val>
          <c:smooth val="0"/>
          <c:extLst>
            <c:ext xmlns:c16="http://schemas.microsoft.com/office/drawing/2014/chart" uri="{C3380CC4-5D6E-409C-BE32-E72D297353CC}">
              <c16:uniqueId val="{00000005-602B-4A13-BC6A-292F9303DE10}"/>
            </c:ext>
          </c:extLst>
        </c:ser>
        <c:ser>
          <c:idx val="6"/>
          <c:order val="6"/>
          <c:tx>
            <c:strRef>
              <c:f>Data!$U$13</c:f>
              <c:strCache>
                <c:ptCount val="1"/>
                <c:pt idx="0">
                  <c:v>Commodity Index</c:v>
                </c:pt>
              </c:strCache>
            </c:strRef>
          </c:tx>
          <c:spPr>
            <a:ln w="28575" cap="rnd">
              <a:solidFill>
                <a:schemeClr val="accent1">
                  <a:lumMod val="60000"/>
                </a:schemeClr>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Data!$U$14:$U$33</c:f>
              <c:numCache>
                <c:formatCode>0.00</c:formatCode>
                <c:ptCount val="20"/>
                <c:pt idx="0">
                  <c:v>-0.16396734128126142</c:v>
                </c:pt>
                <c:pt idx="1">
                  <c:v>0.19862748364642152</c:v>
                </c:pt>
                <c:pt idx="2">
                  <c:v>-4.2041840892078755E-2</c:v>
                </c:pt>
                <c:pt idx="3">
                  <c:v>-9.429501399326393E-3</c:v>
                </c:pt>
                <c:pt idx="4">
                  <c:v>5.3835874435900932E-2</c:v>
                </c:pt>
                <c:pt idx="5">
                  <c:v>-5.5205876011797377E-2</c:v>
                </c:pt>
                <c:pt idx="6">
                  <c:v>-2.5742359287937704E-2</c:v>
                </c:pt>
                <c:pt idx="7">
                  <c:v>0.12547612734447966</c:v>
                </c:pt>
                <c:pt idx="8">
                  <c:v>3.2815583179134251E-2</c:v>
                </c:pt>
                <c:pt idx="9">
                  <c:v>9.035563104330778E-2</c:v>
                </c:pt>
                <c:pt idx="10">
                  <c:v>-2.4158914522835806E-2</c:v>
                </c:pt>
                <c:pt idx="11">
                  <c:v>-0.12638673310703594</c:v>
                </c:pt>
                <c:pt idx="12">
                  <c:v>4.9409213416838772E-2</c:v>
                </c:pt>
                <c:pt idx="13">
                  <c:v>1.6024136882629443E-2</c:v>
                </c:pt>
                <c:pt idx="14">
                  <c:v>-6.3853893940302983E-2</c:v>
                </c:pt>
                <c:pt idx="15">
                  <c:v>4.935609648305278E-2</c:v>
                </c:pt>
                <c:pt idx="16">
                  <c:v>-0.14907949301486892</c:v>
                </c:pt>
                <c:pt idx="17">
                  <c:v>-0.27640533599320666</c:v>
                </c:pt>
                <c:pt idx="18">
                  <c:v>8.4108123631403242E-2</c:v>
                </c:pt>
                <c:pt idx="19">
                  <c:v>0.33353401565322094</c:v>
                </c:pt>
              </c:numCache>
            </c:numRef>
          </c:val>
          <c:smooth val="0"/>
          <c:extLst>
            <c:ext xmlns:c16="http://schemas.microsoft.com/office/drawing/2014/chart" uri="{C3380CC4-5D6E-409C-BE32-E72D297353CC}">
              <c16:uniqueId val="{00000006-602B-4A13-BC6A-292F9303DE10}"/>
            </c:ext>
          </c:extLst>
        </c:ser>
        <c:ser>
          <c:idx val="7"/>
          <c:order val="7"/>
          <c:tx>
            <c:strRef>
              <c:f>Data!$V$13</c:f>
              <c:strCache>
                <c:ptCount val="1"/>
                <c:pt idx="0">
                  <c:v>Private Equity Index</c:v>
                </c:pt>
              </c:strCache>
            </c:strRef>
          </c:tx>
          <c:spPr>
            <a:ln w="28575" cap="rnd">
              <a:solidFill>
                <a:schemeClr val="accent2">
                  <a:lumMod val="60000"/>
                </a:schemeClr>
              </a:solidFill>
              <a:round/>
            </a:ln>
            <a:effectLst/>
          </c:spPr>
          <c:marker>
            <c:symbol val="none"/>
          </c:marker>
          <c:cat>
            <c:strRef>
              <c:f>Data!$N$14:$N$33</c:f>
              <c:strCache>
                <c:ptCount val="20"/>
                <c:pt idx="0">
                  <c:v>Q1 2016</c:v>
                </c:pt>
                <c:pt idx="1">
                  <c:v>Q2 2016</c:v>
                </c:pt>
                <c:pt idx="2">
                  <c:v>Q3 2016</c:v>
                </c:pt>
                <c:pt idx="3">
                  <c:v>Q4 2016</c:v>
                </c:pt>
                <c:pt idx="4">
                  <c:v>Q1 2017</c:v>
                </c:pt>
                <c:pt idx="5">
                  <c:v>Q2 2017</c:v>
                </c:pt>
                <c:pt idx="6">
                  <c:v>Q3 2017</c:v>
                </c:pt>
                <c:pt idx="7">
                  <c:v>Q4 2017</c:v>
                </c:pt>
                <c:pt idx="8">
                  <c:v>Q1 2018</c:v>
                </c:pt>
                <c:pt idx="9">
                  <c:v>Q2 2018</c:v>
                </c:pt>
                <c:pt idx="10">
                  <c:v>Q3 2018</c:v>
                </c:pt>
                <c:pt idx="11">
                  <c:v>Q4 2018</c:v>
                </c:pt>
                <c:pt idx="12">
                  <c:v>Q1 2019</c:v>
                </c:pt>
                <c:pt idx="13">
                  <c:v>Q2 2019</c:v>
                </c:pt>
                <c:pt idx="14">
                  <c:v>Q3 2019</c:v>
                </c:pt>
                <c:pt idx="15">
                  <c:v>Q4 2019</c:v>
                </c:pt>
                <c:pt idx="16">
                  <c:v>Q1 2020</c:v>
                </c:pt>
                <c:pt idx="17">
                  <c:v>Q2 2020</c:v>
                </c:pt>
                <c:pt idx="18">
                  <c:v>Q3 2020</c:v>
                </c:pt>
                <c:pt idx="19">
                  <c:v>Q4 2020</c:v>
                </c:pt>
              </c:strCache>
            </c:strRef>
          </c:cat>
          <c:val>
            <c:numRef>
              <c:f>Data!$V$14:$V$33</c:f>
              <c:numCache>
                <c:formatCode>0.00</c:formatCode>
                <c:ptCount val="20"/>
                <c:pt idx="0">
                  <c:v>-0.11854132589242766</c:v>
                </c:pt>
                <c:pt idx="1">
                  <c:v>0.14037768802532474</c:v>
                </c:pt>
                <c:pt idx="2">
                  <c:v>4.747774480712174E-2</c:v>
                </c:pt>
                <c:pt idx="3">
                  <c:v>3.129854701635746E-2</c:v>
                </c:pt>
                <c:pt idx="4">
                  <c:v>8.7014310398298642E-2</c:v>
                </c:pt>
                <c:pt idx="5">
                  <c:v>7.5320970042795962E-2</c:v>
                </c:pt>
                <c:pt idx="6">
                  <c:v>3.5629003524997288E-2</c:v>
                </c:pt>
                <c:pt idx="7">
                  <c:v>3.8172967829301345E-2</c:v>
                </c:pt>
                <c:pt idx="8">
                  <c:v>1.3396319537474279E-2</c:v>
                </c:pt>
                <c:pt idx="9">
                  <c:v>1.2106032143602652E-2</c:v>
                </c:pt>
                <c:pt idx="10">
                  <c:v>4.3170413143603502E-2</c:v>
                </c:pt>
                <c:pt idx="11">
                  <c:v>-7.4233937397034502E-2</c:v>
                </c:pt>
                <c:pt idx="12">
                  <c:v>4.5271737196141824E-2</c:v>
                </c:pt>
                <c:pt idx="13">
                  <c:v>5.4445163267390816E-2</c:v>
                </c:pt>
                <c:pt idx="14">
                  <c:v>5.4669336088865948E-2</c:v>
                </c:pt>
                <c:pt idx="15">
                  <c:v>0.10474265944092336</c:v>
                </c:pt>
                <c:pt idx="16">
                  <c:v>-5.2158971232193319E-2</c:v>
                </c:pt>
                <c:pt idx="17">
                  <c:v>-0.11152046783625727</c:v>
                </c:pt>
                <c:pt idx="18">
                  <c:v>9.6610281050483748E-2</c:v>
                </c:pt>
                <c:pt idx="19">
                  <c:v>0.18161192739844431</c:v>
                </c:pt>
              </c:numCache>
            </c:numRef>
          </c:val>
          <c:smooth val="0"/>
          <c:extLst>
            <c:ext xmlns:c16="http://schemas.microsoft.com/office/drawing/2014/chart" uri="{C3380CC4-5D6E-409C-BE32-E72D297353CC}">
              <c16:uniqueId val="{00000007-602B-4A13-BC6A-292F9303DE10}"/>
            </c:ext>
          </c:extLst>
        </c:ser>
        <c:dLbls>
          <c:showLegendKey val="0"/>
          <c:showVal val="0"/>
          <c:showCatName val="0"/>
          <c:showSerName val="0"/>
          <c:showPercent val="0"/>
          <c:showBubbleSize val="0"/>
        </c:dLbls>
        <c:smooth val="0"/>
        <c:axId val="1121876559"/>
        <c:axId val="1201732207"/>
      </c:lineChart>
      <c:catAx>
        <c:axId val="112187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period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732207"/>
        <c:crosses val="autoZero"/>
        <c:auto val="1"/>
        <c:lblAlgn val="ctr"/>
        <c:lblOffset val="100"/>
        <c:noMultiLvlLbl val="0"/>
      </c:catAx>
      <c:valAx>
        <c:axId val="120173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876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7</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Omondi</dc:creator>
  <cp:keywords/>
  <dc:description/>
  <cp:lastModifiedBy>Windows User</cp:lastModifiedBy>
  <cp:revision>19</cp:revision>
  <dcterms:created xsi:type="dcterms:W3CDTF">2021-10-14T14:02:00Z</dcterms:created>
  <dcterms:modified xsi:type="dcterms:W3CDTF">2024-09-23T08:31:00Z</dcterms:modified>
</cp:coreProperties>
</file>