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18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T47N-R76W Section 18</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index is the Johnson County electronic land-record search for Section 18 printed in the tract-index PDF. It is an electronic-search schedule. Where an image-examined runsheet in the section folder states an aliquot, that aliquot remains the examined legal. This printout does not state aliquots.</w:t>
      </w:r>
    </w:p>
    <w:p>
      <w:pPr>
        <w:spacing w:after="120" w:before="0"/>
      </w:pPr>
      <w:r>
        <w:rPr>
          <w:rFonts w:ascii="Calibri" w:hAnsi="Calibri"/>
          <w:b w:val="0"/>
          <w:sz w:val="22"/>
        </w:rPr>
        <w:t>The index contains 54 instruments. The county search printout states that the land records were validated through 10/9/2026. The printout date is 10/9/26. Date Posted Thru on the index is that validation date. It is not an examiner's certified searched-through cutoff.</w:t>
      </w:r>
    </w:p>
    <w:p>
      <w:pPr>
        <w:spacing w:after="120" w:before="0"/>
      </w:pPr>
      <w:r>
        <w:rPr>
          <w:rFonts w:ascii="Calibri" w:hAnsi="Calibri"/>
          <w:b w:val="0"/>
          <w:sz w:val="22"/>
        </w:rPr>
        <w:t>Instrument images were read for 0 entries. 0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Document 169051, Book 0371-0354, is on this search. Its Section 18 aliquot was not read from an instrument image in this package, so the row stays index-only.</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