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HORIZON ENERGY</w:t>
        <w:br/>
        <w:t>SECTION 32 DIVERSIFIED LEASE CHAIN</w:t>
      </w:r>
    </w:p>
    <w:p>
      <w:pPr>
        <w:jc w:val="center"/>
      </w:pPr>
      <w:r>
        <w:rPr>
          <w:i/>
        </w:rPr>
        <w:t>Section 32, Township 11 North, Range 25 West, Beckham County, Oklahoma</w:t>
        <w:br/>
        <w:t>Cursory report as of 2026-07-16</w:t>
      </w:r>
    </w:p>
    <w:p>
      <w:pPr>
        <w:pStyle w:val="Heading1"/>
      </w:pPr>
      <w:r>
        <w:t>Executive Summary</w:t>
      </w:r>
    </w:p>
    <w:p>
      <w:r>
        <w:t>The strongest available evidence supports Diversified Production LLC as the latest named record owner in the chain for asset identifier OK48147.001.1. The latest vesting record is I-2023-000796, Bk 2400/Pgs 551–567, recorded March 2, 2023, from DP Sooner HoldCo LLC to Diversified Production LLC. Schedule B identifies OK48147.001.1 at Bk 2400/Pg 566.</w:t>
      </w:r>
    </w:p>
    <w:p>
      <w:r>
        <w:t>The modern records support a reasonable cursory conclusion that the asset's maximum gross legal scope is all 640 acres of Section 32 because all 16 quarter-quarter index boxes are marked. That is not proof that Diversified owns 640 net leasehold acres. The operative schedule fields for legal and interest are blank, the 2022 acquisition names both Diversified and OCM Denali as co-assignees, and no allocation schedule was reviewed.</w:t>
      </w:r>
    </w:p>
    <w:p>
      <w:r>
        <w:t>Bk 872/Pgs 279–284 directly defines eleven historical oil-and-gas leases and 560 unique gross acres in Section 32. Those leases are strong historical component candidates, but the missing Leede-to-Staghorn bridge prevents treating them as proven components of OK48147.001.1.</w:t>
      </w:r>
    </w:p>
    <w:p>
      <w:pPr>
        <w:pStyle w:val="Heading1"/>
      </w:pPr>
      <w:r>
        <w:t>Diversified Lease Inventory</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ns0:shd xmlns:ns0="http://schemas.openxmlformats.org/wml/2006/main" ns0:fill="17365D"/>
          </w:tcPr>
          <w:p>
            <w:r>
              <w:rPr>
                <w:b/>
                <w:color w:val="FFFFFF"/>
                <w:sz w:val="16"/>
              </w:rPr>
              <w:t>Asset / Lease</w:t>
            </w:r>
          </w:p>
        </w:tc>
        <w:tc>
          <w:tcPr>
            <w:tcW w:type="dxa" w:w="1704"/>
            <ns1:shd xmlns:ns1="http://schemas.openxmlformats.org/wml/2006/main" ns1:fill="17365D"/>
          </w:tcPr>
          <w:p>
            <w:r>
              <w:rPr>
                <w:b/>
                <w:color w:val="FFFFFF"/>
                <w:sz w:val="16"/>
              </w:rPr>
              <w:t>Current Owner</w:t>
            </w:r>
          </w:p>
        </w:tc>
        <w:tc>
          <w:tcPr>
            <w:tcW w:type="dxa" w:w="1704"/>
            <ns2:shd xmlns:ns2="http://schemas.openxmlformats.org/wml/2006/main" ns2:fill="17365D"/>
          </w:tcPr>
          <w:p>
            <w:r>
              <w:rPr>
                <w:b/>
                <w:color w:val="FFFFFF"/>
                <w:sz w:val="16"/>
              </w:rPr>
              <w:t>Latest Record</w:t>
            </w:r>
          </w:p>
        </w:tc>
        <w:tc>
          <w:tcPr>
            <w:tcW w:type="dxa" w:w="1704"/>
            <ns3:shd xmlns:ns3="http://schemas.openxmlformats.org/wml/2006/main" ns3:fill="17365D"/>
          </w:tcPr>
          <w:p>
            <w:r>
              <w:rPr>
                <w:b/>
                <w:color w:val="FFFFFF"/>
                <w:sz w:val="16"/>
              </w:rPr>
              <w:t>Gross Scope</w:t>
            </w:r>
          </w:p>
        </w:tc>
        <w:tc>
          <w:tcPr>
            <w:tcW w:type="dxa" w:w="1704"/>
            <ns4:shd xmlns:ns4="http://schemas.openxmlformats.org/wml/2006/main" ns4:fill="17365D"/>
          </w:tcPr>
          <w:p>
            <w:r>
              <w:rPr>
                <w:b/>
                <w:color w:val="FFFFFF"/>
                <w:sz w:val="16"/>
              </w:rPr>
              <w:t>Net Acres</w:t>
            </w:r>
          </w:p>
        </w:tc>
        <w:tc>
          <w:tcPr>
            <w:tcW w:type="dxa" w:w="1704"/>
            <ns5:shd xmlns:ns5="http://schemas.openxmlformats.org/wml/2006/main" ns5:fill="17365D"/>
          </w:tcPr>
          <w:p>
            <w:r>
              <w:rPr>
                <w:b/>
                <w:color w:val="FFFFFF"/>
                <w:sz w:val="16"/>
              </w:rPr>
              <w:t>Confidence</w:t>
            </w:r>
          </w:p>
        </w:tc>
      </w:tr>
      <w:tr>
        <w:tc>
          <w:tcPr>
            <w:tcW w:type="dxa" w:w="1704"/>
            <w:vAlign w:val="top"/>
          </w:tcPr>
          <w:p>
            <w:r>
              <w:rPr>
                <w:sz w:val="16"/>
              </w:rPr>
              <w:t>OK48147.001.1; base OGL unknown</w:t>
            </w:r>
          </w:p>
        </w:tc>
        <w:tc>
          <w:tcPr>
            <w:tcW w:type="dxa" w:w="1704"/>
            <w:vAlign w:val="top"/>
          </w:tcPr>
          <w:p>
            <w:r>
              <w:rPr>
                <w:sz w:val="16"/>
              </w:rPr>
              <w:t>Diversified Production LLC</w:t>
            </w:r>
          </w:p>
        </w:tc>
        <w:tc>
          <w:tcPr>
            <w:tcW w:type="dxa" w:w="1704"/>
            <w:vAlign w:val="top"/>
          </w:tcPr>
          <w:p>
            <w:r>
              <w:rPr>
                <w:sz w:val="16"/>
              </w:rPr>
              <w:t>I-2023-000796; 2400/551–567; recorded 2023-03-02</w:t>
            </w:r>
          </w:p>
        </w:tc>
        <w:tc>
          <w:tcPr>
            <w:tcW w:type="dxa" w:w="1704"/>
            <w:vAlign w:val="top"/>
          </w:tcPr>
          <w:p>
            <w:r>
              <w:rPr>
                <w:sz w:val="16"/>
              </w:rPr>
              <w:t>640 acres maximum indexed scope</w:t>
            </w:r>
          </w:p>
        </w:tc>
        <w:tc>
          <w:tcPr>
            <w:tcW w:type="dxa" w:w="1704"/>
            <w:vAlign w:val="top"/>
          </w:tcPr>
          <w:p>
            <w:r>
              <w:rPr>
                <w:sz w:val="16"/>
              </w:rPr>
              <w:t>Not supportable</w:t>
            </w:r>
          </w:p>
        </w:tc>
        <w:tc>
          <w:tcPr>
            <w:tcW w:type="dxa" w:w="1704"/>
            <w:vAlign w:val="top"/>
          </w:tcPr>
          <w:p>
            <w:r>
              <w:rPr>
                <w:sz w:val="16"/>
              </w:rPr>
              <w:t>Medium current identity; low acreage/quantum</w:t>
            </w:r>
          </w:p>
        </w:tc>
      </w:tr>
    </w:tbl>
    <w:p/>
    <w:p>
      <w:pPr>
        <w:pStyle w:val="Heading1"/>
      </w:pPr>
      <w:r>
        <w:t>Backward Current-Owner Chain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ns6:shd xmlns:ns6="http://schemas.openxmlformats.org/wml/2006/main" ns6:fill="17365D"/>
          </w:tcPr>
          <w:p>
            <w:r>
              <w:rPr>
                <w:b/>
                <w:color w:val="FFFFFF"/>
                <w:sz w:val="16"/>
              </w:rPr>
              <w:t>Order</w:t>
            </w:r>
          </w:p>
        </w:tc>
        <w:tc>
          <w:tcPr>
            <w:tcW w:type="dxa" w:w="2045"/>
            <ns7:shd xmlns:ns7="http://schemas.openxmlformats.org/wml/2006/main" ns7:fill="17365D"/>
          </w:tcPr>
          <w:p>
            <w:r>
              <w:rPr>
                <w:b/>
                <w:color w:val="FFFFFF"/>
                <w:sz w:val="16"/>
              </w:rPr>
              <w:t>From → To</w:t>
            </w:r>
          </w:p>
        </w:tc>
        <w:tc>
          <w:tcPr>
            <w:tcW w:type="dxa" w:w="2045"/>
            <ns8:shd xmlns:ns8="http://schemas.openxmlformats.org/wml/2006/main" ns8:fill="17365D"/>
          </w:tcPr>
          <w:p>
            <w:r>
              <w:rPr>
                <w:b/>
                <w:color w:val="FFFFFF"/>
                <w:sz w:val="16"/>
              </w:rPr>
              <w:t>Instrument</w:t>
            </w:r>
          </w:p>
        </w:tc>
        <w:tc>
          <w:tcPr>
            <w:tcW w:type="dxa" w:w="2045"/>
            <ns9:shd xmlns:ns9="http://schemas.openxmlformats.org/wml/2006/main" ns9:fill="17365D"/>
          </w:tcPr>
          <w:p>
            <w:r>
              <w:rPr>
                <w:b/>
                <w:color w:val="FFFFFF"/>
                <w:sz w:val="16"/>
              </w:rPr>
              <w:t>Recording</w:t>
            </w:r>
          </w:p>
        </w:tc>
        <w:tc>
          <w:tcPr>
            <w:tcW w:type="dxa" w:w="2045"/>
            <ns10:shd xmlns:ns10="http://schemas.openxmlformats.org/wml/2006/main" ns10:fill="17365D"/>
          </w:tcPr>
          <w:p>
            <w:r>
              <w:rPr>
                <w:b/>
                <w:color w:val="FFFFFF"/>
                <w:sz w:val="16"/>
              </w:rPr>
              <w:t>Key Evidence / Limitation</w:t>
            </w:r>
          </w:p>
        </w:tc>
      </w:tr>
      <w:tr>
        <w:tc>
          <w:tcPr>
            <w:tcW w:type="dxa" w:w="2045"/>
            <w:vAlign w:val="top"/>
          </w:tcPr>
          <w:p>
            <w:r>
              <w:rPr>
                <w:sz w:val="16"/>
              </w:rPr>
              <w:t>1</w:t>
            </w:r>
          </w:p>
        </w:tc>
        <w:tc>
          <w:tcPr>
            <w:tcW w:type="dxa" w:w="2045"/>
            <w:vAlign w:val="top"/>
          </w:tcPr>
          <w:p>
            <w:r>
              <w:rPr>
                <w:sz w:val="16"/>
              </w:rPr>
              <w:t>DP Sooner HoldCo LLC → Diversified Production LLC</w:t>
            </w:r>
          </w:p>
        </w:tc>
        <w:tc>
          <w:tcPr>
            <w:tcW w:type="dxa" w:w="2045"/>
            <w:vAlign w:val="top"/>
          </w:tcPr>
          <w:p>
            <w:r>
              <w:rPr>
                <w:sz w:val="16"/>
              </w:rPr>
              <w:t>Confirmation of Merger / Confirmatory Conveyance</w:t>
            </w:r>
          </w:p>
        </w:tc>
        <w:tc>
          <w:tcPr>
            <w:tcW w:type="dxa" w:w="2045"/>
            <w:vAlign w:val="top"/>
          </w:tcPr>
          <w:p>
            <w:r>
              <w:rPr>
                <w:sz w:val="16"/>
              </w:rPr>
              <w:t>I-2023-000796; 2400/551–567; 2023-03-02</w:t>
            </w:r>
          </w:p>
        </w:tc>
        <w:tc>
          <w:tcPr>
            <w:tcW w:type="dxa" w:w="2045"/>
            <w:vAlign w:val="top"/>
          </w:tcPr>
          <w:p>
            <w:r>
              <w:rPr>
                <w:sz w:val="16"/>
              </w:rPr>
              <w:t>Schedule B includes OK48147.001.1 at 2400/566; legal/interest fields blank</w:t>
            </w:r>
          </w:p>
        </w:tc>
      </w:tr>
      <w:tr>
        <w:tc>
          <w:tcPr>
            <w:tcW w:type="dxa" w:w="2045"/>
            <w:vAlign w:val="top"/>
          </w:tcPr>
          <w:p>
            <w:r>
              <w:rPr>
                <w:sz w:val="16"/>
              </w:rPr>
              <w:t>2</w:t>
            </w:r>
          </w:p>
        </w:tc>
        <w:tc>
          <w:tcPr>
            <w:tcW w:type="dxa" w:w="2045"/>
            <w:vAlign w:val="top"/>
          </w:tcPr>
          <w:p>
            <w:r>
              <w:rPr>
                <w:sz w:val="16"/>
              </w:rPr>
              <w:t>DP Legacy Tapstone LLC → Diversified ABS VI Upstream LLC and DP Sooner HoldCo LLC</w:t>
            </w:r>
          </w:p>
        </w:tc>
        <w:tc>
          <w:tcPr>
            <w:tcW w:type="dxa" w:w="2045"/>
            <w:vAlign w:val="top"/>
          </w:tcPr>
          <w:p>
            <w:r>
              <w:rPr>
                <w:sz w:val="16"/>
              </w:rPr>
              <w:t>Confirmation of Division / Confirmatory Conveyance</w:t>
            </w:r>
          </w:p>
        </w:tc>
        <w:tc>
          <w:tcPr>
            <w:tcW w:type="dxa" w:w="2045"/>
            <w:vAlign w:val="top"/>
          </w:tcPr>
          <w:p>
            <w:r>
              <w:rPr>
                <w:sz w:val="16"/>
              </w:rPr>
              <w:t>I-2022-004838; 2395/415–464; 2022-11-18</w:t>
            </w:r>
          </w:p>
        </w:tc>
        <w:tc>
          <w:tcPr>
            <w:tcW w:type="dxa" w:w="2045"/>
            <w:vAlign w:val="top"/>
          </w:tcPr>
          <w:p>
            <w:r>
              <w:rPr>
                <w:sz w:val="16"/>
              </w:rPr>
              <w:t>OK48147.001.1 at 2395/462; legal/interest fields blank; all 16 Q-Q index ticks</w:t>
            </w:r>
          </w:p>
        </w:tc>
      </w:tr>
      <w:tr>
        <w:tc>
          <w:tcPr>
            <w:tcW w:type="dxa" w:w="2045"/>
            <w:vAlign w:val="top"/>
          </w:tcPr>
          <w:p>
            <w:r>
              <w:rPr>
                <w:sz w:val="16"/>
              </w:rPr>
              <w:t>3</w:t>
            </w:r>
          </w:p>
        </w:tc>
        <w:tc>
          <w:tcPr>
            <w:tcW w:type="dxa" w:w="2045"/>
            <w:vAlign w:val="top"/>
          </w:tcPr>
          <w:p>
            <w:r>
              <w:rPr>
                <w:sz w:val="16"/>
              </w:rPr>
              <w:t>Diversified Production LLC and other DP merger entities → DP Legacy Tapstone LLC</w:t>
            </w:r>
          </w:p>
        </w:tc>
        <w:tc>
          <w:tcPr>
            <w:tcW w:type="dxa" w:w="2045"/>
            <w:vAlign w:val="top"/>
          </w:tcPr>
          <w:p>
            <w:r>
              <w:rPr>
                <w:sz w:val="16"/>
              </w:rPr>
              <w:t>Merger</w:t>
            </w:r>
          </w:p>
        </w:tc>
        <w:tc>
          <w:tcPr>
            <w:tcW w:type="dxa" w:w="2045"/>
            <w:vAlign w:val="top"/>
          </w:tcPr>
          <w:p>
            <w:r>
              <w:rPr>
                <w:sz w:val="16"/>
              </w:rPr>
              <w:t>I-2022-003506; 2389/500–580; 2022-08-24</w:t>
            </w:r>
          </w:p>
        </w:tc>
        <w:tc>
          <w:tcPr>
            <w:tcW w:type="dxa" w:w="2045"/>
            <w:vAlign w:val="top"/>
          </w:tcPr>
          <w:p>
            <w:r>
              <w:rPr>
                <w:sz w:val="16"/>
              </w:rPr>
              <w:t>All Section 32 index ticks</w:t>
            </w:r>
          </w:p>
        </w:tc>
      </w:tr>
      <w:tr>
        <w:tc>
          <w:tcPr>
            <w:tcW w:type="dxa" w:w="2045"/>
            <w:vAlign w:val="top"/>
          </w:tcPr>
          <w:p>
            <w:r>
              <w:rPr>
                <w:sz w:val="16"/>
              </w:rPr>
              <w:t>4</w:t>
            </w:r>
          </w:p>
        </w:tc>
        <w:tc>
          <w:tcPr>
            <w:tcW w:type="dxa" w:w="2045"/>
            <w:vAlign w:val="top"/>
          </w:tcPr>
          <w:p>
            <w:r>
              <w:rPr>
                <w:sz w:val="16"/>
              </w:rPr>
              <w:t>KL CHK SPV LLC (local handwriting may read K3 CHK) → Diversified Production LLC and OCM Denali Holdings LLC</w:t>
            </w:r>
          </w:p>
        </w:tc>
        <w:tc>
          <w:tcPr>
            <w:tcW w:type="dxa" w:w="2045"/>
            <w:vAlign w:val="top"/>
          </w:tcPr>
          <w:p>
            <w:r>
              <w:rPr>
                <w:sz w:val="16"/>
              </w:rPr>
              <w:t>Assignment</w:t>
            </w:r>
          </w:p>
        </w:tc>
        <w:tc>
          <w:tcPr>
            <w:tcW w:type="dxa" w:w="2045"/>
            <w:vAlign w:val="top"/>
          </w:tcPr>
          <w:p>
            <w:r>
              <w:rPr>
                <w:sz w:val="16"/>
              </w:rPr>
              <w:t>I-2022-000152; 2371/470–494; 2022-01-12</w:t>
            </w:r>
          </w:p>
        </w:tc>
        <w:tc>
          <w:tcPr>
            <w:tcW w:type="dxa" w:w="2045"/>
            <w:vAlign w:val="top"/>
          </w:tcPr>
          <w:p>
            <w:r>
              <w:rPr>
                <w:sz w:val="16"/>
              </w:rPr>
              <w:t>All 16 Q-Q index ticks / long description; schedule and fractions absent</w:t>
            </w:r>
          </w:p>
        </w:tc>
      </w:tr>
      <w:tr>
        <w:tc>
          <w:tcPr>
            <w:tcW w:type="dxa" w:w="2045"/>
            <w:vAlign w:val="top"/>
          </w:tcPr>
          <w:p>
            <w:r>
              <w:rPr>
                <w:sz w:val="16"/>
              </w:rPr>
              <w:t>5</w:t>
            </w:r>
          </w:p>
        </w:tc>
        <w:tc>
          <w:tcPr>
            <w:tcW w:type="dxa" w:w="2045"/>
            <w:vAlign w:val="top"/>
          </w:tcPr>
          <w:p>
            <w:r>
              <w:rPr>
                <w:sz w:val="16"/>
              </w:rPr>
              <w:t>Chesapeake affiliates → KL CHK SPV LLC</w:t>
            </w:r>
          </w:p>
        </w:tc>
        <w:tc>
          <w:tcPr>
            <w:tcW w:type="dxa" w:w="2045"/>
            <w:vAlign w:val="top"/>
          </w:tcPr>
          <w:p>
            <w:r>
              <w:rPr>
                <w:sz w:val="16"/>
              </w:rPr>
              <w:t>Assignment</w:t>
            </w:r>
          </w:p>
        </w:tc>
        <w:tc>
          <w:tcPr>
            <w:tcW w:type="dxa" w:w="2045"/>
            <w:vAlign w:val="top"/>
          </w:tcPr>
          <w:p>
            <w:r>
              <w:rPr>
                <w:sz w:val="16"/>
              </w:rPr>
              <w:t>I-2020-004462; 2340/490–519; 2020-12-14</w:t>
            </w:r>
          </w:p>
        </w:tc>
        <w:tc>
          <w:tcPr>
            <w:tcW w:type="dxa" w:w="2045"/>
            <w:vAlign w:val="top"/>
          </w:tcPr>
          <w:p>
            <w:r>
              <w:rPr>
                <w:sz w:val="16"/>
              </w:rPr>
              <w:t>Section 32 index marks; schedule/estate/quantum not reviewed</w:t>
            </w:r>
          </w:p>
        </w:tc>
      </w:tr>
      <w:tr>
        <w:tc>
          <w:tcPr>
            <w:tcW w:type="dxa" w:w="2045"/>
            <w:vAlign w:val="top"/>
          </w:tcPr>
          <w:p>
            <w:r>
              <w:rPr>
                <w:sz w:val="16"/>
              </w:rPr>
              <w:t>6</w:t>
            </w:r>
          </w:p>
        </w:tc>
        <w:tc>
          <w:tcPr>
            <w:tcW w:type="dxa" w:w="2045"/>
            <w:vAlign w:val="top"/>
          </w:tcPr>
          <w:p>
            <w:r>
              <w:rPr>
                <w:sz w:val="16"/>
              </w:rPr>
              <w:t>Staghorn Resources LLC → Chesapeake</w:t>
            </w:r>
          </w:p>
        </w:tc>
        <w:tc>
          <w:tcPr>
            <w:tcW w:type="dxa" w:w="2045"/>
            <w:vAlign w:val="top"/>
          </w:tcPr>
          <w:p>
            <w:r>
              <w:rPr>
                <w:sz w:val="16"/>
              </w:rPr>
              <w:t>Assignment</w:t>
            </w:r>
          </w:p>
        </w:tc>
        <w:tc>
          <w:tcPr>
            <w:tcW w:type="dxa" w:w="2045"/>
            <w:vAlign w:val="top"/>
          </w:tcPr>
          <w:p>
            <w:r>
              <w:rPr>
                <w:sz w:val="16"/>
              </w:rPr>
              <w:t>I-2001-004316; 1697/236; Not verified from reviewed evidence</w:t>
            </w:r>
          </w:p>
        </w:tc>
        <w:tc>
          <w:tcPr>
            <w:tcW w:type="dxa" w:w="2045"/>
            <w:vAlign w:val="top"/>
          </w:tcPr>
          <w:p>
            <w:r>
              <w:rPr>
                <w:sz w:val="16"/>
              </w:rPr>
              <w:t>Cited by the OK48147.001.1 schedule as an assignment, not a base OGL</w:t>
            </w:r>
          </w:p>
        </w:tc>
      </w:tr>
    </w:tbl>
    <w:p/>
    <w:p>
      <w:pPr>
        <w:pStyle w:val="Heading1"/>
      </w:pPr>
      <w:r>
        <w:t>Historical Lease Definition Set</w:t>
      </w:r>
    </w:p>
    <w:p>
      <w:r>
        <w:t>These eleven leases are reviewed historical candidates, not confirmed current Diversified leases. Acreages overlap and are not additive.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ns11:shd xmlns:ns11="http://schemas.openxmlformats.org/wml/2006/main" ns11:fill="17365D"/>
          </w:tcPr>
          <w:p>
            <w:r>
              <w:rPr>
                <w:b/>
                <w:color w:val="FFFFFF"/>
                <w:sz w:val="16"/>
              </w:rPr>
              <w:t>Lease</w:t>
            </w:r>
          </w:p>
        </w:tc>
        <w:tc>
          <w:tcPr>
            <w:tcW w:type="dxa" w:w="2045"/>
            <ns12:shd xmlns:ns12="http://schemas.openxmlformats.org/wml/2006/main" ns12:fill="17365D"/>
          </w:tcPr>
          <w:p>
            <w:r>
              <w:rPr>
                <w:b/>
                <w:color w:val="FFFFFF"/>
                <w:sz w:val="16"/>
              </w:rPr>
              <w:t>Original Parties</w:t>
            </w:r>
          </w:p>
        </w:tc>
        <w:tc>
          <w:tcPr>
            <w:tcW w:type="dxa" w:w="2045"/>
            <ns13:shd xmlns:ns13="http://schemas.openxmlformats.org/wml/2006/main" ns13:fill="17365D"/>
          </w:tcPr>
          <w:p>
            <w:r>
              <w:rPr>
                <w:b/>
                <w:color w:val="FFFFFF"/>
                <w:sz w:val="16"/>
              </w:rPr>
              <w:t>Book/Page; Date</w:t>
            </w:r>
          </w:p>
        </w:tc>
        <w:tc>
          <w:tcPr>
            <w:tcW w:type="dxa" w:w="2045"/>
            <ns14:shd xmlns:ns14="http://schemas.openxmlformats.org/wml/2006/main" ns14:fill="17365D"/>
          </w:tcPr>
          <w:p>
            <w:r>
              <w:rPr>
                <w:b/>
                <w:color w:val="FFFFFF"/>
                <w:sz w:val="16"/>
              </w:rPr>
              <w:t>Section 32 Legal</w:t>
            </w:r>
          </w:p>
        </w:tc>
        <w:tc>
          <w:tcPr>
            <w:tcW w:type="dxa" w:w="2045"/>
            <ns15:shd xmlns:ns15="http://schemas.openxmlformats.org/wml/2006/main" ns15:fill="17365D"/>
          </w:tcPr>
          <w:p>
            <w:r>
              <w:rPr>
                <w:b/>
                <w:color w:val="FFFFFF"/>
                <w:sz w:val="16"/>
              </w:rPr>
              <w:t>Gross Acres</w:t>
            </w:r>
          </w:p>
        </w:tc>
      </w:tr>
      <w:tr>
        <w:tc>
          <w:tcPr>
            <w:tcW w:type="dxa" w:w="2045"/>
            <w:vAlign w:val="top"/>
          </w:tcPr>
          <w:p>
            <w:r>
              <w:rPr>
                <w:sz w:val="16"/>
              </w:rPr>
              <w:t>Garrett–McKinley Lease</w:t>
            </w:r>
          </w:p>
        </w:tc>
        <w:tc>
          <w:tcPr>
            <w:tcW w:type="dxa" w:w="2045"/>
            <w:vAlign w:val="top"/>
          </w:tcPr>
          <w:p>
            <w:r>
              <w:rPr>
                <w:sz w:val="16"/>
              </w:rPr>
              <w:t>Cora B. Garrett and S. A. Garrett → C. E. McKinley</w:t>
            </w:r>
          </w:p>
        </w:tc>
        <w:tc>
          <w:tcPr>
            <w:tcW w:type="dxa" w:w="2045"/>
            <w:vAlign w:val="top"/>
          </w:tcPr>
          <w:p>
            <w:r>
              <w:rPr>
                <w:sz w:val="16"/>
              </w:rPr>
              <w:t>63/33; 1947-11-13</w:t>
            </w:r>
          </w:p>
        </w:tc>
        <w:tc>
          <w:tcPr>
            <w:tcW w:type="dxa" w:w="2045"/>
            <w:vAlign w:val="top"/>
          </w:tcPr>
          <w:p>
            <w:r>
              <w:rPr>
                <w:sz w:val="16"/>
              </w:rPr>
              <w:t>E/2 SE/4, Section 32-11N-25W</w:t>
            </w:r>
          </w:p>
        </w:tc>
        <w:tc>
          <w:tcPr>
            <w:tcW w:type="dxa" w:w="2045"/>
            <w:vAlign w:val="top"/>
          </w:tcPr>
          <w:p>
            <w:r>
              <w:rPr>
                <w:sz w:val="16"/>
              </w:rPr>
              <w:t>80</w:t>
            </w:r>
          </w:p>
        </w:tc>
      </w:tr>
      <w:tr>
        <w:tc>
          <w:tcPr>
            <w:tcW w:type="dxa" w:w="2045"/>
            <w:vAlign w:val="top"/>
          </w:tcPr>
          <w:p>
            <w:r>
              <w:rPr>
                <w:sz w:val="16"/>
              </w:rPr>
              <w:t>Crook–Union Lease</w:t>
            </w:r>
          </w:p>
        </w:tc>
        <w:tc>
          <w:tcPr>
            <w:tcW w:type="dxa" w:w="2045"/>
            <w:vAlign w:val="top"/>
          </w:tcPr>
          <w:p>
            <w:r>
              <w:rPr>
                <w:sz w:val="16"/>
              </w:rPr>
              <w:t>Charlie B. Crook and Ima Pearl Crook → Union Oil Company of California</w:t>
            </w:r>
          </w:p>
        </w:tc>
        <w:tc>
          <w:tcPr>
            <w:tcW w:type="dxa" w:w="2045"/>
            <w:vAlign w:val="top"/>
          </w:tcPr>
          <w:p>
            <w:r>
              <w:rPr>
                <w:sz w:val="16"/>
              </w:rPr>
              <w:t>264/345; 1972-02-05</w:t>
            </w:r>
          </w:p>
        </w:tc>
        <w:tc>
          <w:tcPr>
            <w:tcW w:type="dxa" w:w="2045"/>
            <w:vAlign w:val="top"/>
          </w:tcPr>
          <w:p>
            <w:r>
              <w:rPr>
                <w:sz w:val="16"/>
              </w:rPr>
              <w:t>NE/4, Section 32-11N-25W (also covers 80 acres in Section 28)</w:t>
            </w:r>
          </w:p>
        </w:tc>
        <w:tc>
          <w:tcPr>
            <w:tcW w:type="dxa" w:w="2045"/>
            <w:vAlign w:val="top"/>
          </w:tcPr>
          <w:p>
            <w:r>
              <w:rPr>
                <w:sz w:val="16"/>
              </w:rPr>
              <w:t>160</w:t>
            </w:r>
          </w:p>
        </w:tc>
      </w:tr>
      <w:tr>
        <w:tc>
          <w:tcPr>
            <w:tcW w:type="dxa" w:w="2045"/>
            <w:vAlign w:val="top"/>
          </w:tcPr>
          <w:p>
            <w:r>
              <w:rPr>
                <w:sz w:val="16"/>
              </w:rPr>
              <w:t>LeGrand–Union Lease</w:t>
            </w:r>
          </w:p>
        </w:tc>
        <w:tc>
          <w:tcPr>
            <w:tcW w:type="dxa" w:w="2045"/>
            <w:vAlign w:val="top"/>
          </w:tcPr>
          <w:p>
            <w:r>
              <w:rPr>
                <w:sz w:val="16"/>
              </w:rPr>
              <w:t>Cora B. LeGrand, a widow → Union Oil Company of California</w:t>
            </w:r>
          </w:p>
        </w:tc>
        <w:tc>
          <w:tcPr>
            <w:tcW w:type="dxa" w:w="2045"/>
            <w:vAlign w:val="top"/>
          </w:tcPr>
          <w:p>
            <w:r>
              <w:rPr>
                <w:sz w:val="16"/>
              </w:rPr>
              <w:t>307/31; 1976-04-29</w:t>
            </w:r>
          </w:p>
        </w:tc>
        <w:tc>
          <w:tcPr>
            <w:tcW w:type="dxa" w:w="2045"/>
            <w:vAlign w:val="top"/>
          </w:tcPr>
          <w:p>
            <w:r>
              <w:rPr>
                <w:sz w:val="16"/>
              </w:rPr>
              <w:t>W/2 SE/4 and S/2 SW/4, Section 32-11N-25W</w:t>
            </w:r>
          </w:p>
        </w:tc>
        <w:tc>
          <w:tcPr>
            <w:tcW w:type="dxa" w:w="2045"/>
            <w:vAlign w:val="top"/>
          </w:tcPr>
          <w:p>
            <w:r>
              <w:rPr>
                <w:sz w:val="16"/>
              </w:rPr>
              <w:t>160</w:t>
            </w:r>
          </w:p>
        </w:tc>
      </w:tr>
      <w:tr>
        <w:tc>
          <w:tcPr>
            <w:tcW w:type="dxa" w:w="2045"/>
            <w:vAlign w:val="top"/>
          </w:tcPr>
          <w:p>
            <w:r>
              <w:rPr>
                <w:sz w:val="16"/>
              </w:rPr>
              <w:t>LaFortune et al.–Union Lease</w:t>
            </w:r>
          </w:p>
        </w:tc>
        <w:tc>
          <w:tcPr>
            <w:tcW w:type="dxa" w:w="2045"/>
            <w:vAlign w:val="top"/>
          </w:tcPr>
          <w:p>
            <w:r>
              <w:rPr>
                <w:sz w:val="16"/>
              </w:rPr>
              <w:t>Gertrude L. LaFortune et al. → Union Oil Company of California</w:t>
            </w:r>
          </w:p>
        </w:tc>
        <w:tc>
          <w:tcPr>
            <w:tcW w:type="dxa" w:w="2045"/>
            <w:vAlign w:val="top"/>
          </w:tcPr>
          <w:p>
            <w:r>
              <w:rPr>
                <w:sz w:val="16"/>
              </w:rPr>
              <w:t>340/302; 1977-10-14</w:t>
            </w:r>
          </w:p>
        </w:tc>
        <w:tc>
          <w:tcPr>
            <w:tcW w:type="dxa" w:w="2045"/>
            <w:vAlign w:val="top"/>
          </w:tcPr>
          <w:p>
            <w:r>
              <w:rPr>
                <w:sz w:val="16"/>
              </w:rPr>
              <w:t>N/2 SW/4, Section 32-11N-25W</w:t>
            </w:r>
          </w:p>
        </w:tc>
        <w:tc>
          <w:tcPr>
            <w:tcW w:type="dxa" w:w="2045"/>
            <w:vAlign w:val="top"/>
          </w:tcPr>
          <w:p>
            <w:r>
              <w:rPr>
                <w:sz w:val="16"/>
              </w:rPr>
              <w:t>80</w:t>
            </w:r>
          </w:p>
        </w:tc>
      </w:tr>
      <w:tr>
        <w:tc>
          <w:tcPr>
            <w:tcW w:type="dxa" w:w="2045"/>
            <w:vAlign w:val="top"/>
          </w:tcPr>
          <w:p>
            <w:r>
              <w:rPr>
                <w:sz w:val="16"/>
              </w:rPr>
              <w:t>LaFortune Widow–Union Lease</w:t>
            </w:r>
          </w:p>
        </w:tc>
        <w:tc>
          <w:tcPr>
            <w:tcW w:type="dxa" w:w="2045"/>
            <w:vAlign w:val="top"/>
          </w:tcPr>
          <w:p>
            <w:r>
              <w:rPr>
                <w:sz w:val="16"/>
              </w:rPr>
              <w:t>Gertrude LaFortune, a widow → Union Oil Company of California</w:t>
            </w:r>
          </w:p>
        </w:tc>
        <w:tc>
          <w:tcPr>
            <w:tcW w:type="dxa" w:w="2045"/>
            <w:vAlign w:val="top"/>
          </w:tcPr>
          <w:p>
            <w:r>
              <w:rPr>
                <w:sz w:val="16"/>
              </w:rPr>
              <w:t>340/304; 1977-10-14</w:t>
            </w:r>
          </w:p>
        </w:tc>
        <w:tc>
          <w:tcPr>
            <w:tcW w:type="dxa" w:w="2045"/>
            <w:vAlign w:val="top"/>
          </w:tcPr>
          <w:p>
            <w:r>
              <w:rPr>
                <w:sz w:val="16"/>
              </w:rPr>
              <w:t>N/2 SW/4, Section 32-11N-25W</w:t>
            </w:r>
          </w:p>
        </w:tc>
        <w:tc>
          <w:tcPr>
            <w:tcW w:type="dxa" w:w="2045"/>
            <w:vAlign w:val="top"/>
          </w:tcPr>
          <w:p>
            <w:r>
              <w:rPr>
                <w:sz w:val="16"/>
              </w:rPr>
              <w:t>80</w:t>
            </w:r>
          </w:p>
        </w:tc>
      </w:tr>
      <w:tr>
        <w:tc>
          <w:tcPr>
            <w:tcW w:type="dxa" w:w="2045"/>
            <w:vAlign w:val="top"/>
          </w:tcPr>
          <w:p>
            <w:r>
              <w:rPr>
                <w:sz w:val="16"/>
              </w:rPr>
              <w:t>Harrison–Union Lease</w:t>
            </w:r>
          </w:p>
        </w:tc>
        <w:tc>
          <w:tcPr>
            <w:tcW w:type="dxa" w:w="2045"/>
            <w:vAlign w:val="top"/>
          </w:tcPr>
          <w:p>
            <w:r>
              <w:rPr>
                <w:sz w:val="16"/>
              </w:rPr>
              <w:t>George T. Harrison Jr. and Renata Harrison → Union Oil Company of California</w:t>
            </w:r>
          </w:p>
        </w:tc>
        <w:tc>
          <w:tcPr>
            <w:tcW w:type="dxa" w:w="2045"/>
            <w:vAlign w:val="top"/>
          </w:tcPr>
          <w:p>
            <w:r>
              <w:rPr>
                <w:sz w:val="16"/>
              </w:rPr>
              <w:t>340/323; 1977-09-29</w:t>
            </w:r>
          </w:p>
        </w:tc>
        <w:tc>
          <w:tcPr>
            <w:tcW w:type="dxa" w:w="2045"/>
            <w:vAlign w:val="top"/>
          </w:tcPr>
          <w:p>
            <w:r>
              <w:rPr>
                <w:sz w:val="16"/>
              </w:rPr>
              <w:t>N/2 NW/4 and N/2 SW/4, Section 32-11N-25W</w:t>
            </w:r>
          </w:p>
        </w:tc>
        <w:tc>
          <w:tcPr>
            <w:tcW w:type="dxa" w:w="2045"/>
            <w:vAlign w:val="top"/>
          </w:tcPr>
          <w:p>
            <w:r>
              <w:rPr>
                <w:sz w:val="16"/>
              </w:rPr>
              <w:t>160</w:t>
            </w:r>
          </w:p>
        </w:tc>
      </w:tr>
      <w:tr>
        <w:tc>
          <w:tcPr>
            <w:tcW w:type="dxa" w:w="2045"/>
            <w:vAlign w:val="top"/>
          </w:tcPr>
          <w:p>
            <w:r>
              <w:rPr>
                <w:sz w:val="16"/>
              </w:rPr>
              <w:t>Leach–Union Lease</w:t>
            </w:r>
          </w:p>
        </w:tc>
        <w:tc>
          <w:tcPr>
            <w:tcW w:type="dxa" w:w="2045"/>
            <w:vAlign w:val="top"/>
          </w:tcPr>
          <w:p>
            <w:r>
              <w:rPr>
                <w:sz w:val="16"/>
              </w:rPr>
              <w:t>Carol Seidenbach Leach → Union Oil Company of California</w:t>
            </w:r>
          </w:p>
        </w:tc>
        <w:tc>
          <w:tcPr>
            <w:tcW w:type="dxa" w:w="2045"/>
            <w:vAlign w:val="top"/>
          </w:tcPr>
          <w:p>
            <w:r>
              <w:rPr>
                <w:sz w:val="16"/>
              </w:rPr>
              <w:t>342/564; 1977-09-29</w:t>
            </w:r>
          </w:p>
        </w:tc>
        <w:tc>
          <w:tcPr>
            <w:tcW w:type="dxa" w:w="2045"/>
            <w:vAlign w:val="top"/>
          </w:tcPr>
          <w:p>
            <w:r>
              <w:rPr>
                <w:sz w:val="16"/>
              </w:rPr>
              <w:t>N/2 SW/4, Section 32-11N-25W</w:t>
            </w:r>
          </w:p>
        </w:tc>
        <w:tc>
          <w:tcPr>
            <w:tcW w:type="dxa" w:w="2045"/>
            <w:vAlign w:val="top"/>
          </w:tcPr>
          <w:p>
            <w:r>
              <w:rPr>
                <w:sz w:val="16"/>
              </w:rPr>
              <w:t>80</w:t>
            </w:r>
          </w:p>
        </w:tc>
      </w:tr>
      <w:tr>
        <w:tc>
          <w:tcPr>
            <w:tcW w:type="dxa" w:w="2045"/>
            <w:vAlign w:val="top"/>
          </w:tcPr>
          <w:p>
            <w:r>
              <w:rPr>
                <w:sz w:val="16"/>
              </w:rPr>
              <w:t>Kruse–Union Lease</w:t>
            </w:r>
          </w:p>
        </w:tc>
        <w:tc>
          <w:tcPr>
            <w:tcW w:type="dxa" w:w="2045"/>
            <w:vAlign w:val="top"/>
          </w:tcPr>
          <w:p>
            <w:r>
              <w:rPr>
                <w:sz w:val="16"/>
              </w:rPr>
              <w:t>Cynthia Seidenbach Kruse → Union Oil Company of California</w:t>
            </w:r>
          </w:p>
        </w:tc>
        <w:tc>
          <w:tcPr>
            <w:tcW w:type="dxa" w:w="2045"/>
            <w:vAlign w:val="top"/>
          </w:tcPr>
          <w:p>
            <w:r>
              <w:rPr>
                <w:sz w:val="16"/>
              </w:rPr>
              <w:t>342/566; 1977-11-01</w:t>
            </w:r>
          </w:p>
        </w:tc>
        <w:tc>
          <w:tcPr>
            <w:tcW w:type="dxa" w:w="2045"/>
            <w:vAlign w:val="top"/>
          </w:tcPr>
          <w:p>
            <w:r>
              <w:rPr>
                <w:sz w:val="16"/>
              </w:rPr>
              <w:t>N/2 SW/4, Section 32-11N-25W</w:t>
            </w:r>
          </w:p>
        </w:tc>
        <w:tc>
          <w:tcPr>
            <w:tcW w:type="dxa" w:w="2045"/>
            <w:vAlign w:val="top"/>
          </w:tcPr>
          <w:p>
            <w:r>
              <w:rPr>
                <w:sz w:val="16"/>
              </w:rPr>
              <w:t>80</w:t>
            </w:r>
          </w:p>
        </w:tc>
      </w:tr>
      <w:tr>
        <w:tc>
          <w:tcPr>
            <w:tcW w:type="dxa" w:w="2045"/>
            <w:vAlign w:val="top"/>
          </w:tcPr>
          <w:p>
            <w:r>
              <w:rPr>
                <w:sz w:val="16"/>
              </w:rPr>
              <w:t>F. L. Randel–Union Lease</w:t>
            </w:r>
          </w:p>
        </w:tc>
        <w:tc>
          <w:tcPr>
            <w:tcW w:type="dxa" w:w="2045"/>
            <w:vAlign w:val="top"/>
          </w:tcPr>
          <w:p>
            <w:r>
              <w:rPr>
                <w:sz w:val="16"/>
              </w:rPr>
              <w:t>F. L. Randel → Union Oil Company of California</w:t>
            </w:r>
          </w:p>
        </w:tc>
        <w:tc>
          <w:tcPr>
            <w:tcW w:type="dxa" w:w="2045"/>
            <w:vAlign w:val="top"/>
          </w:tcPr>
          <w:p>
            <w:r>
              <w:rPr>
                <w:sz w:val="16"/>
              </w:rPr>
              <w:t>352/719; 1978-05-16</w:t>
            </w:r>
          </w:p>
        </w:tc>
        <w:tc>
          <w:tcPr>
            <w:tcW w:type="dxa" w:w="2045"/>
            <w:vAlign w:val="top"/>
          </w:tcPr>
          <w:p>
            <w:r>
              <w:rPr>
                <w:sz w:val="16"/>
              </w:rPr>
              <w:t>NE/4, Section 32-11N-25W</w:t>
            </w:r>
          </w:p>
        </w:tc>
        <w:tc>
          <w:tcPr>
            <w:tcW w:type="dxa" w:w="2045"/>
            <w:vAlign w:val="top"/>
          </w:tcPr>
          <w:p>
            <w:r>
              <w:rPr>
                <w:sz w:val="16"/>
              </w:rPr>
              <w:t>160</w:t>
            </w:r>
          </w:p>
        </w:tc>
      </w:tr>
      <w:tr>
        <w:tc>
          <w:tcPr>
            <w:tcW w:type="dxa" w:w="2045"/>
            <w:vAlign w:val="top"/>
          </w:tcPr>
          <w:p>
            <w:r>
              <w:rPr>
                <w:sz w:val="16"/>
              </w:rPr>
              <w:t>J. L. Randel–Union Lease</w:t>
            </w:r>
          </w:p>
        </w:tc>
        <w:tc>
          <w:tcPr>
            <w:tcW w:type="dxa" w:w="2045"/>
            <w:vAlign w:val="top"/>
          </w:tcPr>
          <w:p>
            <w:r>
              <w:rPr>
                <w:sz w:val="16"/>
              </w:rPr>
              <w:t>J. L. Randel → Union Oil Company of California</w:t>
            </w:r>
          </w:p>
        </w:tc>
        <w:tc>
          <w:tcPr>
            <w:tcW w:type="dxa" w:w="2045"/>
            <w:vAlign w:val="top"/>
          </w:tcPr>
          <w:p>
            <w:r>
              <w:rPr>
                <w:sz w:val="16"/>
              </w:rPr>
              <w:t>352/721; 1978-05-16</w:t>
            </w:r>
          </w:p>
        </w:tc>
        <w:tc>
          <w:tcPr>
            <w:tcW w:type="dxa" w:w="2045"/>
            <w:vAlign w:val="top"/>
          </w:tcPr>
          <w:p>
            <w:r>
              <w:rPr>
                <w:sz w:val="16"/>
              </w:rPr>
              <w:t>NE/4, Section 32-11N-25W</w:t>
            </w:r>
          </w:p>
        </w:tc>
        <w:tc>
          <w:tcPr>
            <w:tcW w:type="dxa" w:w="2045"/>
            <w:vAlign w:val="top"/>
          </w:tcPr>
          <w:p>
            <w:r>
              <w:rPr>
                <w:sz w:val="16"/>
              </w:rPr>
              <w:t>160</w:t>
            </w:r>
          </w:p>
        </w:tc>
      </w:tr>
      <w:tr>
        <w:tc>
          <w:tcPr>
            <w:tcW w:type="dxa" w:w="2045"/>
            <w:vAlign w:val="top"/>
          </w:tcPr>
          <w:p>
            <w:r>
              <w:rPr>
                <w:sz w:val="16"/>
              </w:rPr>
              <w:t>Great Western–Union Lease</w:t>
            </w:r>
          </w:p>
        </w:tc>
        <w:tc>
          <w:tcPr>
            <w:tcW w:type="dxa" w:w="2045"/>
            <w:vAlign w:val="top"/>
          </w:tcPr>
          <w:p>
            <w:r>
              <w:rPr>
                <w:sz w:val="16"/>
              </w:rPr>
              <w:t>Great Western Oil &amp; Gas, Inc. → Union Oil Company of California</w:t>
            </w:r>
          </w:p>
        </w:tc>
        <w:tc>
          <w:tcPr>
            <w:tcW w:type="dxa" w:w="2045"/>
            <w:vAlign w:val="top"/>
          </w:tcPr>
          <w:p>
            <w:r>
              <w:rPr>
                <w:sz w:val="16"/>
              </w:rPr>
              <w:t>376/369; corrected lease 1039/20–23; 1979-03-21</w:t>
            </w:r>
          </w:p>
        </w:tc>
        <w:tc>
          <w:tcPr>
            <w:tcW w:type="dxa" w:w="2045"/>
            <w:vAlign w:val="top"/>
          </w:tcPr>
          <w:p>
            <w:r>
              <w:rPr>
                <w:sz w:val="16"/>
              </w:rPr>
              <w:t>NE/4, Section 32-11N-25W</w:t>
            </w:r>
          </w:p>
        </w:tc>
        <w:tc>
          <w:tcPr>
            <w:tcW w:type="dxa" w:w="2045"/>
            <w:vAlign w:val="top"/>
          </w:tcPr>
          <w:p>
            <w:r>
              <w:rPr>
                <w:sz w:val="16"/>
              </w:rPr>
              <w:t>160</w:t>
            </w:r>
          </w:p>
        </w:tc>
      </w:tr>
    </w:tbl>
    <w:p/>
    <w:p>
      <w:pPr>
        <w:pStyle w:val="Heading1"/>
      </w:pPr>
      <w:r>
        <w:t>Acreage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ns16:shd xmlns:ns16="http://schemas.openxmlformats.org/wml/2006/main" ns16:fill="17365D"/>
          </w:tcPr>
          <w:p>
            <w:r>
              <w:rPr>
                <w:b/>
                <w:color w:val="FFFFFF"/>
                <w:sz w:val="16"/>
              </w:rPr>
              <w:t>Tract</w:t>
            </w:r>
          </w:p>
        </w:tc>
        <w:tc>
          <w:tcPr>
            <w:tcW w:type="dxa" w:w="2045"/>
            <ns17:shd xmlns:ns17="http://schemas.openxmlformats.org/wml/2006/main" ns17:fill="17365D"/>
          </w:tcPr>
          <w:p>
            <w:r>
              <w:rPr>
                <w:b/>
                <w:color w:val="FFFFFF"/>
                <w:sz w:val="16"/>
              </w:rPr>
              <w:t>Control Legal</w:t>
            </w:r>
          </w:p>
        </w:tc>
        <w:tc>
          <w:tcPr>
            <w:tcW w:type="dxa" w:w="2045"/>
            <ns18:shd xmlns:ns18="http://schemas.openxmlformats.org/wml/2006/main" ns18:fill="17365D"/>
          </w:tcPr>
          <w:p>
            <w:r>
              <w:rPr>
                <w:b/>
                <w:color w:val="FFFFFF"/>
                <w:sz w:val="16"/>
              </w:rPr>
              <w:t>Gross</w:t>
            </w:r>
          </w:p>
        </w:tc>
        <w:tc>
          <w:tcPr>
            <w:tcW w:type="dxa" w:w="2045"/>
            <ns19:shd xmlns:ns19="http://schemas.openxmlformats.org/wml/2006/main" ns19:fill="17365D"/>
          </w:tcPr>
          <w:p>
            <w:r>
              <w:rPr>
                <w:b/>
                <w:color w:val="FFFFFF"/>
                <w:sz w:val="16"/>
              </w:rPr>
              <w:t>Historical Definition Set</w:t>
            </w:r>
          </w:p>
        </w:tc>
        <w:tc>
          <w:tcPr>
            <w:tcW w:type="dxa" w:w="2045"/>
            <ns20:shd xmlns:ns20="http://schemas.openxmlformats.org/wml/2006/main" ns20:fill="17365D"/>
          </w:tcPr>
          <w:p>
            <w:r>
              <w:rPr>
                <w:b/>
                <w:color w:val="FFFFFF"/>
                <w:sz w:val="16"/>
              </w:rPr>
              <w:t>Gap</w:t>
            </w:r>
          </w:p>
        </w:tc>
      </w:tr>
      <w:tr>
        <w:tc>
          <w:tcPr>
            <w:tcW w:type="dxa" w:w="2045"/>
            <w:vAlign w:val="top"/>
          </w:tcPr>
          <w:p>
            <w:r>
              <w:rPr>
                <w:sz w:val="16"/>
              </w:rPr>
              <w:t>Tract 1</w:t>
            </w:r>
          </w:p>
        </w:tc>
        <w:tc>
          <w:tcPr>
            <w:tcW w:type="dxa" w:w="2045"/>
            <w:vAlign w:val="top"/>
          </w:tcPr>
          <w:p>
            <w:r>
              <w:rPr>
                <w:sz w:val="16"/>
              </w:rPr>
              <w:t>N/2 NE/4 and SW/4 NE/4</w:t>
            </w:r>
          </w:p>
        </w:tc>
        <w:tc>
          <w:tcPr>
            <w:tcW w:type="dxa" w:w="2045"/>
            <w:vAlign w:val="top"/>
          </w:tcPr>
          <w:p>
            <w:r>
              <w:rPr>
                <w:sz w:val="16"/>
              </w:rPr>
              <w:t>120</w:t>
            </w:r>
          </w:p>
        </w:tc>
        <w:tc>
          <w:tcPr>
            <w:tcW w:type="dxa" w:w="2045"/>
            <w:vAlign w:val="top"/>
          </w:tcPr>
          <w:p>
            <w:r>
              <w:rPr>
                <w:sz w:val="16"/>
              </w:rPr>
              <w:t>120</w:t>
            </w:r>
          </w:p>
        </w:tc>
        <w:tc>
          <w:tcPr>
            <w:tcW w:type="dxa" w:w="2045"/>
            <w:vAlign w:val="top"/>
          </w:tcPr>
          <w:p>
            <w:r>
              <w:rPr>
                <w:sz w:val="16"/>
              </w:rPr>
              <w:t>0</w:t>
            </w:r>
          </w:p>
        </w:tc>
      </w:tr>
      <w:tr>
        <w:tc>
          <w:tcPr>
            <w:tcW w:type="dxa" w:w="2045"/>
            <w:vAlign w:val="top"/>
          </w:tcPr>
          <w:p>
            <w:r>
              <w:rPr>
                <w:sz w:val="16"/>
              </w:rPr>
              <w:t>Tract 2</w:t>
            </w:r>
          </w:p>
        </w:tc>
        <w:tc>
          <w:tcPr>
            <w:tcW w:type="dxa" w:w="2045"/>
            <w:vAlign w:val="top"/>
          </w:tcPr>
          <w:p>
            <w:r>
              <w:rPr>
                <w:sz w:val="16"/>
              </w:rPr>
              <w:t>SE/4 NE/4 and E/2 SE/4</w:t>
            </w:r>
          </w:p>
        </w:tc>
        <w:tc>
          <w:tcPr>
            <w:tcW w:type="dxa" w:w="2045"/>
            <w:vAlign w:val="top"/>
          </w:tcPr>
          <w:p>
            <w:r>
              <w:rPr>
                <w:sz w:val="16"/>
              </w:rPr>
              <w:t>120</w:t>
            </w:r>
          </w:p>
        </w:tc>
        <w:tc>
          <w:tcPr>
            <w:tcW w:type="dxa" w:w="2045"/>
            <w:vAlign w:val="top"/>
          </w:tcPr>
          <w:p>
            <w:r>
              <w:rPr>
                <w:sz w:val="16"/>
              </w:rPr>
              <w:t>120</w:t>
            </w:r>
          </w:p>
        </w:tc>
        <w:tc>
          <w:tcPr>
            <w:tcW w:type="dxa" w:w="2045"/>
            <w:vAlign w:val="top"/>
          </w:tcPr>
          <w:p>
            <w:r>
              <w:rPr>
                <w:sz w:val="16"/>
              </w:rPr>
              <w:t>0</w:t>
            </w:r>
          </w:p>
        </w:tc>
      </w:tr>
      <w:tr>
        <w:tc>
          <w:tcPr>
            <w:tcW w:type="dxa" w:w="2045"/>
            <w:vAlign w:val="top"/>
          </w:tcPr>
          <w:p>
            <w:r>
              <w:rPr>
                <w:sz w:val="16"/>
              </w:rPr>
              <w:t>Tract 3</w:t>
            </w:r>
          </w:p>
        </w:tc>
        <w:tc>
          <w:tcPr>
            <w:tcW w:type="dxa" w:w="2045"/>
            <w:vAlign w:val="top"/>
          </w:tcPr>
          <w:p>
            <w:r>
              <w:rPr>
                <w:sz w:val="16"/>
              </w:rPr>
              <w:t>NW/4</w:t>
            </w:r>
          </w:p>
        </w:tc>
        <w:tc>
          <w:tcPr>
            <w:tcW w:type="dxa" w:w="2045"/>
            <w:vAlign w:val="top"/>
          </w:tcPr>
          <w:p>
            <w:r>
              <w:rPr>
                <w:sz w:val="16"/>
              </w:rPr>
              <w:t>160</w:t>
            </w:r>
          </w:p>
        </w:tc>
        <w:tc>
          <w:tcPr>
            <w:tcW w:type="dxa" w:w="2045"/>
            <w:vAlign w:val="top"/>
          </w:tcPr>
          <w:p>
            <w:r>
              <w:rPr>
                <w:sz w:val="16"/>
              </w:rPr>
              <w:t>80</w:t>
            </w:r>
          </w:p>
        </w:tc>
        <w:tc>
          <w:tcPr>
            <w:tcW w:type="dxa" w:w="2045"/>
            <w:vAlign w:val="top"/>
          </w:tcPr>
          <w:p>
            <w:r>
              <w:rPr>
                <w:sz w:val="16"/>
              </w:rPr>
              <w:t>80</w:t>
            </w:r>
          </w:p>
        </w:tc>
      </w:tr>
      <w:tr>
        <w:tc>
          <w:tcPr>
            <w:tcW w:type="dxa" w:w="2045"/>
            <w:vAlign w:val="top"/>
          </w:tcPr>
          <w:p>
            <w:r>
              <w:rPr>
                <w:sz w:val="16"/>
              </w:rPr>
              <w:t>Tract 4</w:t>
            </w:r>
          </w:p>
        </w:tc>
        <w:tc>
          <w:tcPr>
            <w:tcW w:type="dxa" w:w="2045"/>
            <w:vAlign w:val="top"/>
          </w:tcPr>
          <w:p>
            <w:r>
              <w:rPr>
                <w:sz w:val="16"/>
              </w:rPr>
              <w:t>SW/4</w:t>
            </w:r>
          </w:p>
        </w:tc>
        <w:tc>
          <w:tcPr>
            <w:tcW w:type="dxa" w:w="2045"/>
            <w:vAlign w:val="top"/>
          </w:tcPr>
          <w:p>
            <w:r>
              <w:rPr>
                <w:sz w:val="16"/>
              </w:rPr>
              <w:t>160</w:t>
            </w:r>
          </w:p>
        </w:tc>
        <w:tc>
          <w:tcPr>
            <w:tcW w:type="dxa" w:w="2045"/>
            <w:vAlign w:val="top"/>
          </w:tcPr>
          <w:p>
            <w:r>
              <w:rPr>
                <w:sz w:val="16"/>
              </w:rPr>
              <w:t>160</w:t>
            </w:r>
          </w:p>
        </w:tc>
        <w:tc>
          <w:tcPr>
            <w:tcW w:type="dxa" w:w="2045"/>
            <w:vAlign w:val="top"/>
          </w:tcPr>
          <w:p>
            <w:r>
              <w:rPr>
                <w:sz w:val="16"/>
              </w:rPr>
              <w:t>0</w:t>
            </w:r>
          </w:p>
        </w:tc>
      </w:tr>
      <w:tr>
        <w:tc>
          <w:tcPr>
            <w:tcW w:type="dxa" w:w="2045"/>
            <w:vAlign w:val="top"/>
          </w:tcPr>
          <w:p>
            <w:r>
              <w:rPr>
                <w:sz w:val="16"/>
              </w:rPr>
              <w:t>Tract 5</w:t>
            </w:r>
          </w:p>
        </w:tc>
        <w:tc>
          <w:tcPr>
            <w:tcW w:type="dxa" w:w="2045"/>
            <w:vAlign w:val="top"/>
          </w:tcPr>
          <w:p>
            <w:r>
              <w:rPr>
                <w:sz w:val="16"/>
              </w:rPr>
              <w:t>W/2 SE/4</w:t>
            </w:r>
          </w:p>
        </w:tc>
        <w:tc>
          <w:tcPr>
            <w:tcW w:type="dxa" w:w="2045"/>
            <w:vAlign w:val="top"/>
          </w:tcPr>
          <w:p>
            <w:r>
              <w:rPr>
                <w:sz w:val="16"/>
              </w:rPr>
              <w:t>80</w:t>
            </w:r>
          </w:p>
        </w:tc>
        <w:tc>
          <w:tcPr>
            <w:tcW w:type="dxa" w:w="2045"/>
            <w:vAlign w:val="top"/>
          </w:tcPr>
          <w:p>
            <w:r>
              <w:rPr>
                <w:sz w:val="16"/>
              </w:rPr>
              <w:t>80</w:t>
            </w:r>
          </w:p>
        </w:tc>
        <w:tc>
          <w:tcPr>
            <w:tcW w:type="dxa" w:w="2045"/>
            <w:vAlign w:val="top"/>
          </w:tcPr>
          <w:p>
            <w:r>
              <w:rPr>
                <w:sz w:val="16"/>
              </w:rPr>
              <w:t>0</w:t>
            </w:r>
          </w:p>
        </w:tc>
      </w:tr>
      <w:tr>
        <w:tc>
          <w:tcPr>
            <w:tcW w:type="dxa" w:w="2045"/>
            <w:vAlign w:val="top"/>
          </w:tcPr>
          <w:p>
            <w:r>
              <w:rPr>
                <w:sz w:val="16"/>
              </w:rPr>
              <w:t>Total</w:t>
            </w:r>
          </w:p>
        </w:tc>
        <w:tc>
          <w:tcPr>
            <w:tcW w:type="dxa" w:w="2045"/>
            <w:vAlign w:val="top"/>
          </w:tcPr>
          <w:p>
            <w:r>
              <w:rPr>
                <w:sz w:val="16"/>
              </w:rPr>
              <w:t>Section 32</w:t>
            </w:r>
          </w:p>
        </w:tc>
        <w:tc>
          <w:tcPr>
            <w:tcW w:type="dxa" w:w="2045"/>
            <w:vAlign w:val="top"/>
          </w:tcPr>
          <w:p>
            <w:r>
              <w:rPr>
                <w:sz w:val="16"/>
              </w:rPr>
              <w:t>640</w:t>
            </w:r>
          </w:p>
        </w:tc>
        <w:tc>
          <w:tcPr>
            <w:tcW w:type="dxa" w:w="2045"/>
            <w:vAlign w:val="top"/>
          </w:tcPr>
          <w:p>
            <w:r>
              <w:rPr>
                <w:sz w:val="16"/>
              </w:rPr>
              <w:t>560</w:t>
            </w:r>
          </w:p>
        </w:tc>
        <w:tc>
          <w:tcPr>
            <w:tcW w:type="dxa" w:w="2045"/>
            <w:vAlign w:val="top"/>
          </w:tcPr>
          <w:p>
            <w:r>
              <w:rPr>
                <w:sz w:val="16"/>
              </w:rPr>
              <w:t>80</w:t>
            </w:r>
          </w:p>
        </w:tc>
      </w:tr>
    </w:tbl>
    <w:p/>
    <w:p>
      <w:r>
        <w:t>The 80-acre difference is S/2 NW/4. Modern index marks may include that acreage, but the eleven leases in Bk 872/Pg 279 do not. No net-acre conclusion is made.</w:t>
      </w:r>
    </w:p>
    <w:p>
      <w:pPr>
        <w:pStyle w:val="Heading1"/>
      </w:pPr>
      <w:r>
        <w:t>Confidence Notes</w:t>
      </w:r>
    </w:p>
    <w:p>
      <w:pPr>
        <w:pStyle w:val="ListBullet"/>
      </w:pPr>
      <w:r>
        <w:t>High: visible lease names, legal descriptions and depth limits in Images 1197 and 4388–4393.</w:t>
      </w:r>
    </w:p>
    <w:p>
      <w:pPr>
        <w:pStyle w:val="ListBullet"/>
      </w:pPr>
      <w:r>
        <w:t>Medium-high: cited asset identity at Bk 2395/Pg 462 and Bk 2400/Pg 566, derived from the strongest prior image-reviewed workbook.</w:t>
      </w:r>
    </w:p>
    <w:p>
      <w:pPr>
        <w:pStyle w:val="ListBullet"/>
      </w:pPr>
      <w:r>
        <w:t>Medium: modern parties, document numbers, book/page ranges and recording dates transcribed from county metadata/indexes.</w:t>
      </w:r>
    </w:p>
    <w:p>
      <w:pPr>
        <w:pStyle w:val="ListBullet"/>
      </w:pPr>
      <w:r>
        <w:t>Low: exact base OGL, co-assignee allocation, net leasehold acres, depth ownership and linkage of the eleven historical leases to OK48147.001.1.</w:t>
      </w:r>
    </w:p>
    <w:p>
      <w:pPr>
        <w:pStyle w:val="Heading1"/>
      </w:pPr>
      <w:r>
        <w:t>Open Issues</w:t>
      </w:r>
    </w:p>
    <w:p>
      <w:pPr>
        <w:pStyle w:val="ListBullet"/>
      </w:pPr>
      <w:r>
        <w:t>Pull I-2023-000796 and I-2022-004838 with all schedules; confirm effective dates and allocation.</w:t>
      </w:r>
    </w:p>
    <w:p>
      <w:pPr>
        <w:pStyle w:val="ListBullet"/>
      </w:pPr>
      <w:r>
        <w:t>Pull I-2022-000152 and I-2020-004462 schedules; prove the Chesapeake/KL CHK/DP asset bridge.</w:t>
      </w:r>
    </w:p>
    <w:p>
      <w:pPr>
        <w:pStyle w:val="ListBullet"/>
      </w:pPr>
      <w:r>
        <w:t>Pull I-2001-004316 at Bk 1697/Pg 236 and the separate Bk 1697/Pg 574 record; resolve the citation conflict.</w:t>
      </w:r>
    </w:p>
    <w:p>
      <w:pPr>
        <w:pStyle w:val="ListBullet"/>
      </w:pPr>
      <w:r>
        <w:t>Follow the Staghorn asset backward to its base OGL. Do not stop at an all-right-title-and-interest assignment.</w:t>
      </w:r>
    </w:p>
    <w:p>
      <w:pPr>
        <w:pStyle w:val="ListBullet"/>
      </w:pPr>
      <w:r>
        <w:t>Prove or disprove the Leede/Kabala/Staghorn bridge before attaching the eleven historical leases to the modern asset.</w:t>
      </w:r>
    </w:p>
    <w:p>
      <w:pPr>
        <w:pStyle w:val="ListBullet"/>
      </w:pPr>
      <w:r>
        <w:t>Map the Bk 502/Pg 267 Crook wellbore carve and Bk 872/Pg 279 depth limitations.</w:t>
      </w:r>
    </w:p>
    <w:p>
      <w:pPr>
        <w:pStyle w:val="ListBullet"/>
      </w:pPr>
      <w:r>
        <w:t>Pull the 2024 Teocalli and 2025 Stephens/Continental schedules for later disposition/acquisition screening.</w:t>
      </w:r>
    </w:p>
    <w:p>
      <w:pPr>
        <w:pStyle w:val="ListBullet"/>
      </w:pPr>
      <w:r>
        <w:t>Verify lease-by-lease HBP, releases, extensions, depth clauses and production before WI work.</w:t>
      </w:r>
    </w:p>
    <w:p>
      <w:pPr>
        <w:pStyle w:val="Heading1"/>
      </w:pPr>
      <w:r>
        <w:t>Cursory Reliance Statement</w:t>
      </w:r>
    </w:p>
    <w:p>
      <w:r>
        <w:t>This package is an evidence-supported cursory lease-chain work product, not a final title opinion. It intentionally does not calculate working interest, NRI, revenue ownership or decimal interests. Reasonable scope conclusions are labeled as such, and unresolved facts are not converted to zeros.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