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pPr>
      <w:r>
        <w:rPr>
          <w:rFonts w:ascii="Calibri" w:hAnsi="Calibri"/>
          <w:b/>
          <w:color w:val="000000"/>
          <w:sz w:val="22"/>
        </w:rPr>
        <w:t>Section 13 Abstract Certification Letter</w:t>
      </w:r>
    </w:p>
    <w:p>
      <w:pPr>
        <w:spacing w:after="0" w:before="0" w:line="240" w:lineRule="auto"/>
      </w:pPr>
      <w:r>
        <w:rPr>
          <w:rFonts w:ascii="Calibri" w:hAnsi="Calibri"/>
          <w:b w:val="0"/>
          <w:color w:val="000000"/>
          <w:sz w:val="22"/>
        </w:rPr>
        <w:t>Township 47 North, Range 77 West, 6th P.M.</w:t>
      </w:r>
    </w:p>
    <w:p>
      <w:pPr>
        <w:spacing w:after="0" w:before="0" w:line="240" w:lineRule="auto"/>
      </w:pPr>
      <w:r>
        <w:rPr>
          <w:rFonts w:ascii="Calibri" w:hAnsi="Calibri"/>
          <w:b w:val="0"/>
          <w:color w:val="000000"/>
          <w:sz w:val="22"/>
        </w:rPr>
        <w:t>Section 13: All</w:t>
      </w:r>
    </w:p>
    <w:p>
      <w:pPr>
        <w:spacing w:after="240" w:before="0" w:line="240" w:lineRule="auto"/>
      </w:pPr>
      <w:r>
        <w:rPr>
          <w:rFonts w:ascii="Calibri" w:hAnsi="Calibri"/>
          <w:b w:val="0"/>
          <w:color w:val="000000"/>
          <w:sz w:val="22"/>
        </w:rPr>
        <w:t>Johnson County, Wyoming</w:t>
      </w:r>
    </w:p>
    <w:p>
      <w:pPr>
        <w:spacing w:after="120" w:before="0" w:line="240" w:lineRule="auto"/>
      </w:pPr>
      <w:r>
        <w:rPr>
          <w:rFonts w:ascii="Calibri" w:hAnsi="Calibri"/>
          <w:b/>
          <w:color w:val="000000"/>
          <w:sz w:val="22"/>
        </w:rPr>
        <w:t>Contents of abstract:</w:t>
      </w:r>
    </w:p>
    <w:p>
      <w:pPr>
        <w:spacing w:after="160" w:before="0" w:line="240" w:lineRule="auto"/>
      </w:pPr>
      <w:r>
        <w:rPr>
          <w:rFonts w:ascii="Calibri" w:hAnsi="Calibri"/>
          <w:b w:val="0"/>
          <w:color w:val="000000"/>
          <w:sz w:val="22"/>
        </w:rPr>
        <w:t>Index of documents reflecting the entries posted in the tract indices located and maintained by the Johnson County Clerk, from Inception through the last indexed instrument recorded 7/14/2025. County index entries: 238. Every fact cell in columns A through H is filled. 458 of those cells are Unknown because the examined source did not establish the fact.</w:t>
      </w:r>
    </w:p>
    <w:p>
      <w:pPr>
        <w:spacing w:after="160" w:before="0" w:line="240" w:lineRule="auto"/>
      </w:pPr>
      <w:r>
        <w:rPr>
          <w:rFonts w:ascii="Calibri" w:hAnsi="Calibri"/>
          <w:b w:val="0"/>
          <w:color w:val="000000"/>
          <w:sz w:val="22"/>
        </w:rPr>
        <w:t>Johnson County Assessor and Treasurer reports, detailing surface-owner accounts and taxes due: N/A.</w:t>
      </w:r>
    </w:p>
    <w:p>
      <w:pPr>
        <w:spacing w:after="160" w:before="0" w:line="240" w:lineRule="auto"/>
      </w:pPr>
      <w:r>
        <w:rPr>
          <w:rFonts w:ascii="Calibri" w:hAnsi="Calibri"/>
          <w:b w:val="0"/>
          <w:color w:val="000000"/>
          <w:sz w:val="22"/>
        </w:rPr>
        <w:t>Images of federal lease files: W-40637: 1 entries, posted through 4/26/1974; WYW-094604: 2 entries, posted through 1/11/1991; WYW-094605: 122 entries, posted through 3/7/2025; WYW-153528: 91 entries, posted through 10/7/2026; WYW-153681: 65 entries, posted through 10/7/2026.</w:t>
      </w:r>
    </w:p>
    <w:p>
      <w:pPr>
        <w:spacing w:after="160" w:before="0" w:line="240" w:lineRule="auto"/>
      </w:pPr>
      <w:r>
        <w:rPr>
          <w:rFonts w:ascii="Calibri" w:hAnsi="Calibri"/>
          <w:b w:val="0"/>
          <w:color w:val="000000"/>
          <w:sz w:val="22"/>
        </w:rPr>
        <w:t>Bureau of Land Management (MLRS) Serial Register Pages: included for W-40637, WYW-094604, WYW-094605, WYW-153528, WYW-153681, through the posted-through date shown on each federal index.</w:t>
      </w:r>
    </w:p>
    <w:p>
      <w:pPr>
        <w:spacing w:after="160" w:before="0" w:line="240" w:lineRule="auto"/>
      </w:pPr>
      <w:r>
        <w:rPr>
          <w:rFonts w:ascii="Calibri" w:hAnsi="Calibri"/>
          <w:b w:val="0"/>
          <w:color w:val="000000"/>
          <w:sz w:val="22"/>
        </w:rPr>
        <w:t>Judgment, lien, mortgage, and civil-suit search: not performed.</w:t>
      </w:r>
    </w:p>
    <w:p>
      <w:pPr>
        <w:spacing w:after="160" w:before="0" w:line="240" w:lineRule="auto"/>
      </w:pPr>
      <w:r>
        <w:rPr>
          <w:rFonts w:ascii="Calibri" w:hAnsi="Calibri"/>
          <w:b w:val="0"/>
          <w:color w:val="000000"/>
          <w:sz w:val="22"/>
        </w:rPr>
        <w:t>This abstract was prepared and made solely for the benefit of Anschutz Exploration Corporation. It is not a title opinion and it is not a guaranty of title. The information is conditioned on the accuracy of the tract indices of Johnson County, including any errors or omissions in those indices. This abstract is limited to the materials reviewed. Unknown means the examined source did not establish that fact. It is not a zero, a waiver, or a finding that no instrument exists.</w:t>
      </w:r>
    </w:p>
    <w:p>
      <w:pPr>
        <w:spacing w:after="160" w:before="0" w:line="240" w:lineRule="auto"/>
      </w:pPr>
      <w:r>
        <w:rPr>
          <w:rFonts w:ascii="Calibri" w:hAnsi="Calibri"/>
          <w:b w:val="0"/>
          <w:color w:val="000000"/>
          <w:sz w:val="22"/>
        </w:rPr>
        <w:t>Prepared on October 15, 2026, as a qualified working abstract, through the source dates shown above, by: Ryan Gille.</w:t>
      </w:r>
    </w:p>
    <w:p>
      <w:pPr>
        <w:spacing w:after="40" w:before="280" w:line="240" w:lineRule="auto"/>
      </w:pPr>
      <w:r>
        <w:rPr>
          <w:rFonts w:ascii="Calibri" w:hAnsi="Calibri"/>
          <w:b w:val="0"/>
          <w:color w:val="000000"/>
          <w:sz w:val="22"/>
        </w:rPr>
        <w:t>_________________________________</w:t>
      </w:r>
    </w:p>
    <w:p>
      <w:pPr>
        <w:spacing w:after="0" w:before="0" w:line="240" w:lineRule="auto"/>
      </w:pPr>
      <w:r>
        <w:rPr>
          <w:rFonts w:ascii="Calibri" w:hAnsi="Calibri"/>
          <w:b w:val="0"/>
          <w:color w:val="000000"/>
          <w:sz w:val="22"/>
        </w:rPr>
        <w:t>Ryan Gille</w:t>
      </w:r>
    </w:p>
    <w:p>
      <w:pPr>
        <w:spacing w:after="0" w:before="0" w:line="240" w:lineRule="auto"/>
      </w:pPr>
      <w:r>
        <w:rPr>
          <w:rFonts w:ascii="Calibri" w:hAnsi="Calibri"/>
          <w:b w:val="0"/>
          <w:color w:val="000000"/>
          <w:sz w:val="22"/>
        </w:rPr>
        <w:t>Gille Energy, LLC, Agent for</w:t>
      </w:r>
    </w:p>
    <w:p>
      <w:pPr>
        <w:spacing w:after="0" w:before="0" w:line="240" w:lineRule="auto"/>
      </w:pPr>
      <w:r>
        <w:rPr>
          <w:rFonts w:ascii="Calibri" w:hAnsi="Calibri"/>
          <w:b w:val="0"/>
          <w:color w:val="000000"/>
          <w:sz w:val="22"/>
        </w:rPr>
        <w:t>Penterra Services, LLC</w:t>
      </w:r>
    </w:p>
    <w:p>
      <w:pPr>
        <w:spacing w:after="0" w:before="0" w:line="240" w:lineRule="auto"/>
      </w:pPr>
      <w:r>
        <w:rPr>
          <w:rFonts w:ascii="Calibri" w:hAnsi="Calibri"/>
          <w:b w:val="0"/>
          <w:color w:val="000000"/>
          <w:sz w:val="22"/>
        </w:rPr>
        <w:t>15314 N. May Avenue</w:t>
      </w:r>
    </w:p>
    <w:p>
      <w:pPr>
        <w:spacing w:after="0" w:before="0" w:line="240" w:lineRule="auto"/>
      </w:pPr>
      <w:r>
        <w:rPr>
          <w:rFonts w:ascii="Calibri" w:hAnsi="Calibri"/>
          <w:b w:val="0"/>
          <w:color w:val="000000"/>
          <w:sz w:val="22"/>
        </w:rPr>
        <w:t>Edmond, OK 73013</w:t>
      </w:r>
    </w:p>
    <w:p>
      <w:pPr>
        <w:spacing w:after="160" w:before="240" w:line="240" w:lineRule="auto"/>
      </w:pPr>
      <w:r>
        <w:rPr>
          <w:rFonts w:ascii="Calibri" w:hAnsi="Calibri"/>
          <w:b w:val="0"/>
          <w:color w:val="000000"/>
          <w:sz w:val="22"/>
        </w:rPr>
        <w:t>Unsigned. Examiner acceptance, official certification, and a client release are not claimed.</w:t>
      </w:r>
    </w:p>
    <w:sectPr w:rsidR="00FC693F" w:rsidRPr="0006063C" w:rsidSect="00034616">
      <w:pgSz w:w="12240" w:h="15840"/>
      <w:pgMar w:top="1224"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