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31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31: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an unknown starting date through an official posted-through date that remains Unknown. County index entries: 4. Every fact cell in columns A through H is filled. 1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N/A. No separate federal lease index is included for this section.</w:t>
      </w:r>
    </w:p>
    <w:p>
      <w:pPr>
        <w:spacing w:after="160" w:before="0" w:line="240" w:lineRule="auto"/>
      </w:pPr>
      <w:r>
        <w:rPr>
          <w:rFonts w:ascii="Calibri" w:hAnsi="Calibri"/>
          <w:b w:val="0"/>
          <w:color w:val="000000"/>
          <w:sz w:val="22"/>
        </w:rPr>
        <w:t>Bureau of Land Management (MLRS) Serial Register Pages: N/A.</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section is a qualified partial abstract. Only the 4 source-supported county entries in the index are admitted. Additional tract-index leads are not added without an authenticated original.</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