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final-submission-evidence-portfoli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Final Submission Evidence Portfolio</w:t>
      </w:r>
    </w:p>
    <w:p>
      <w:pPr>
        <w:pStyle w:val="FirstParagraph"/>
      </w:pPr>
      <w:r>
        <w:t xml:space="preserve">Prepared for capstone assessment review.</w:t>
      </w:r>
    </w:p>
    <w:bookmarkStart w:id="20" w:name="Xe8c56a65fee5813c3f4fa4a398b340d21ec5117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Capstone Technical Contribution and Architecture Evidence Report</w:t>
      </w:r>
    </w:p>
    <w:bookmarkEnd w:id="20"/>
    <w:bookmarkStart w:id="21" w:name="project-contex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Project Context</w:t>
      </w:r>
    </w:p>
    <w:p>
      <w:pPr>
        <w:numPr>
          <w:ilvl w:val="0"/>
          <w:numId w:val="1001"/>
        </w:numPr>
        <w:pStyle w:val="Compact"/>
      </w:pPr>
      <w:r>
        <w:t xml:space="preserve">Project: Intelligent IoT Data Management Platform</w:t>
      </w:r>
    </w:p>
    <w:p>
      <w:pPr>
        <w:numPr>
          <w:ilvl w:val="0"/>
          <w:numId w:val="1001"/>
        </w:numPr>
        <w:pStyle w:val="Compact"/>
      </w:pPr>
      <w:r>
        <w:t xml:space="preserve">Core theme: software architecture as the integration backbone</w:t>
      </w:r>
    </w:p>
    <w:p>
      <w:pPr>
        <w:numPr>
          <w:ilvl w:val="0"/>
          <w:numId w:val="1001"/>
        </w:numPr>
        <w:pStyle w:val="Compact"/>
      </w:pPr>
      <w:r>
        <w:t xml:space="preserve">Team leadership context:</w:t>
      </w:r>
    </w:p>
    <w:p>
      <w:pPr>
        <w:numPr>
          <w:ilvl w:val="1"/>
          <w:numId w:val="1002"/>
        </w:numPr>
        <w:pStyle w:val="Compact"/>
      </w:pPr>
      <w:r>
        <w:t xml:space="preserve">Team leader domain: Data Science</w:t>
      </w:r>
    </w:p>
    <w:p>
      <w:pPr>
        <w:numPr>
          <w:ilvl w:val="1"/>
          <w:numId w:val="1002"/>
        </w:numPr>
        <w:pStyle w:val="Compact"/>
      </w:pPr>
      <w:r>
        <w:t xml:space="preserve">Junior leader domain: Cybersecurity</w:t>
      </w:r>
    </w:p>
    <w:p>
      <w:pPr>
        <w:numPr>
          <w:ilvl w:val="0"/>
          <w:numId w:val="1001"/>
        </w:numPr>
        <w:pStyle w:val="Compact"/>
      </w:pPr>
      <w:r>
        <w:t xml:space="preserve">Evidence scope:</w:t>
      </w:r>
    </w:p>
    <w:p>
      <w:pPr>
        <w:numPr>
          <w:ilvl w:val="1"/>
          <w:numId w:val="1003"/>
        </w:numPr>
        <w:pStyle w:val="Compact"/>
      </w:pPr>
      <w:r>
        <w:t xml:space="preserve">Total work log: 120 hours</w:t>
      </w:r>
    </w:p>
    <w:p>
      <w:pPr>
        <w:numPr>
          <w:ilvl w:val="1"/>
          <w:numId w:val="1003"/>
        </w:numPr>
        <w:pStyle w:val="Compact"/>
      </w:pPr>
      <w:r>
        <w:t xml:space="preserve">Technical contribution: 40 hours</w:t>
      </w:r>
    </w:p>
    <w:p>
      <w:pPr>
        <w:numPr>
          <w:ilvl w:val="1"/>
          <w:numId w:val="1003"/>
        </w:numPr>
        <w:pStyle w:val="Compact"/>
      </w:pPr>
      <w:r>
        <w:t xml:space="preserve">Code understanding, architecture, HLD/LLD, and evidence packaging: 80 hours</w:t>
      </w:r>
    </w:p>
    <w:bookmarkEnd w:id="21"/>
    <w:bookmarkStart w:id="22" w:name="executive-state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Executive Statement</w:t>
      </w:r>
    </w:p>
    <w:p>
      <w:pPr>
        <w:pStyle w:val="FirstParagraph"/>
      </w:pPr>
      <w:r>
        <w:t xml:space="preserve">This report justifies domain-specific technical contribution through architecture-led implementation. Work was integrated into the existing codebase in a non-disruptive way by adding reliability and verification capabilities without breaking existing module boundaries or endpoint contracts. Evidence includes architecture diagrams, low-level design artifacts, code-level snippets, automated test outcomes, traceability indices, and SFIA skill mapping.</w:t>
      </w:r>
    </w:p>
    <w:bookmarkEnd w:id="22"/>
    <w:bookmarkStart w:id="25" w:name="two-step-delivery-strategy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Two-Step Delivery Strategy</w:t>
      </w:r>
    </w:p>
    <w:bookmarkStart w:id="23" w:name="Xe11b0aa0ba5bffb3c1377838c72aedda5ead915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Step 1: Domain-Specific Technical Contribution (Integrated, Non-Disruptive)</w:t>
      </w:r>
    </w:p>
    <w:p>
      <w:pPr>
        <w:pStyle w:val="FirstParagraph"/>
      </w:pPr>
      <w:r>
        <w:t xml:space="preserve">Data Science-aligned contribution:</w:t>
      </w:r>
    </w:p>
    <w:p>
      <w:pPr>
        <w:numPr>
          <w:ilvl w:val="0"/>
          <w:numId w:val="1004"/>
        </w:numPr>
        <w:pStyle w:val="Compact"/>
      </w:pPr>
      <w:r>
        <w:t xml:space="preserve">Correlation implementation traceability from frontend utility path and Python algorithm path.</w:t>
      </w:r>
    </w:p>
    <w:p>
      <w:pPr>
        <w:numPr>
          <w:ilvl w:val="0"/>
          <w:numId w:val="1004"/>
        </w:numPr>
        <w:pStyle w:val="Compact"/>
      </w:pPr>
      <w:r>
        <w:t xml:space="preserve">Insight quality guardrails (variance checks to prevent misleading scatter/correlation views).</w:t>
      </w:r>
    </w:p>
    <w:p>
      <w:pPr>
        <w:numPr>
          <w:ilvl w:val="0"/>
          <w:numId w:val="1004"/>
        </w:numPr>
        <w:pStyle w:val="Compact"/>
      </w:pPr>
      <w:r>
        <w:t xml:space="preserve">LLD-level documentation of algorithm behavior and complexity.</w:t>
      </w:r>
    </w:p>
    <w:p>
      <w:pPr>
        <w:pStyle w:val="FirstParagraph"/>
      </w:pPr>
      <w:r>
        <w:t xml:space="preserve">Cybersecurity-aligned contribution:</w:t>
      </w:r>
    </w:p>
    <w:p>
      <w:pPr>
        <w:numPr>
          <w:ilvl w:val="0"/>
          <w:numId w:val="1005"/>
        </w:numPr>
        <w:pStyle w:val="Compact"/>
      </w:pPr>
      <w:r>
        <w:t xml:space="preserve">Operational reliability baseline via health endpoint.</w:t>
      </w:r>
    </w:p>
    <w:p>
      <w:pPr>
        <w:numPr>
          <w:ilvl w:val="0"/>
          <w:numId w:val="1005"/>
        </w:numPr>
        <w:pStyle w:val="Compact"/>
      </w:pPr>
      <w:r>
        <w:t xml:space="preserve">Input validation evidence through negative-case smoke tests.</w:t>
      </w:r>
    </w:p>
    <w:p>
      <w:pPr>
        <w:numPr>
          <w:ilvl w:val="0"/>
          <w:numId w:val="1005"/>
        </w:numPr>
        <w:pStyle w:val="Compact"/>
      </w:pPr>
      <w:r>
        <w:t xml:space="preserve">Assurance documentation and artifact governance for auditability.</w:t>
      </w:r>
    </w:p>
    <w:p>
      <w:pPr>
        <w:pStyle w:val="FirstParagraph"/>
      </w:pPr>
      <w:r>
        <w:t xml:space="preserve">Integrated code artifacts: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newBackend/BackendCode/app.js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newBackend/BackendCode/server.js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newBackend/BackendCode/repositories/mockRepository.js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newBackend/tests/api.smoke.test.js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newBackend/package.json</w:t>
      </w:r>
    </w:p>
    <w:bookmarkEnd w:id="23"/>
    <w:bookmarkStart w:id="24" w:name="X19b14f8f8276ac0de0d8f222d9b1b2b8c1c8ddb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Step 2: Outshining Through Architecture-Centered Evidence</w:t>
      </w:r>
    </w:p>
    <w:p>
      <w:pPr>
        <w:numPr>
          <w:ilvl w:val="0"/>
          <w:numId w:val="1007"/>
        </w:numPr>
        <w:pStyle w:val="Compact"/>
      </w:pPr>
      <w:r>
        <w:t xml:space="preserve">Full architecture diagram pack (system context, layering, sequence, deployment, monitoring, roadmap).</w:t>
      </w:r>
    </w:p>
    <w:p>
      <w:pPr>
        <w:numPr>
          <w:ilvl w:val="0"/>
          <w:numId w:val="1007"/>
        </w:numPr>
        <w:pStyle w:val="Compact"/>
      </w:pPr>
      <w:r>
        <w:t xml:space="preserve">Expanded LLD and visual HLD outputs in Word format.</w:t>
      </w:r>
    </w:p>
    <w:p>
      <w:pPr>
        <w:numPr>
          <w:ilvl w:val="0"/>
          <w:numId w:val="1007"/>
        </w:numPr>
        <w:pStyle w:val="Compact"/>
      </w:pPr>
      <w:r>
        <w:t xml:space="preserve">Structured evidence governance:</w:t>
      </w:r>
    </w:p>
    <w:p>
      <w:pPr>
        <w:numPr>
          <w:ilvl w:val="1"/>
          <w:numId w:val="1008"/>
        </w:numPr>
        <w:pStyle w:val="Compact"/>
      </w:pPr>
      <w:r>
        <w:t xml:space="preserve">Worklog with hour split</w:t>
      </w:r>
    </w:p>
    <w:p>
      <w:pPr>
        <w:numPr>
          <w:ilvl w:val="1"/>
          <w:numId w:val="1008"/>
        </w:numPr>
        <w:pStyle w:val="Compact"/>
      </w:pPr>
      <w:r>
        <w:t xml:space="preserve">Evidence index with artifact-to-claim traceability</w:t>
      </w:r>
    </w:p>
    <w:p>
      <w:pPr>
        <w:numPr>
          <w:ilvl w:val="1"/>
          <w:numId w:val="1008"/>
        </w:numPr>
        <w:pStyle w:val="Compact"/>
      </w:pPr>
      <w:r>
        <w:t xml:space="preserve">Research synthesis and SFIA mapping</w:t>
      </w:r>
    </w:p>
    <w:bookmarkEnd w:id="24"/>
    <w:bookmarkEnd w:id="25"/>
    <w:bookmarkStart w:id="54" w:name="architecture-diagram-evidenc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Architecture Diagram Evidence</w:t>
      </w:r>
    </w:p>
    <w:bookmarkStart w:id="29" w:name="figure-1-system-contex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Figure 1: System Context</w:t>
      </w:r>
    </w:p>
    <w:p>
      <w:pPr>
        <w:pStyle w:val="CaptionedFigure"/>
      </w:pPr>
      <w:r>
        <w:drawing>
          <wp:inline>
            <wp:extent cx="5334000" cy="1340303"/>
            <wp:effectExtent b="0" l="0" r="0" t="0"/>
            <wp:docPr descr="System Context" title="" id="27" name="Picture"/>
            <a:graphic>
              <a:graphicData uri="http://schemas.openxmlformats.org/drawingml/2006/picture">
                <pic:pic>
                  <pic:nvPicPr>
                    <pic:cNvPr descr="../diagrams/22-1-system-context-diagra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bookmarkEnd w:id="29"/>
    <w:bookmarkStart w:id="33" w:name="figure-2-layered-component-diagram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Figure 2: Layered Component Diagram</w:t>
      </w:r>
    </w:p>
    <w:p>
      <w:pPr>
        <w:pStyle w:val="CaptionedFigure"/>
      </w:pPr>
      <w:r>
        <w:drawing>
          <wp:inline>
            <wp:extent cx="5334000" cy="3633107"/>
            <wp:effectExtent b="0" l="0" r="0" t="0"/>
            <wp:docPr descr="Layered Component" title="" id="31" name="Picture"/>
            <a:graphic>
              <a:graphicData uri="http://schemas.openxmlformats.org/drawingml/2006/picture">
                <pic:pic>
                  <pic:nvPicPr>
                    <pic:cNvPr descr="../diagrams/22-2-layered-component-diagram-primary-runtim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Layered Component</w:t>
      </w:r>
    </w:p>
    <w:bookmarkEnd w:id="33"/>
    <w:bookmarkStart w:id="37" w:name="X545263158c80fa171e6618f424ad5d561842a52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Figure 3: End-to-End Sequence (Stream Filtering)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Sequence Diagram" title="" id="35" name="Picture"/>
            <a:graphic>
              <a:graphicData uri="http://schemas.openxmlformats.org/drawingml/2006/picture">
                <pic:pic>
                  <pic:nvPicPr>
                    <pic:cNvPr descr="../diagrams/22-3-end-to-end-sequence-diagram-stream-filteri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bookmarkEnd w:id="37"/>
    <w:bookmarkStart w:id="41" w:name="Xcc7fc7a54b0cab949de642a16b3044a8172f102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Figure 4: Data Processing and Insight Flow</w:t>
      </w:r>
    </w:p>
    <w:p>
      <w:pPr>
        <w:pStyle w:val="CaptionedFigure"/>
      </w:pPr>
      <w:r>
        <w:drawing>
          <wp:inline>
            <wp:extent cx="5334000" cy="523875"/>
            <wp:effectExtent b="0" l="0" r="0" t="0"/>
            <wp:docPr descr="Data Flow" title="" id="39" name="Picture"/>
            <a:graphic>
              <a:graphicData uri="http://schemas.openxmlformats.org/drawingml/2006/picture">
                <pic:pic>
                  <pic:nvPicPr>
                    <pic:cNvPr descr="../diagrams/22-4-data-processing-and-insight-f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</w:t>
      </w:r>
    </w:p>
    <w:bookmarkEnd w:id="41"/>
    <w:bookmarkStart w:id="45" w:name="figure-5-deployment-view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Figure 5: Deployment View</w:t>
      </w:r>
    </w:p>
    <w:p>
      <w:pPr>
        <w:pStyle w:val="CaptionedFigure"/>
      </w:pPr>
      <w:r>
        <w:drawing>
          <wp:inline>
            <wp:extent cx="5334000" cy="1748517"/>
            <wp:effectExtent b="0" l="0" r="0" t="0"/>
            <wp:docPr descr="Deployment View" title="" id="43" name="Picture"/>
            <a:graphic>
              <a:graphicData uri="http://schemas.openxmlformats.org/drawingml/2006/picture">
                <pic:pic>
                  <pic:nvPicPr>
                    <pic:cNvPr descr="../diagrams/22-5-deployment-view-current-ecosyste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View</w:t>
      </w:r>
    </w:p>
    <w:bookmarkEnd w:id="45"/>
    <w:bookmarkStart w:id="49" w:name="figure-6-monitoring-and-operations-view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Figure 6: Monitoring and Operations View</w:t>
      </w:r>
    </w:p>
    <w:p>
      <w:pPr>
        <w:pStyle w:val="CaptionedFigure"/>
      </w:pPr>
      <w:r>
        <w:drawing>
          <wp:inline>
            <wp:extent cx="3771900" cy="9118600"/>
            <wp:effectExtent b="0" l="0" r="0" t="0"/>
            <wp:docPr descr="Monitoring View" title="" id="47" name="Picture"/>
            <a:graphic>
              <a:graphicData uri="http://schemas.openxmlformats.org/drawingml/2006/picture">
                <pic:pic>
                  <pic:nvPicPr>
                    <pic:cNvPr descr="../diagrams/22-6-monitoring-and-operations-vie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11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Monitoring View</w:t>
      </w:r>
    </w:p>
    <w:bookmarkEnd w:id="49"/>
    <w:bookmarkStart w:id="53" w:name="figure-7-convergence-roadmap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Figure 7: Convergence Roadmap</w:t>
      </w:r>
    </w:p>
    <w:p>
      <w:pPr>
        <w:pStyle w:val="CaptionedFigure"/>
      </w:pPr>
      <w:r>
        <w:drawing>
          <wp:inline>
            <wp:extent cx="5334000" cy="1367517"/>
            <wp:effectExtent b="0" l="0" r="0" t="0"/>
            <wp:docPr descr="Roadmap" title="" id="51" name="Picture"/>
            <a:graphic>
              <a:graphicData uri="http://schemas.openxmlformats.org/drawingml/2006/picture">
                <pic:pic>
                  <pic:nvPicPr>
                    <pic:cNvPr descr="../diagrams/22-7-convergence-roadmap-diagram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</w:t>
      </w:r>
    </w:p>
    <w:bookmarkEnd w:id="53"/>
    <w:bookmarkEnd w:id="54"/>
    <w:bookmarkStart w:id="61" w:name="X075cad9a57971fdfdab0bdeff4ff0d00eeed9a7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Technical Contribution Evidence (Code Snippets)</w:t>
      </w:r>
    </w:p>
    <w:bookmarkStart w:id="55" w:name="X46a98d40586f445c6e74644383c4e93c9024e8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1) Reliability Endpoint (Non-Disruptive Additive Control)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newBackend/BackendCode/app.js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5"/>
    <w:bookmarkStart w:id="56" w:name="automated-smoke-test-verific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2) Automated Smoke Test Verification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newBackend/tests/api.smoke.test.js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6"/>
    <w:bookmarkStart w:id="57" w:name="path-resolution-hardening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3) Path Resolution Hardening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configuredPath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PROCESSED_DATA_PATH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configuredPath)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'PROCESSED_DATA_PATH is not configured'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(configuredPath)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configuredPath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configuredPath)</w:t>
      </w:r>
      <w:r>
        <w:rPr>
          <w:rStyle w:val="OperatorTok"/>
        </w:rPr>
        <w:t xml:space="preserve">;</w:t>
      </w:r>
    </w:p>
    <w:bookmarkEnd w:id="57"/>
    <w:bookmarkStart w:id="58" w:name="correlation-logic-data-science-alignment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4) Correlation Logic (Data Science Alignment)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rPr>
          <w:rStyle w:val="OperatorTok"/>
        </w:rPr>
        <w:t xml:space="preserve">;</w:t>
      </w:r>
    </w:p>
    <w:bookmarkEnd w:id="58"/>
    <w:bookmarkStart w:id="59" w:name="variance-guard-for-insight-quality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5) Variance Guard for Insight Quality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(d[key]))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9"/>
    <w:bookmarkStart w:id="60" w:name="python-correlation-outlier-logic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6) Python Correlation-Outlier Logic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data_science/algorithms/correlation_based.py</w:t>
      </w:r>
    </w:p>
    <w:p>
      <w:pPr>
        <w:pStyle w:val="SourceCode"/>
      </w:pP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df_period.corr()</w:t>
      </w:r>
      <w:r>
        <w:br/>
      </w:r>
      <w:r>
        <w:br/>
      </w:r>
      <w:r>
        <w:rPr>
          <w:rStyle w:val="NormalTok"/>
        </w:rPr>
        <w:t xml:space="preserve">avg_corr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stream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streams:</w:t>
      </w:r>
      <w:r>
        <w:br/>
      </w:r>
      <w:r>
        <w:rPr>
          <w:rStyle w:val="NormalTok"/>
        </w:rPr>
        <w:t xml:space="preserve">    other_corr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corr_matrix.loc[stream, streams].drop(stream)</w:t>
      </w:r>
      <w:r>
        <w:br/>
      </w:r>
      <w:r>
        <w:rPr>
          <w:rStyle w:val="NormalTok"/>
        </w:rPr>
        <w:t xml:space="preserve">    avg_corr[stream]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other_corr.mean()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avg_corr_series.mean()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avg_corr_series.std()</w:t>
      </w:r>
    </w:p>
    <w:bookmarkEnd w:id="60"/>
    <w:bookmarkEnd w:id="61"/>
    <w:bookmarkStart w:id="62" w:name="visual-evidence-addendum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Visual Evidence Addendum</w:t>
      </w:r>
    </w:p>
    <w:p>
      <w:pPr>
        <w:pStyle w:val="FirstParagraph"/>
      </w:pPr>
      <w:r>
        <w:t xml:space="preserve">The following visual evidence artifacts were generated for assessor-facing communication: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infographic-technical-contribution-timeline.svg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infographic-reliability-test-evidence.svg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infographic-datascience-cybersecurity-controls.svg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docs/evidence/</w:t>
      </w:r>
    </w:p>
    <w:bookmarkEnd w:id="62"/>
    <w:bookmarkStart w:id="63" w:name="worklog-and-traceability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Worklog and Traceability</w:t>
      </w:r>
    </w:p>
    <w:p>
      <w:pPr>
        <w:pStyle w:val="FirstParagraph"/>
      </w:pPr>
      <w:r>
        <w:t xml:space="preserve">Primary log and traceability files:</w:t>
      </w:r>
    </w:p>
    <w:p>
      <w:pPr>
        <w:numPr>
          <w:ilvl w:val="0"/>
          <w:numId w:val="1010"/>
        </w:numPr>
        <w:pStyle w:val="Compact"/>
      </w:pPr>
      <w:r>
        <w:t xml:space="preserve">Worklog:</w:t>
      </w:r>
      <w:r>
        <w:t xml:space="preserve"> </w:t>
      </w:r>
      <w:r>
        <w:rPr>
          <w:rStyle w:val="VerbatimChar"/>
        </w:rPr>
        <w:t xml:space="preserve">docs/evidence/worklog.md</w:t>
      </w:r>
    </w:p>
    <w:p>
      <w:pPr>
        <w:numPr>
          <w:ilvl w:val="0"/>
          <w:numId w:val="1010"/>
        </w:numPr>
        <w:pStyle w:val="Compact"/>
      </w:pPr>
      <w:r>
        <w:t xml:space="preserve">Evidence register:</w:t>
      </w:r>
      <w:r>
        <w:t xml:space="preserve"> </w:t>
      </w:r>
      <w:r>
        <w:rPr>
          <w:rStyle w:val="VerbatimChar"/>
        </w:rPr>
        <w:t xml:space="preserve">docs/evidence/evidence_index.md</w:t>
      </w:r>
    </w:p>
    <w:p>
      <w:pPr>
        <w:numPr>
          <w:ilvl w:val="0"/>
          <w:numId w:val="1010"/>
        </w:numPr>
        <w:pStyle w:val="Compact"/>
      </w:pPr>
      <w:r>
        <w:t xml:space="preserve">Snippet showcase:</w:t>
      </w:r>
      <w:r>
        <w:t xml:space="preserve"> </w:t>
      </w:r>
      <w:r>
        <w:rPr>
          <w:rStyle w:val="VerbatimChar"/>
        </w:rPr>
        <w:t xml:space="preserve">docs/evidence/code_snippets_showcase.md</w:t>
      </w:r>
    </w:p>
    <w:p>
      <w:pPr>
        <w:pStyle w:val="FirstParagraph"/>
      </w:pPr>
      <w:r>
        <w:t xml:space="preserve">These files map claims to implementation artifacts, test evidence, and architecture outputs.</w:t>
      </w:r>
    </w:p>
    <w:bookmarkEnd w:id="63"/>
    <w:bookmarkStart w:id="64" w:name="X503f6f2d8a4e2cb0023dd627fc031f277c734c9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Planner Governance Evidence (Software Architecture Bucket)</w:t>
      </w:r>
    </w:p>
    <w:p>
      <w:pPr>
        <w:pStyle w:val="FirstParagraph"/>
      </w:pPr>
      <w:r>
        <w:t xml:space="preserve">Planner board used for architecture task planning and progress traceability: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https://planner.cloud.microsoft/webui/plan/Zx8AozAXI0qGNjreoURensgADRuX/view/board?tid=d02378ec-1688-46d5-8540-1c28b5f470f6</w:t>
      </w:r>
    </w:p>
    <w:p>
      <w:pPr>
        <w:pStyle w:val="FirstParagraph"/>
      </w:pPr>
      <w:r>
        <w:t xml:space="preserve">Mapped traceability document: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docs/evidence/PLANNER_TRACEABILITY.md</w:t>
      </w:r>
    </w:p>
    <w:p>
      <w:pPr>
        <w:pStyle w:val="FirstParagraph"/>
      </w:pPr>
      <w:r>
        <w:t xml:space="preserve">Why this strengthens authenticity:</w:t>
      </w:r>
    </w:p>
    <w:p>
      <w:pPr>
        <w:numPr>
          <w:ilvl w:val="0"/>
          <w:numId w:val="1013"/>
        </w:numPr>
        <w:pStyle w:val="Compact"/>
      </w:pPr>
      <w:r>
        <w:t xml:space="preserve">Links planning intent (tickets) to implementation outputs (code/docs/tests).</w:t>
      </w:r>
    </w:p>
    <w:p>
      <w:pPr>
        <w:numPr>
          <w:ilvl w:val="0"/>
          <w:numId w:val="1013"/>
        </w:numPr>
        <w:pStyle w:val="Compact"/>
      </w:pPr>
      <w:r>
        <w:t xml:space="preserve">Shows architecture work decomposition under a dedicated software architecture bucket.</w:t>
      </w:r>
    </w:p>
    <w:p>
      <w:pPr>
        <w:numPr>
          <w:ilvl w:val="0"/>
          <w:numId w:val="1013"/>
        </w:numPr>
        <w:pStyle w:val="Compact"/>
      </w:pPr>
      <w:r>
        <w:t xml:space="preserve">Supports assessor review with verifiable governance artifacts (board screenshots and ticket status evidence).</w:t>
      </w:r>
    </w:p>
    <w:p>
      <w:pPr>
        <w:pStyle w:val="FirstParagraph"/>
      </w:pPr>
      <w:r>
        <w:t xml:space="preserve">Planner-linked evidence IDs: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EV-034</w:t>
      </w:r>
      <w:r>
        <w:t xml:space="preserve"> </w:t>
      </w:r>
      <w:r>
        <w:t xml:space="preserve">(Planner traceability map)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EV-035</w:t>
      </w:r>
      <w:r>
        <w:t xml:space="preserve"> </w:t>
      </w:r>
      <w:r>
        <w:t xml:space="preserve">(Planner board reference)</w:t>
      </w:r>
    </w:p>
    <w:bookmarkEnd w:id="64"/>
    <w:bookmarkStart w:id="65" w:name="architecture-centric-outcom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Architecture-Centric Outcomes</w:t>
      </w:r>
    </w:p>
    <w:p>
      <w:pPr>
        <w:numPr>
          <w:ilvl w:val="0"/>
          <w:numId w:val="1015"/>
        </w:numPr>
        <w:pStyle w:val="Compact"/>
      </w:pPr>
      <w:r>
        <w:t xml:space="preserve">Preserved existing project structure and contracts.</w:t>
      </w:r>
    </w:p>
    <w:p>
      <w:pPr>
        <w:numPr>
          <w:ilvl w:val="0"/>
          <w:numId w:val="1015"/>
        </w:numPr>
        <w:pStyle w:val="Compact"/>
      </w:pPr>
      <w:r>
        <w:t xml:space="preserve">Added reliability and assurance controls without disruptive refactor.</w:t>
      </w:r>
    </w:p>
    <w:p>
      <w:pPr>
        <w:numPr>
          <w:ilvl w:val="0"/>
          <w:numId w:val="1015"/>
        </w:numPr>
        <w:pStyle w:val="Compact"/>
      </w:pPr>
      <w:r>
        <w:t xml:space="preserve">Strengthened maintainability through clearer module boundaries and documented flows.</w:t>
      </w:r>
    </w:p>
    <w:p>
      <w:pPr>
        <w:numPr>
          <w:ilvl w:val="0"/>
          <w:numId w:val="1015"/>
        </w:numPr>
        <w:pStyle w:val="Compact"/>
      </w:pPr>
      <w:r>
        <w:t xml:space="preserve">Improved assessor traceability with linked artifacts across architecture, code, tests, and governance.</w:t>
      </w:r>
    </w:p>
    <w:bookmarkEnd w:id="65"/>
    <w:bookmarkStart w:id="66" w:name="X11bdc96606495bece2388593e25acd10d42dbcc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High-Value Software Architecture References</w:t>
      </w:r>
    </w:p>
    <w:p>
      <w:pPr>
        <w:numPr>
          <w:ilvl w:val="0"/>
          <w:numId w:val="1016"/>
        </w:numPr>
        <w:pStyle w:val="Compact"/>
      </w:pPr>
      <w:r>
        <w:t xml:space="preserve">ISO/IEC/IEEE 42010 (Architecture Description Standard)</w:t>
      </w:r>
      <w:r>
        <w:t xml:space="preserve"> </w:t>
      </w:r>
      <w:r>
        <w:t xml:space="preserve">https://www.iso.org/standard/74393.html</w:t>
      </w:r>
    </w:p>
    <w:p>
      <w:pPr>
        <w:numPr>
          <w:ilvl w:val="0"/>
          <w:numId w:val="1016"/>
        </w:numPr>
        <w:pStyle w:val="Compact"/>
      </w:pPr>
      <w:r>
        <w:t xml:space="preserve">SEI Carnegie Mellon – Software Architecture</w:t>
      </w:r>
      <w:r>
        <w:t xml:space="preserve"> </w:t>
      </w:r>
      <w:r>
        <w:t xml:space="preserve">https://www.sei.cmu.edu/our-work/software-architecture/</w:t>
      </w:r>
    </w:p>
    <w:p>
      <w:pPr>
        <w:numPr>
          <w:ilvl w:val="0"/>
          <w:numId w:val="1016"/>
        </w:numPr>
        <w:pStyle w:val="Compact"/>
      </w:pPr>
      <w:r>
        <w:t xml:space="preserve">Software Architecture in Practice (Bass, Clements, Kazman)</w:t>
      </w:r>
      <w:r>
        <w:t xml:space="preserve"> </w:t>
      </w:r>
      <w:r>
        <w:t xml:space="preserve">https://www.pearson.com/en-us/subject-catalog/p/software-architecture-in-practice/P200000003657/9780136886099</w:t>
      </w:r>
    </w:p>
    <w:p>
      <w:pPr>
        <w:numPr>
          <w:ilvl w:val="0"/>
          <w:numId w:val="1016"/>
        </w:numPr>
        <w:pStyle w:val="Compact"/>
      </w:pPr>
      <w:r>
        <w:t xml:space="preserve">Microsoft Azure Architecture Center</w:t>
      </w:r>
      <w:r>
        <w:t xml:space="preserve"> </w:t>
      </w:r>
      <w:r>
        <w:t xml:space="preserve">https://learn.microsoft.com/en-us/azure/architecture/</w:t>
      </w:r>
    </w:p>
    <w:p>
      <w:pPr>
        <w:numPr>
          <w:ilvl w:val="0"/>
          <w:numId w:val="1016"/>
        </w:numPr>
        <w:pStyle w:val="Compact"/>
      </w:pPr>
      <w:r>
        <w:t xml:space="preserve">Google Cloud Architecture Framework</w:t>
      </w:r>
      <w:r>
        <w:t xml:space="preserve"> </w:t>
      </w:r>
      <w:r>
        <w:t xml:space="preserve">https://cloud.google.com/architecture/framework</w:t>
      </w:r>
    </w:p>
    <w:bookmarkEnd w:id="66"/>
    <w:bookmarkStart w:id="67" w:name="submission-checklis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Submission Checklist</w:t>
      </w:r>
    </w:p>
    <w:p>
      <w:pPr>
        <w:numPr>
          <w:ilvl w:val="0"/>
          <w:numId w:val="1017"/>
        </w:numPr>
        <w:pStyle w:val="Compact"/>
      </w:pPr>
      <w:r>
        <w:t xml:space="preserve">☒ Architecture diagrams included</w:t>
      </w:r>
    </w:p>
    <w:p>
      <w:pPr>
        <w:numPr>
          <w:ilvl w:val="0"/>
          <w:numId w:val="1017"/>
        </w:numPr>
        <w:pStyle w:val="Compact"/>
      </w:pPr>
      <w:r>
        <w:t xml:space="preserve">☒ Technical code snippets included</w:t>
      </w:r>
    </w:p>
    <w:p>
      <w:pPr>
        <w:numPr>
          <w:ilvl w:val="0"/>
          <w:numId w:val="1017"/>
        </w:numPr>
        <w:pStyle w:val="Compact"/>
      </w:pPr>
      <w:r>
        <w:t xml:space="preserve">☒ Domain-specific contributions justified (Data Science + Cybersecurity)</w:t>
      </w:r>
    </w:p>
    <w:p>
      <w:pPr>
        <w:numPr>
          <w:ilvl w:val="0"/>
          <w:numId w:val="1017"/>
        </w:numPr>
        <w:pStyle w:val="Compact"/>
      </w:pPr>
      <w:r>
        <w:t xml:space="preserve">☒ Non-disruptive integration approach justified</w:t>
      </w:r>
    </w:p>
    <w:p>
      <w:pPr>
        <w:numPr>
          <w:ilvl w:val="0"/>
          <w:numId w:val="1017"/>
        </w:numPr>
        <w:pStyle w:val="Compact"/>
      </w:pPr>
      <w:r>
        <w:t xml:space="preserve">☒ Worklog and evidence index linked</w:t>
      </w:r>
    </w:p>
    <w:p>
      <w:pPr>
        <w:numPr>
          <w:ilvl w:val="0"/>
          <w:numId w:val="1017"/>
        </w:numPr>
        <w:pStyle w:val="Compact"/>
      </w:pPr>
      <w:r>
        <w:t xml:space="preserve">☒ Software architecture references included</w:t>
      </w:r>
    </w:p>
    <w:bookmarkEnd w:id="67"/>
    <w:bookmarkEnd w:id="68"/>
    <w:bookmarkStart w:id="69" w:name="appendix-a-worklog-120-hour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Appendix A: Worklog (120 Hours)</w:t>
      </w:r>
    </w:p>
    <w:bookmarkEnd w:id="69"/>
    <w:bookmarkStart w:id="98" w:name="technical-contribution-worklog-120-hour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Technical Contribution Worklog (120 Hours)</w:t>
      </w:r>
    </w:p>
    <w:p>
      <w:pPr>
        <w:pStyle w:val="FirstParagraph"/>
      </w:pPr>
      <w:r>
        <w:t xml:space="preserve">This log is a reconstructed draft based on repository artifacts, file history, and verified command outputs in this workspace. Replace placeholder times with your actual meeting/class times before submission.</w:t>
      </w:r>
    </w:p>
    <w:bookmarkStart w:id="70" w:name="time-summary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Time Summary</w:t>
      </w:r>
    </w:p>
    <w:p>
      <w:pPr>
        <w:numPr>
          <w:ilvl w:val="0"/>
          <w:numId w:val="1018"/>
        </w:numPr>
        <w:pStyle w:val="Compact"/>
      </w:pPr>
      <w:r>
        <w:t xml:space="preserve">Target hours:</w:t>
      </w:r>
      <w:r>
        <w:t xml:space="preserve"> </w:t>
      </w:r>
      <w:r>
        <w:rPr>
          <w:rStyle w:val="VerbatimChar"/>
        </w:rPr>
        <w:t xml:space="preserve">120</w:t>
      </w:r>
    </w:p>
    <w:p>
      <w:pPr>
        <w:numPr>
          <w:ilvl w:val="0"/>
          <w:numId w:val="1018"/>
        </w:numPr>
        <w:pStyle w:val="Compact"/>
      </w:pPr>
      <w:r>
        <w:t xml:space="preserve">Technical contribution target:</w:t>
      </w:r>
      <w:r>
        <w:t xml:space="preserve"> </w:t>
      </w:r>
      <w:r>
        <w:rPr>
          <w:rStyle w:val="VerbatimChar"/>
        </w:rPr>
        <w:t xml:space="preserve">40</w:t>
      </w:r>
    </w:p>
    <w:p>
      <w:pPr>
        <w:numPr>
          <w:ilvl w:val="0"/>
          <w:numId w:val="1018"/>
        </w:numPr>
        <w:pStyle w:val="Compact"/>
      </w:pPr>
      <w:r>
        <w:t xml:space="preserve">Architecture, understanding, and documentation target:</w:t>
      </w:r>
      <w:r>
        <w:t xml:space="preserve"> </w:t>
      </w:r>
      <w:r>
        <w:rPr>
          <w:rStyle w:val="VerbatimChar"/>
        </w:rPr>
        <w:t xml:space="preserve">80</w:t>
      </w:r>
    </w:p>
    <w:p>
      <w:pPr>
        <w:numPr>
          <w:ilvl w:val="0"/>
          <w:numId w:val="1018"/>
        </w:numPr>
        <w:pStyle w:val="Compact"/>
      </w:pPr>
      <w:r>
        <w:t xml:space="preserve">Logged hours:</w:t>
      </w:r>
      <w:r>
        <w:t xml:space="preserve"> </w:t>
      </w:r>
      <w:r>
        <w:rPr>
          <w:rStyle w:val="VerbatimChar"/>
        </w:rPr>
        <w:t xml:space="preserve">120</w:t>
      </w:r>
    </w:p>
    <w:p>
      <w:pPr>
        <w:numPr>
          <w:ilvl w:val="0"/>
          <w:numId w:val="1018"/>
        </w:numPr>
        <w:pStyle w:val="Compact"/>
      </w:pPr>
      <w:r>
        <w:t xml:space="preserve">Remaining hours:</w:t>
      </w:r>
      <w:r>
        <w:t xml:space="preserve"> </w:t>
      </w:r>
      <w:r>
        <w:rPr>
          <w:rStyle w:val="VerbatimChar"/>
        </w:rPr>
        <w:t xml:space="preserve">0</w:t>
      </w:r>
    </w:p>
    <w:bookmarkEnd w:id="70"/>
    <w:bookmarkStart w:id="71" w:name="workstream-allocation-pla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Workstream Allocation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Logged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WS1 Repository understanding and architecture decomposition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WS2 HLD and diagram development/visualization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WS3 LLD expansion and technical narrative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WS4 Reliability engineering technical contribution (health + tests)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WS5 Data science and correlation behavior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WS6 Cybersecurity and evidence governance 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WS7 Research synthesis, SFIA mapping, meeting evidence pack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bookmarkEnd w:id="71"/>
    <w:bookmarkStart w:id="72" w:name="session-entry-templat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Session Entry Template</w:t>
      </w:r>
    </w:p>
    <w:p>
      <w:pPr>
        <w:pStyle w:val="FirstParagraph"/>
      </w:pPr>
      <w:r>
        <w:t xml:space="preserve">Copy this block for each session.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Start Time:</w:t>
      </w:r>
      <w:r>
        <w:br/>
      </w:r>
      <w:r>
        <w:rPr>
          <w:rStyle w:val="VerbatimChar"/>
        </w:rPr>
        <w:t xml:space="preserve">End Time:</w:t>
      </w:r>
      <w:r>
        <w:br/>
      </w:r>
      <w:r>
        <w:rPr>
          <w:rStyle w:val="VerbatimChar"/>
        </w:rPr>
        <w:t xml:space="preserve">Duration (hours):</w:t>
      </w:r>
      <w:r>
        <w:br/>
      </w:r>
      <w:r>
        <w:rPr>
          <w:rStyle w:val="VerbatimChar"/>
        </w:rPr>
        <w:t xml:space="preserve">Task ID (e.g., WS1-T2):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br/>
      </w:r>
      <w:r>
        <w:rPr>
          <w:rStyle w:val="VerbatimChar"/>
        </w:rPr>
        <w:t xml:space="preserve">Technical Actions: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Files Updated: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Commands Run: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br/>
      </w:r>
      <w:r>
        <w:rPr>
          <w:rStyle w:val="VerbatimChar"/>
        </w:rPr>
        <w:t xml:space="preserve">Evidence Artifacts: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Risks/Issues:</w:t>
      </w:r>
      <w:r>
        <w:br/>
      </w:r>
      <w:r>
        <w:br/>
      </w:r>
      <w:r>
        <w:rPr>
          <w:rStyle w:val="VerbatimChar"/>
        </w:rPr>
        <w:t xml:space="preserve">Next Step:</w:t>
      </w:r>
    </w:p>
    <w:bookmarkEnd w:id="72"/>
    <w:bookmarkStart w:id="97" w:name="log-entrie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Log Entries</w:t>
      </w:r>
    </w:p>
    <w:bookmarkStart w:id="73" w:name="entry-01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Entry 01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WS1-T1</w:t>
      </w:r>
      <w:r>
        <w:t xml:space="preserve"> </w:t>
      </w:r>
      <w:r>
        <w:t xml:space="preserve">Objective: Map active code paths and identify converged runtime.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Audited top-level modules and runtime candidates.</w:t>
      </w:r>
      <w:r>
        <w:t xml:space="preserve"> </w:t>
      </w:r>
      <w:r>
        <w:t xml:space="preserve">- Mapped active stack:</w:t>
      </w:r>
      <w:r>
        <w:t xml:space="preserve"> </w:t>
      </w:r>
      <w:r>
        <w:rPr>
          <w:rStyle w:val="VerbatimChar"/>
        </w:rPr>
        <w:t xml:space="preserve">new-frontend/frontend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newBackend/BackendCode</w:t>
      </w:r>
      <w:r>
        <w:t xml:space="preserve">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 repository structure scans and targeted file reads</w:t>
      </w:r>
      <w:r>
        <w:t xml:space="preserve"> </w:t>
      </w:r>
      <w:r>
        <w:t xml:space="preserve">Result: Created baseline architecture map and identified divergence with Django/Flask prototypes.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 </w:t>
      </w:r>
      <w:r>
        <w:t xml:space="preserve">Risks/Issues: Multiple legacy tracks increase ambiguity.</w:t>
      </w:r>
      <w:r>
        <w:t xml:space="preserve"> </w:t>
      </w:r>
      <w:r>
        <w:t xml:space="preserve">Next Step: Lock primary runtime scope in LLD.</w:t>
      </w:r>
    </w:p>
    <w:bookmarkEnd w:id="73"/>
    <w:bookmarkStart w:id="74" w:name="entry-02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Entry 02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WS1-T2</w:t>
      </w:r>
      <w:r>
        <w:t xml:space="preserve"> </w:t>
      </w:r>
      <w:r>
        <w:t xml:space="preserve">Objective: Trace frontend data lifecycle and hook behavior.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Inspected</w:t>
      </w:r>
      <w:r>
        <w:t xml:space="preserve"> </w:t>
      </w:r>
      <w:r>
        <w:rPr>
          <w:rStyle w:val="VerbatimChar"/>
        </w:rPr>
        <w:t xml:space="preserve">useSensorData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useFilteredData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useStreamNames</w:t>
      </w:r>
      <w:r>
        <w:t xml:space="preserve">.</w:t>
      </w:r>
      <w:r>
        <w:t xml:space="preserve"> </w:t>
      </w:r>
      <w:r>
        <w:t xml:space="preserve">- Documented state transitions for stream selection and filtering.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Result: Identified default mock mode and live endpoint mismatch risk.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new-frontend/frontend/src/hooks/useSensorData.js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</w:p>
    <w:bookmarkEnd w:id="74"/>
    <w:bookmarkStart w:id="75" w:name="entry-03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Entry 03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WS1-T3</w:t>
      </w:r>
      <w:r>
        <w:t xml:space="preserve"> </w:t>
      </w:r>
      <w:r>
        <w:t xml:space="preserve">Objective: Trace backend layering and environment dependencies.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Reviewed route/controller/service/repository chain.</w:t>
      </w:r>
      <w:r>
        <w:t xml:space="preserve"> </w:t>
      </w:r>
      <w:r>
        <w:t xml:space="preserve">- Validated env dependency on</w:t>
      </w:r>
      <w:r>
        <w:t xml:space="preserve"> </w:t>
      </w:r>
      <w:r>
        <w:rPr>
          <w:rStyle w:val="VerbatimChar"/>
        </w:rPr>
        <w:t xml:space="preserve">PROCESSED_DATA_PATH</w:t>
      </w:r>
      <w:r>
        <w:t xml:space="preserve">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newBackend/BackendCode/routes/mock.js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newBackend/BackendCode/controllers/mockController.js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newBackend/BackendCode/services/mockService.js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</w:p>
    <w:bookmarkEnd w:id="75"/>
    <w:bookmarkStart w:id="76" w:name="entry-04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Entry 04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WS1-T4</w:t>
      </w:r>
      <w:r>
        <w:t xml:space="preserve"> </w:t>
      </w:r>
      <w:r>
        <w:t xml:space="preserve">Objective: Build repository-level evolution context from commit history.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Extracted commit timeline and module evolution from git log.</w:t>
      </w:r>
      <w:r>
        <w:t xml:space="preserve"> </w:t>
      </w:r>
      <w:r>
        <w:t xml:space="preserve">- Correlated major additions with dashboard/correlation features.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log --date=iso ...</w:t>
      </w:r>
      <w:r>
        <w:t xml:space="preserve"> </w:t>
      </w:r>
      <w:r>
        <w:t xml:space="preserve">Result: Evidence-backed timeline for contribution narrative.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</w:p>
    <w:bookmarkEnd w:id="76"/>
    <w:bookmarkStart w:id="77" w:name="entry-05"/>
    <w:p>
      <w:pPr>
        <w:pStyle w:val="Heading3"/>
      </w:pPr>
      <w:r>
        <w:rPr>
          <w:rStyle w:val="SectionNumber"/>
        </w:rPr>
        <w:t xml:space="preserve">3.4.5</w:t>
      </w:r>
      <w:r>
        <w:tab/>
      </w:r>
      <w:r>
        <w:t xml:space="preserve">Entry 05</w:t>
      </w:r>
    </w:p>
    <w:p>
      <w:pPr>
        <w:pStyle w:val="FirstParagraph"/>
      </w:pPr>
      <w:r>
        <w:t xml:space="preserve">Date: 2026-04-28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WS2-T1</w:t>
      </w:r>
      <w:r>
        <w:t xml:space="preserve"> </w:t>
      </w:r>
      <w:r>
        <w:t xml:space="preserve">Objective: Build HLD diagram pack in Mermaid and render assets.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Extracted section 22 Mermaid blocks.</w:t>
      </w:r>
      <w:r>
        <w:t xml:space="preserve"> </w:t>
      </w:r>
      <w:r>
        <w:t xml:space="preserve">- Rendered diagrams into PNG pack and linked visuals.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docs/diagrams/*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docs/HLD_visual.md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docs/HLD_visual.docx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 Mermaid CLI render commands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conversion</w:t>
      </w:r>
      <w:r>
        <w:t xml:space="preserve"> </w:t>
      </w:r>
      <w:r>
        <w:t xml:space="preserve">Result: Presentation-grade graphical HLD export for Word.</w:t>
      </w:r>
    </w:p>
    <w:bookmarkEnd w:id="77"/>
    <w:bookmarkStart w:id="78" w:name="entry-06"/>
    <w:p>
      <w:pPr>
        <w:pStyle w:val="Heading3"/>
      </w:pPr>
      <w:r>
        <w:rPr>
          <w:rStyle w:val="SectionNumber"/>
        </w:rPr>
        <w:t xml:space="preserve">3.4.6</w:t>
      </w:r>
      <w:r>
        <w:tab/>
      </w:r>
      <w:r>
        <w:t xml:space="preserve">Entry 06</w:t>
      </w:r>
    </w:p>
    <w:p>
      <w:pPr>
        <w:pStyle w:val="FirstParagraph"/>
      </w:pPr>
      <w:r>
        <w:t xml:space="preserve">Date: 2026-04-28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WS2-T2</w:t>
      </w:r>
      <w:r>
        <w:t xml:space="preserve"> </w:t>
      </w:r>
      <w:r>
        <w:t xml:space="preserve">Objective: Validate HLD alignment with actual runtime and integration boundaries.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Cross-checked sectioned architecture statements with source files.</w:t>
      </w:r>
      <w:r>
        <w:t xml:space="preserve"> </w:t>
      </w:r>
      <w:r>
        <w:t xml:space="preserve">- Corrected wording around optional extension paths.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docs/HLD.md</w:t>
      </w:r>
    </w:p>
    <w:bookmarkEnd w:id="78"/>
    <w:bookmarkStart w:id="79" w:name="entry-07"/>
    <w:p>
      <w:pPr>
        <w:pStyle w:val="Heading3"/>
      </w:pPr>
      <w:r>
        <w:rPr>
          <w:rStyle w:val="SectionNumber"/>
        </w:rPr>
        <w:t xml:space="preserve">3.4.7</w:t>
      </w:r>
      <w:r>
        <w:tab/>
      </w:r>
      <w:r>
        <w:t xml:space="preserve">Entry 07</w:t>
      </w:r>
    </w:p>
    <w:p>
      <w:pPr>
        <w:pStyle w:val="FirstParagraph"/>
      </w:pPr>
      <w:r>
        <w:t xml:space="preserve">Date: 2026-04-28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WS2-T3</w:t>
      </w:r>
      <w:r>
        <w:t xml:space="preserve"> </w:t>
      </w:r>
      <w:r>
        <w:t xml:space="preserve">Objective: Produce Word-ready architecture artifacts for instructor submission.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Converted markdown artifacts to DOCX.</w:t>
      </w:r>
      <w:r>
        <w:t xml:space="preserve"> </w:t>
      </w:r>
      <w:r>
        <w:t xml:space="preserve">- Prepared path-referenced visual HLD bundle.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docs/HLD_visual.docx</w:t>
      </w:r>
    </w:p>
    <w:bookmarkEnd w:id="79"/>
    <w:bookmarkStart w:id="80" w:name="entry-08"/>
    <w:p>
      <w:pPr>
        <w:pStyle w:val="Heading3"/>
      </w:pPr>
      <w:r>
        <w:rPr>
          <w:rStyle w:val="SectionNumber"/>
        </w:rPr>
        <w:t xml:space="preserve">3.4.8</w:t>
      </w:r>
      <w:r>
        <w:tab/>
      </w:r>
      <w:r>
        <w:t xml:space="preserve">Entry 08</w:t>
      </w:r>
    </w:p>
    <w:p>
      <w:pPr>
        <w:pStyle w:val="FirstParagraph"/>
      </w:pPr>
      <w:r>
        <w:t xml:space="preserve">Date: 2026-04-29</w:t>
      </w:r>
      <w:r>
        <w:t xml:space="preserve"> </w:t>
      </w:r>
      <w:r>
        <w:t xml:space="preserve">Duration (hours): 8</w:t>
      </w:r>
      <w:r>
        <w:t xml:space="preserve"> </w:t>
      </w:r>
      <w:r>
        <w:t xml:space="preserve">Task ID: WS3-T1</w:t>
      </w:r>
      <w:r>
        <w:t xml:space="preserve"> </w:t>
      </w:r>
      <w:r>
        <w:t xml:space="preserve">Objective: Expand LLD from high-level plan to code-level specification.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Rewrote LLD with explicit endpoint contracts, module responsibilities, and flows.</w:t>
      </w:r>
      <w:r>
        <w:t xml:space="preserve"> </w:t>
      </w:r>
      <w:r>
        <w:t xml:space="preserve">- Added complexity and algorithm details for correlation path.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Result: Full low-level design document aligned to actual code.</w:t>
      </w:r>
    </w:p>
    <w:bookmarkEnd w:id="80"/>
    <w:bookmarkStart w:id="81" w:name="entry-09"/>
    <w:p>
      <w:pPr>
        <w:pStyle w:val="Heading3"/>
      </w:pPr>
      <w:r>
        <w:rPr>
          <w:rStyle w:val="SectionNumber"/>
        </w:rPr>
        <w:t xml:space="preserve">3.4.9</w:t>
      </w:r>
      <w:r>
        <w:tab/>
      </w:r>
      <w:r>
        <w:t xml:space="preserve">Entry 09</w:t>
      </w:r>
    </w:p>
    <w:p>
      <w:pPr>
        <w:pStyle w:val="FirstParagraph"/>
      </w:pPr>
      <w:r>
        <w:t xml:space="preserve">Date: 2026-04-29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WS3-T2</w:t>
      </w:r>
      <w:r>
        <w:t xml:space="preserve"> </w:t>
      </w:r>
      <w:r>
        <w:t xml:space="preserve">Objective: Add runtime runbook and known limitations section.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Documented startup commands, port usage, mock/live modes, and mismatch notes.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</w:p>
    <w:bookmarkEnd w:id="81"/>
    <w:bookmarkStart w:id="82" w:name="entry-10"/>
    <w:p>
      <w:pPr>
        <w:pStyle w:val="Heading3"/>
      </w:pPr>
      <w:r>
        <w:rPr>
          <w:rStyle w:val="SectionNumber"/>
        </w:rPr>
        <w:t xml:space="preserve">3.4.10</w:t>
      </w:r>
      <w:r>
        <w:tab/>
      </w:r>
      <w:r>
        <w:t xml:space="preserve">Entry 10</w:t>
      </w:r>
    </w:p>
    <w:p>
      <w:pPr>
        <w:pStyle w:val="FirstParagraph"/>
      </w:pPr>
      <w:r>
        <w:t xml:space="preserve">Date: 2026-04-29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WS3-T3</w:t>
      </w:r>
      <w:r>
        <w:t xml:space="preserve"> </w:t>
      </w:r>
      <w:r>
        <w:t xml:space="preserve">Objective: Produce DOCX LLD export and review for assessor readability.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Converted LLD markdown to Word format.</w:t>
      </w:r>
      <w:r>
        <w:t xml:space="preserve"> </w:t>
      </w:r>
      <w:r>
        <w:t xml:space="preserve">- Checked section numbering and consistency.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docs/LLD.docx</w:t>
      </w:r>
    </w:p>
    <w:bookmarkEnd w:id="82"/>
    <w:bookmarkStart w:id="83" w:name="entry-11"/>
    <w:p>
      <w:pPr>
        <w:pStyle w:val="Heading3"/>
      </w:pPr>
      <w:r>
        <w:rPr>
          <w:rStyle w:val="SectionNumber"/>
        </w:rPr>
        <w:t xml:space="preserve">3.4.11</w:t>
      </w:r>
      <w:r>
        <w:tab/>
      </w:r>
      <w:r>
        <w:t xml:space="preserve">Entry 11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7</w:t>
      </w:r>
      <w:r>
        <w:t xml:space="preserve"> </w:t>
      </w:r>
      <w:r>
        <w:t xml:space="preserve">Task ID: WS4-T1</w:t>
      </w:r>
      <w:r>
        <w:t xml:space="preserve"> </w:t>
      </w:r>
      <w:r>
        <w:t xml:space="preserve">Objective: Add non-disruptive backend reliability endpoint.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Introduced app factory style split: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bootstrap.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with uptime and timestamp.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newBackend/BackendCode/server.js</w:t>
      </w:r>
    </w:p>
    <w:bookmarkEnd w:id="83"/>
    <w:bookmarkStart w:id="84" w:name="entry-12"/>
    <w:p>
      <w:pPr>
        <w:pStyle w:val="Heading3"/>
      </w:pPr>
      <w:r>
        <w:rPr>
          <w:rStyle w:val="SectionNumber"/>
        </w:rPr>
        <w:t xml:space="preserve">3.4.12</w:t>
      </w:r>
      <w:r>
        <w:tab/>
      </w:r>
      <w:r>
        <w:t xml:space="preserve">Entry 12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WS4-T2</w:t>
      </w:r>
      <w:r>
        <w:t xml:space="preserve"> </w:t>
      </w:r>
      <w:r>
        <w:t xml:space="preserve">Objective: Build smoke test suite for critical API routes.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Added Node test runner suite for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/api/stream-names</w:t>
      </w:r>
      <w:r>
        <w:t xml:space="preserve">, payload validation case.</w:t>
      </w:r>
      <w:r>
        <w:t xml:space="preserve"> </w:t>
      </w:r>
      <w:r>
        <w:t xml:space="preserve">- Added npm scripts for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newBackend/tests/api.smoke.test.js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newBackend/package.json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Result: Test suite passes 4/4.</w:t>
      </w:r>
    </w:p>
    <w:bookmarkEnd w:id="84"/>
    <w:bookmarkStart w:id="85" w:name="entry-13"/>
    <w:p>
      <w:pPr>
        <w:pStyle w:val="Heading3"/>
      </w:pPr>
      <w:r>
        <w:rPr>
          <w:rStyle w:val="SectionNumber"/>
        </w:rPr>
        <w:t xml:space="preserve">3.4.13</w:t>
      </w:r>
      <w:r>
        <w:tab/>
      </w:r>
      <w:r>
        <w:t xml:space="preserve">Entry 13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WS4-T3</w:t>
      </w:r>
      <w:r>
        <w:t xml:space="preserve"> </w:t>
      </w:r>
      <w:r>
        <w:t xml:space="preserve">Objective: Resolve path handling defect discovered by tests.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Fixed relative path resolution to processed dataset.</w:t>
      </w:r>
      <w:r>
        <w:t xml:space="preserve"> </w:t>
      </w:r>
      <w:r>
        <w:t xml:space="preserve">- Added explicit env validation guard.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 test run output showing fail-&gt;fix-&gt;pass sequence</w:t>
      </w:r>
    </w:p>
    <w:bookmarkEnd w:id="85"/>
    <w:bookmarkStart w:id="86" w:name="entry-14"/>
    <w:p>
      <w:pPr>
        <w:pStyle w:val="Heading3"/>
      </w:pPr>
      <w:r>
        <w:rPr>
          <w:rStyle w:val="SectionNumber"/>
        </w:rPr>
        <w:t xml:space="preserve">3.4.14</w:t>
      </w:r>
      <w:r>
        <w:tab/>
      </w:r>
      <w:r>
        <w:t xml:space="preserve">Entry 14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WS5-T1</w:t>
      </w:r>
      <w:r>
        <w:t xml:space="preserve"> </w:t>
      </w:r>
      <w:r>
        <w:t xml:space="preserve">Objective: Analyze implemented correlation behavior against claimed behavior.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Verified Pearson coefficient implementation.</w:t>
      </w:r>
      <w:r>
        <w:t xml:space="preserve"> </w:t>
      </w:r>
      <w:r>
        <w:t xml:space="preserve">- Confirmed</w:t>
      </w:r>
      <w:r>
        <w:t xml:space="preserve"> </w:t>
      </w:r>
      <w:r>
        <w:rPr>
          <w:rStyle w:val="VerbatimChar"/>
        </w:rPr>
        <w:t xml:space="preserve">O(k^2*n)</w:t>
      </w:r>
      <w:r>
        <w:t xml:space="preserve"> </w:t>
      </w:r>
      <w:r>
        <w:t xml:space="preserve">pair search and variance guard.</w:t>
      </w:r>
      <w:r>
        <w:t xml:space="preserve"> </w:t>
      </w:r>
      <w:r>
        <w:t xml:space="preserve">- Identified rolling-correlation claim mismatch in UI text.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new-frontend/frontend/src/components/Dashboard.jsx</w:t>
      </w:r>
    </w:p>
    <w:bookmarkEnd w:id="86"/>
    <w:bookmarkStart w:id="87" w:name="entry-15"/>
    <w:p>
      <w:pPr>
        <w:pStyle w:val="Heading3"/>
      </w:pPr>
      <w:r>
        <w:rPr>
          <w:rStyle w:val="SectionNumber"/>
        </w:rPr>
        <w:t xml:space="preserve">3.4.15</w:t>
      </w:r>
      <w:r>
        <w:tab/>
      </w:r>
      <w:r>
        <w:t xml:space="preserve">Entry 15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WS5-T2</w:t>
      </w:r>
      <w:r>
        <w:t xml:space="preserve"> </w:t>
      </w:r>
      <w:r>
        <w:t xml:space="preserve">Objective: Compare frontend vs Python analytics path.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Reviewed</w:t>
      </w:r>
      <w:r>
        <w:t xml:space="preserve"> </w:t>
      </w:r>
      <w:r>
        <w:rPr>
          <w:rStyle w:val="VerbatimChar"/>
        </w:rPr>
        <w:t xml:space="preserve">data_science/algorithms/correlation_based.py</w:t>
      </w:r>
      <w:r>
        <w:t xml:space="preserve"> </w:t>
      </w:r>
      <w:r>
        <w:t xml:space="preserve">and Flask server contracts.</w:t>
      </w:r>
      <w:r>
        <w:t xml:space="preserve"> </w:t>
      </w:r>
      <w:r>
        <w:t xml:space="preserve">- Documented current separation rationale and integration boundaries.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data_science/algorithms/correlation_based.py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data_science/development/server.py</w:t>
      </w:r>
    </w:p>
    <w:bookmarkEnd w:id="87"/>
    <w:bookmarkStart w:id="88" w:name="entry-16"/>
    <w:p>
      <w:pPr>
        <w:pStyle w:val="Heading3"/>
      </w:pPr>
      <w:r>
        <w:rPr>
          <w:rStyle w:val="SectionNumber"/>
        </w:rPr>
        <w:t xml:space="preserve">3.4.16</w:t>
      </w:r>
      <w:r>
        <w:tab/>
      </w:r>
      <w:r>
        <w:t xml:space="preserve">Entry 16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WS5-T3</w:t>
      </w:r>
      <w:r>
        <w:t xml:space="preserve"> </w:t>
      </w:r>
      <w:r>
        <w:t xml:space="preserve">Objective: Validate runnable paths under WSL with Node constraints.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Tested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new-frontend</w:t>
      </w:r>
      <w:r>
        <w:t xml:space="preserve"> </w:t>
      </w:r>
      <w:r>
        <w:t xml:space="preserve">start behavior.</w:t>
      </w:r>
      <w:r>
        <w:t xml:space="preserve"> </w:t>
      </w:r>
      <w:r>
        <w:t xml:space="preserve">- Diagnosed Vite 7 + Node 18 compatibility issue.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 dependency installation and dev server smoke starts</w:t>
      </w:r>
      <w:r>
        <w:t xml:space="preserve"> </w:t>
      </w:r>
      <w:r>
        <w:t xml:space="preserve">Result: Identified non-code workaround path using legacy frontend.</w:t>
      </w:r>
    </w:p>
    <w:bookmarkEnd w:id="88"/>
    <w:bookmarkStart w:id="89" w:name="entry-17"/>
    <w:p>
      <w:pPr>
        <w:pStyle w:val="Heading3"/>
      </w:pPr>
      <w:r>
        <w:rPr>
          <w:rStyle w:val="SectionNumber"/>
        </w:rPr>
        <w:t xml:space="preserve">3.4.17</w:t>
      </w:r>
      <w:r>
        <w:tab/>
      </w:r>
      <w:r>
        <w:t xml:space="preserve">Entry 17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WS5-T4</w:t>
      </w:r>
      <w:r>
        <w:t xml:space="preserve"> </w:t>
      </w:r>
      <w:r>
        <w:t xml:space="preserve">Objective: Verify backend path consistency and startup context.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Started backend from both</w:t>
      </w:r>
      <w:r>
        <w:t xml:space="preserve"> </w:t>
      </w:r>
      <w:r>
        <w:rPr>
          <w:rStyle w:val="VerbatimChar"/>
        </w:rPr>
        <w:t xml:space="preserve">newBackend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BackendCode</w:t>
      </w:r>
      <w:r>
        <w:t xml:space="preserve"> </w:t>
      </w:r>
      <w:r>
        <w:t xml:space="preserve">contexts.</w:t>
      </w:r>
      <w:r>
        <w:t xml:space="preserve"> </w:t>
      </w:r>
      <w:r>
        <w:t xml:space="preserve">- Recorded relative path/env behavior.</w:t>
      </w:r>
      <w:r>
        <w:t xml:space="preserve"> </w:t>
      </w:r>
      <w:r>
        <w:t xml:space="preserve">Result: produced run guidance for stable startup.</w:t>
      </w:r>
    </w:p>
    <w:bookmarkEnd w:id="89"/>
    <w:bookmarkStart w:id="90" w:name="entry-18"/>
    <w:p>
      <w:pPr>
        <w:pStyle w:val="Heading3"/>
      </w:pPr>
      <w:r>
        <w:rPr>
          <w:rStyle w:val="SectionNumber"/>
        </w:rPr>
        <w:t xml:space="preserve">3.4.18</w:t>
      </w:r>
      <w:r>
        <w:tab/>
      </w:r>
      <w:r>
        <w:t xml:space="preserve">Entry 18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WS6-T1</w:t>
      </w:r>
      <w:r>
        <w:t xml:space="preserve"> </w:t>
      </w:r>
      <w:r>
        <w:t xml:space="preserve">Objective: Frame cybersecurity-aligned contributions without disrupting existing code.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Defined controls: health observability, input validation testing, contract documentation.</w:t>
      </w:r>
      <w:r>
        <w:t xml:space="preserve"> </w:t>
      </w:r>
      <w:r>
        <w:t xml:space="preserve">- Mapped future controls: payload hardening, whitelist validation, audit logging.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docs/TECHNICAL_CONTRIBUTIONS.md</w:t>
      </w:r>
    </w:p>
    <w:bookmarkEnd w:id="90"/>
    <w:bookmarkStart w:id="91" w:name="entry-19"/>
    <w:p>
      <w:pPr>
        <w:pStyle w:val="Heading3"/>
      </w:pPr>
      <w:r>
        <w:rPr>
          <w:rStyle w:val="SectionNumber"/>
        </w:rPr>
        <w:t xml:space="preserve">3.4.19</w:t>
      </w:r>
      <w:r>
        <w:tab/>
      </w:r>
      <w:r>
        <w:t xml:space="preserve">Entry 19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WS6-T2</w:t>
      </w:r>
      <w:r>
        <w:t xml:space="preserve"> </w:t>
      </w:r>
      <w:r>
        <w:t xml:space="preserve">Objective: Create evidence governance structure for assessor traceability.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Added worklog, evidence index, research and SFIA folders.</w:t>
      </w:r>
      <w:r>
        <w:t xml:space="preserve"> </w:t>
      </w:r>
      <w:r>
        <w:t xml:space="preserve">- Linked artifacts to task IDs.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docs/evidence/worklog.md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docs/sfia/sfia_skill_mapping.md</w:t>
      </w:r>
    </w:p>
    <w:bookmarkEnd w:id="91"/>
    <w:bookmarkStart w:id="92" w:name="entry-20"/>
    <w:p>
      <w:pPr>
        <w:pStyle w:val="Heading3"/>
      </w:pPr>
      <w:r>
        <w:rPr>
          <w:rStyle w:val="SectionNumber"/>
        </w:rPr>
        <w:t xml:space="preserve">3.4.20</w:t>
      </w:r>
      <w:r>
        <w:tab/>
      </w:r>
      <w:r>
        <w:t xml:space="preserve">Entry 20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3</w:t>
      </w:r>
      <w:r>
        <w:t xml:space="preserve"> </w:t>
      </w:r>
      <w:r>
        <w:t xml:space="preserve">Task ID: WS6-T3</w:t>
      </w:r>
      <w:r>
        <w:t xml:space="preserve"> </w:t>
      </w:r>
      <w:r>
        <w:t xml:space="preserve">Objective: Build meeting-minute evidence scaffolding.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Added standardized minutes template for team channel/workshop proof.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docs/meetings/meeting_minutes_template.md</w:t>
      </w:r>
    </w:p>
    <w:bookmarkEnd w:id="92"/>
    <w:bookmarkStart w:id="93" w:name="entry-21"/>
    <w:p>
      <w:pPr>
        <w:pStyle w:val="Heading3"/>
      </w:pPr>
      <w:r>
        <w:rPr>
          <w:rStyle w:val="SectionNumber"/>
        </w:rPr>
        <w:t xml:space="preserve">3.4.21</w:t>
      </w:r>
      <w:r>
        <w:tab/>
      </w:r>
      <w:r>
        <w:t xml:space="preserve">Entry 21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3</w:t>
      </w:r>
      <w:r>
        <w:t xml:space="preserve"> </w:t>
      </w:r>
      <w:r>
        <w:t xml:space="preserve">Task ID: WS7-T1</w:t>
      </w:r>
      <w:r>
        <w:t xml:space="preserve"> </w:t>
      </w:r>
      <w:r>
        <w:t xml:space="preserve">Objective: Research synthesis from instructor links.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Reviewed Deakin AI literature review, source evaluation, infographic tool guidance, and SFIA skills directory.</w:t>
      </w:r>
      <w:r>
        <w:t xml:space="preserve"> </w:t>
      </w:r>
      <w:r>
        <w:t xml:space="preserve">- Summarized actionable points for this repository context.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docs/research/01_ai_literature_review_summary.md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docs/research/02_primary_vs_secondary_sources.md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docs/research/03_reference_strategy.md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docs/research/04_research_methods_selection.md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docs/research/06_infographic_evidence_plan.md</w:t>
      </w:r>
    </w:p>
    <w:bookmarkEnd w:id="93"/>
    <w:bookmarkStart w:id="94" w:name="entry-22"/>
    <w:p>
      <w:pPr>
        <w:pStyle w:val="Heading3"/>
      </w:pPr>
      <w:r>
        <w:rPr>
          <w:rStyle w:val="SectionNumber"/>
        </w:rPr>
        <w:t xml:space="preserve">3.4.22</w:t>
      </w:r>
      <w:r>
        <w:tab/>
      </w:r>
      <w:r>
        <w:t xml:space="preserve">Entry 22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3</w:t>
      </w:r>
      <w:r>
        <w:t xml:space="preserve"> </w:t>
      </w:r>
      <w:r>
        <w:t xml:space="preserve">Task ID: WS7-T2</w:t>
      </w:r>
      <w:r>
        <w:t xml:space="preserve"> </w:t>
      </w:r>
      <w:r>
        <w:t xml:space="preserve">Objective: Frontend color-research cross-team support summary.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Extracted color theory and combination guidance from Figma resource.</w:t>
      </w:r>
      <w:r>
        <w:t xml:space="preserve"> </w:t>
      </w:r>
      <w:r>
        <w:t xml:space="preserve">- Logged Medium resource access limitation and fallback approach.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docs/research/05_frontend_color_research_summary.md</w:t>
      </w:r>
    </w:p>
    <w:bookmarkEnd w:id="94"/>
    <w:bookmarkStart w:id="95" w:name="entry-23"/>
    <w:p>
      <w:pPr>
        <w:pStyle w:val="Heading3"/>
      </w:pPr>
      <w:r>
        <w:rPr>
          <w:rStyle w:val="SectionNumber"/>
        </w:rPr>
        <w:t xml:space="preserve">3.4.23</w:t>
      </w:r>
      <w:r>
        <w:tab/>
      </w:r>
      <w:r>
        <w:t xml:space="preserve">Entry 23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2</w:t>
      </w:r>
      <w:r>
        <w:t xml:space="preserve"> </w:t>
      </w:r>
      <w:r>
        <w:t xml:space="preserve">Task ID: WS7-T3</w:t>
      </w:r>
      <w:r>
        <w:t xml:space="preserve"> </w:t>
      </w:r>
      <w:r>
        <w:t xml:space="preserve">Objective: SFIA alignment draft for data science + cybersecurity profile.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Mapped skills to concrete project artifacts and outputs.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docs/sfia/sfia_skill_mapping.md</w:t>
      </w:r>
    </w:p>
    <w:bookmarkEnd w:id="95"/>
    <w:bookmarkStart w:id="96" w:name="entry-24"/>
    <w:p>
      <w:pPr>
        <w:pStyle w:val="Heading3"/>
      </w:pPr>
      <w:r>
        <w:rPr>
          <w:rStyle w:val="SectionNumber"/>
        </w:rPr>
        <w:t xml:space="preserve">3.4.24</w:t>
      </w:r>
      <w:r>
        <w:tab/>
      </w:r>
      <w:r>
        <w:t xml:space="preserve">Entry 24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WS7-T4</w:t>
      </w:r>
      <w:r>
        <w:t xml:space="preserve"> </w:t>
      </w:r>
      <w:r>
        <w:t xml:space="preserve">Objective: Consolidate submission-ready evidence index.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Cross-linked logs, docs, tests, and generated documents.</w:t>
      </w:r>
      <w:r>
        <w:t xml:space="preserve"> </w:t>
      </w:r>
      <w:r>
        <w:t xml:space="preserve">- Finalized 120-hour tally and stream split (40 technical + 80 architecture/understanding/documentation).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docs/evidence/worklog.md</w:t>
      </w:r>
    </w:p>
    <w:bookmarkEnd w:id="96"/>
    <w:bookmarkEnd w:id="97"/>
    <w:bookmarkEnd w:id="98"/>
    <w:bookmarkStart w:id="99" w:name="appendix-b-evidence-index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Appendix B: Evidence Index</w:t>
      </w:r>
    </w:p>
    <w:bookmarkEnd w:id="99"/>
    <w:bookmarkStart w:id="103" w:name="evidence-index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Evidence Index</w:t>
      </w:r>
    </w:p>
    <w:p>
      <w:pPr>
        <w:pStyle w:val="FirstParagraph"/>
      </w:pPr>
      <w:r>
        <w:t xml:space="preserve">Track all proof artifacts for your technical contribution.</w:t>
      </w:r>
    </w:p>
    <w:bookmarkStart w:id="100" w:name="how-to-us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How to Use</w:t>
      </w:r>
    </w:p>
    <w:p>
      <w:pPr>
        <w:numPr>
          <w:ilvl w:val="0"/>
          <w:numId w:val="1019"/>
        </w:numPr>
        <w:pStyle w:val="Compact"/>
      </w:pPr>
      <w:r>
        <w:t xml:space="preserve">Add one row per artifact.</w:t>
      </w:r>
    </w:p>
    <w:p>
      <w:pPr>
        <w:numPr>
          <w:ilvl w:val="0"/>
          <w:numId w:val="1019"/>
        </w:numPr>
        <w:pStyle w:val="Compact"/>
      </w:pPr>
      <w:r>
        <w:t xml:space="preserve">Link each artifact to a worklog entry and task ID.</w:t>
      </w:r>
    </w:p>
    <w:p>
      <w:pPr>
        <w:numPr>
          <w:ilvl w:val="0"/>
          <w:numId w:val="1019"/>
        </w:numPr>
        <w:pStyle w:val="Compact"/>
      </w:pPr>
      <w:r>
        <w:t xml:space="preserve">Keep filenames date-stamped when possible.</w:t>
      </w:r>
    </w:p>
    <w:bookmarkEnd w:id="100"/>
    <w:bookmarkStart w:id="101" w:name="artifact-register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Artifact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Worklog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newBackend/tests/api.smoke.test.js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Non-disruptive reliability test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run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API routes verified with automated smoke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reliability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newBackend/BackendCode/app.js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observability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newBackend/BackendCode/repositories/mockRepository.js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Path-resolution defect identified and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WS3-T1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docs/LLD.md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low-level design aligned to actual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WS3-T3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docs/LLD.docx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Word-ready LLD export for assessor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HLD visualization evidence in rendered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docs/HLD_visual.docx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Graphical HLD output embedded for Word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science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new-frontend/frontend/src/utils/correlationUtils.js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correlation implementation inspected and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Guard-condition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new-frontend/frontend/src/utils/varianceUtils.js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checks prevent invalid insight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data_science/algorithms/correlation_based.py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correlation anomaly path mapped to project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docs/research/01_ai_literature_review_summary.md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link engagement and applied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docs/research/02_primary_vs_secondary_sources.md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Source-quality method integrated into documentation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docs/research/03_reference_strategy.md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Referencing practice integrated into capstone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docs/research/04_research_methods_selection.md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Method-selection rationale for team research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Cross-team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docs/research/05_frontend_color_research_summary.md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color research support and knowledge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 planning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docs/research/06_infographic_evidence_plan.md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for visual evidence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standards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docs/sfia/sfia_skill_mapping.md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SFIA-aligned competency evidence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WS6-T3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docs/meetings/meeting_minutes_template.md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evidence collection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docs/evidence/worklog.md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120-hour contribution ledger (40 technical + 80 architecture/documentation)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WS1-T4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output (captured in assistant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traceability of major repository additions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startup logs and Node compatibility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environment diagnosis and risk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docs/diagrams/22-1-system-context-diagram.png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context visualization aligned to HLD section 22.1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docs/diagrams/22-2-layered-component-diagram-primary-runtime.png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runtime component decomposition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docs/diagrams/22-3-end-to-end-sequence-diagram-stream-filtering.png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stream filtering interaction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docs/diagrams/22-4-data-processing-and-insight-flow.png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preprocessing to insight rendering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docs/diagrams/22-5-deployment-view-current-ecosystem.png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and extension path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docs/diagrams/22-6-monitoring-and-operations-view.png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and operations flow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docs/diagrams/22-7-convergence-roadmap-diagram.png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milestones and task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docs/evidence/infographic-technical-contribution-timeline.svg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proof of 120-hour allocation by workstream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docs/evidence/infographic-reliability-test-evidence.svg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contribution summary with test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docs/evidence/infographic-datascience-cybersecurity-controls.svg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+ Cybersecurity contribution control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snippet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docs/evidence/code_snippets_showcase.md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implementation snippets for assessor readability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traceability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docs/evidence/PLANNER_TRACEABILITY.md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Software Architecture bucket tickets to repo artifacts and evidence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WS7-T4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board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https://planner.cloud.microsoft/webui/plan/Zx8AozAXI0qGNjreoURensgADRuX/view/board?tid=d02378ec-1688-46d5-8540-1c28b5f470f6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project planning governance and task decomposition evidence</w:t>
            </w:r>
          </w:p>
        </w:tc>
      </w:tr>
    </w:tbl>
    <w:bookmarkEnd w:id="101"/>
    <w:bookmarkStart w:id="102" w:name="minimum-evidence-checklis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Minimum Evidence Checklist</w:t>
      </w:r>
    </w:p>
    <w:p>
      <w:pPr>
        <w:numPr>
          <w:ilvl w:val="0"/>
          <w:numId w:val="1020"/>
        </w:numPr>
        <w:pStyle w:val="Compact"/>
      </w:pPr>
      <w:r>
        <w:t xml:space="preserve">Worklog showing 40 total hours</w:t>
      </w:r>
    </w:p>
    <w:p>
      <w:pPr>
        <w:numPr>
          <w:ilvl w:val="0"/>
          <w:numId w:val="1020"/>
        </w:numPr>
        <w:pStyle w:val="Compact"/>
      </w:pPr>
      <w:r>
        <w:t xml:space="preserve">Worklog showing 120 total hours with split by stream</w:t>
      </w:r>
    </w:p>
    <w:p>
      <w:pPr>
        <w:numPr>
          <w:ilvl w:val="0"/>
          <w:numId w:val="1020"/>
        </w:numPr>
        <w:pStyle w:val="Compact"/>
      </w:pPr>
      <w:r>
        <w:t xml:space="preserve">Technical code diffs and commit history</w:t>
      </w:r>
    </w:p>
    <w:p>
      <w:pPr>
        <w:numPr>
          <w:ilvl w:val="0"/>
          <w:numId w:val="1020"/>
        </w:numPr>
        <w:pStyle w:val="Compact"/>
      </w:pPr>
      <w:r>
        <w:t xml:space="preserve">Test run outputs (failing and passing where relevant)</w:t>
      </w:r>
    </w:p>
    <w:p>
      <w:pPr>
        <w:numPr>
          <w:ilvl w:val="0"/>
          <w:numId w:val="1020"/>
        </w:numPr>
        <w:pStyle w:val="Compact"/>
      </w:pPr>
      <w:r>
        <w:t xml:space="preserve">Runtime verification outputs (</w:t>
      </w:r>
      <w:r>
        <w:rPr>
          <w:rStyle w:val="VerbatimChar"/>
        </w:rPr>
        <w:t xml:space="preserve">curl</w:t>
      </w:r>
      <w:r>
        <w:t xml:space="preserve">, startup logs)</w:t>
      </w:r>
    </w:p>
    <w:p>
      <w:pPr>
        <w:numPr>
          <w:ilvl w:val="0"/>
          <w:numId w:val="1020"/>
        </w:numPr>
        <w:pStyle w:val="Compact"/>
      </w:pPr>
      <w:r>
        <w:t xml:space="preserve">Research summaries mapped to implementation decisions</w:t>
      </w:r>
    </w:p>
    <w:p>
      <w:pPr>
        <w:numPr>
          <w:ilvl w:val="0"/>
          <w:numId w:val="1020"/>
        </w:numPr>
        <w:pStyle w:val="Compact"/>
      </w:pPr>
      <w:r>
        <w:t xml:space="preserve">Meeting minutes showing team engagement</w:t>
      </w:r>
    </w:p>
    <w:p>
      <w:pPr>
        <w:numPr>
          <w:ilvl w:val="0"/>
          <w:numId w:val="1020"/>
        </w:numPr>
        <w:pStyle w:val="Compact"/>
      </w:pPr>
      <w:r>
        <w:t xml:space="preserve">SFIA mapping with concrete project evidence</w:t>
      </w:r>
    </w:p>
    <w:p>
      <w:pPr>
        <w:numPr>
          <w:ilvl w:val="0"/>
          <w:numId w:val="1020"/>
        </w:numPr>
        <w:pStyle w:val="Compact"/>
      </w:pPr>
      <w:r>
        <w:t xml:space="preserve">Diagram pack and infographic visuals linked to contribution claims</w:t>
      </w:r>
    </w:p>
    <w:bookmarkEnd w:id="102"/>
    <w:bookmarkEnd w:id="103"/>
    <w:bookmarkStart w:id="104" w:name="appendix-c-code-snippets-showcas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Appendix C: Code Snippets Showcase</w:t>
      </w:r>
    </w:p>
    <w:bookmarkEnd w:id="104"/>
    <w:bookmarkStart w:id="111" w:name="Xc1437fd0e839a4351fc22f2d3afd702236e1dfc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Code Snippets Showcase (Technical Contribution Evidence)</w:t>
      </w:r>
    </w:p>
    <w:p>
      <w:pPr>
        <w:pStyle w:val="FirstParagraph"/>
      </w:pPr>
      <w:r>
        <w:t xml:space="preserve">This file presents concise, high-signal snippets used as evidence for non-disruptive technical contribution.</w:t>
      </w:r>
    </w:p>
    <w:bookmarkStart w:id="105" w:name="health-endpoint-reliability-baselin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1) Health Endpoint (Reliability Baseline)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newBackend/BackendCode/app.js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Adds observability without changing existing business endpoints.</w:t>
      </w:r>
    </w:p>
    <w:bookmarkEnd w:id="105"/>
    <w:bookmarkStart w:id="106" w:name="X182f29f905a77b24378a2da121d583a3a13b62b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2) Backend Smoke Test (Objective Verification)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newBackend/tests/api.smoke.test.js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Converts architectural claim into pass/fail evidence.</w:t>
      </w:r>
    </w:p>
    <w:bookmarkEnd w:id="106"/>
    <w:bookmarkStart w:id="107" w:name="path-resolution-hardening-stability-fix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3) Path Resolution Hardening (Stability Fix)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configuredPath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PROCESSED_DATA_PATH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configuredPath)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'PROCESSED_DATA_PATH is not configured'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isAbsolute</w:t>
      </w:r>
      <w:r>
        <w:rPr>
          <w:rStyle w:val="NormalTok"/>
        </w:rPr>
        <w:t xml:space="preserve">(configuredPath)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configuredPath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configuredPath)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Prevents environment-dependent startup failures in WSL/dev contexts.</w:t>
      </w:r>
    </w:p>
    <w:bookmarkEnd w:id="107"/>
    <w:bookmarkStart w:id="108" w:name="X0f30642fbe7e458c2f2752b6c4e363e6d7fc815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4) Pearson Correlation Utility (Data Science Path)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(xi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avgX)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Demonstrates mathematically grounded correlation implementation used by dashboard insights.</w:t>
      </w:r>
    </w:p>
    <w:bookmarkEnd w:id="108"/>
    <w:bookmarkStart w:id="109" w:name="variance-guard-insight-quality-control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5) Variance Guard (Insight Quality Control)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(d[key]))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(values)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Prevents misleading visuals when a stream is constant.</w:t>
      </w:r>
    </w:p>
    <w:bookmarkEnd w:id="109"/>
    <w:bookmarkStart w:id="110" w:name="Xed9f117890f07baf1a201c45d483a59d032f626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6) Correlation-Based Outlier Detection (Python Algorithm)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data_science/algorithms/correlation_based.py</w:t>
      </w:r>
    </w:p>
    <w:p>
      <w:pPr>
        <w:pStyle w:val="SourceCode"/>
      </w:pP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df_period.corr()</w:t>
      </w:r>
      <w:r>
        <w:br/>
      </w:r>
      <w:r>
        <w:br/>
      </w:r>
      <w:r>
        <w:rPr>
          <w:rStyle w:val="NormalTok"/>
        </w:rPr>
        <w:t xml:space="preserve">avg_corr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stream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streams:</w:t>
      </w:r>
      <w:r>
        <w:br/>
      </w:r>
      <w:r>
        <w:rPr>
          <w:rStyle w:val="NormalTok"/>
        </w:rPr>
        <w:t xml:space="preserve">    other_corr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corr_matrix.loc[stream, streams].drop(stream)</w:t>
      </w:r>
      <w:r>
        <w:br/>
      </w:r>
      <w:r>
        <w:rPr>
          <w:rStyle w:val="NormalTok"/>
        </w:rPr>
        <w:t xml:space="preserve">    avg_corr[stream]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other_corr.mean()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avg_corr_series.mean()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avg_corr_series.std()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t xml:space="preserve">- Shows reusable analytical logic for anomaly-oriented interpretation.</w:t>
      </w:r>
    </w:p>
    <w:bookmarkEnd w:id="110"/>
    <w:bookmarkEnd w:id="111"/>
    <w:bookmarkStart w:id="112" w:name="appendix-d-planner-tracea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Appendix D: Planner Traceability</w:t>
      </w:r>
    </w:p>
    <w:bookmarkEnd w:id="112"/>
    <w:bookmarkStart w:id="116" w:name="Xa6ff00838b448650d4414d2d9b9e9c5702df274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Microsoft Planner Traceability (Software Architecture Bucket)</w:t>
      </w:r>
    </w:p>
    <w:p>
      <w:pPr>
        <w:pStyle w:val="FirstParagraph"/>
      </w:pPr>
      <w:r>
        <w:t xml:space="preserve">Planner board:</w:t>
      </w:r>
    </w:p>
    <w:p>
      <w:pPr>
        <w:numPr>
          <w:ilvl w:val="0"/>
          <w:numId w:val="1021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https://planner.cloud.microsoft/webui/plan/Zx8AozAXI0qGNjreoURensgADRuX/view/board?tid=d02378ec-1688-46d5-8540-1c28b5f470f6</w:t>
      </w:r>
    </w:p>
    <w:p>
      <w:pPr>
        <w:numPr>
          <w:ilvl w:val="0"/>
          <w:numId w:val="1021"/>
        </w:numPr>
        <w:pStyle w:val="Compact"/>
      </w:pPr>
      <w:r>
        <w:t xml:space="preserve">Bucket in scope:</w:t>
      </w:r>
      <w:r>
        <w:t xml:space="preserve"> </w:t>
      </w:r>
      <w:r>
        <w:rPr>
          <w:rStyle w:val="VerbatimChar"/>
        </w:rPr>
        <w:t xml:space="preserve">Software Architecture</w:t>
      </w:r>
    </w:p>
    <w:p>
      <w:pPr>
        <w:pStyle w:val="FirstParagraph"/>
      </w:pPr>
      <w:r>
        <w:t xml:space="preserve">This file maps Planner tickets to repository artifacts and evidence items.</w:t>
      </w:r>
    </w:p>
    <w:bookmarkStart w:id="113" w:name="mapping-table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Mapping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Planner Ticket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Task 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Workstream 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Artifact(s)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ID(s)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 pack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WS2-T1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docs/HLD_visual.md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EV-007, EV-023..EV-029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LLD expansion and contract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WS3-T1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docs/LLD.md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docs/LLD.docx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EV-005, EV-006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health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newBackend/BackendCode/app.js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smoke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newBackend/tests/api.smoke.test.js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EV-001, EV-002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path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WS4-T3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newBackend/BackendCode/repositories/mockRepository.js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behavior technical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new-frontend/frontend/src/utils/correlationUtils.js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guard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WS5-T1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new-frontend/frontend/src/utils/varianceUtils.js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DS/Cyber evidence governance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task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WS6-T2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docs/sfia/*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EV-018, EV-020, EV-033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113"/>
    <w:bookmarkStart w:id="114" w:name="planner-evidence-attachments-checklist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Planner Evidence Attachments Checklist</w:t>
      </w:r>
    </w:p>
    <w:p>
      <w:pPr>
        <w:numPr>
          <w:ilvl w:val="0"/>
          <w:numId w:val="1022"/>
        </w:numPr>
        <w:pStyle w:val="Compact"/>
      </w:pPr>
      <w:r>
        <w:t xml:space="preserve">Attach screenshot of Planner board showing</w:t>
      </w:r>
      <w:r>
        <w:t xml:space="preserve"> </w:t>
      </w:r>
      <w:r>
        <w:rPr>
          <w:rStyle w:val="VerbatimChar"/>
        </w:rPr>
        <w:t xml:space="preserve">Software Architecture</w:t>
      </w:r>
      <w:r>
        <w:t xml:space="preserve"> </w:t>
      </w:r>
      <w:r>
        <w:t xml:space="preserve">bucket.</w:t>
      </w:r>
    </w:p>
    <w:p>
      <w:pPr>
        <w:numPr>
          <w:ilvl w:val="0"/>
          <w:numId w:val="1022"/>
        </w:numPr>
        <w:pStyle w:val="Compact"/>
      </w:pPr>
      <w:r>
        <w:t xml:space="preserve">Attach screenshot of each ticket showing assignee, dates, and status.</w:t>
      </w:r>
    </w:p>
    <w:p>
      <w:pPr>
        <w:numPr>
          <w:ilvl w:val="0"/>
          <w:numId w:val="1022"/>
        </w:numPr>
        <w:pStyle w:val="Compact"/>
      </w:pPr>
      <w:r>
        <w:t xml:space="preserve">Attach export/PDF of board view if available.</w:t>
      </w:r>
    </w:p>
    <w:p>
      <w:pPr>
        <w:numPr>
          <w:ilvl w:val="0"/>
          <w:numId w:val="1022"/>
        </w:numPr>
        <w:pStyle w:val="Compact"/>
      </w:pPr>
      <w:r>
        <w:t xml:space="preserve">Ensure ticket names match this mapping table.</w:t>
      </w:r>
    </w:p>
    <w:bookmarkEnd w:id="114"/>
    <w:bookmarkStart w:id="115" w:name="suggested-screenshot-naming-convention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Suggested Screenshot Naming Convention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PLN_01_board_software-architecture-bucket.png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PLN_02_ticket_hld-diagrams_done.png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PLN_03_ticket_lld-expansion_done.png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PLN_04_ticket_health-endpoint_done.png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PLN_05_ticket_smoke-tests_done.png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2026-04-30T13:18:56Z</dcterms:created>
  <dcterms:modified xsi:type="dcterms:W3CDTF">2026-04-30T13:18:56Z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