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inute-master-video-script"/>
    <w:p>
      <w:pPr>
        <w:pStyle w:val="Heading1"/>
      </w:pPr>
      <w:r>
        <w:t xml:space="preserve">90-Minute Master Video Script</w:t>
      </w:r>
    </w:p>
    <w:p>
      <w:pPr>
        <w:pStyle w:val="FirstParagraph"/>
      </w:pPr>
      <w:r>
        <w:t xml:space="preserve">Use this script for</w:t>
      </w:r>
      <w:r>
        <w:t xml:space="preserve"> </w:t>
      </w:r>
      <w:r>
        <w:rPr>
          <w:rStyle w:val="VerbatimChar"/>
        </w:rPr>
        <w:t xml:space="preserve">VID_001_master-architecture-evidence-walkthrough_90m.mp4</w:t>
      </w:r>
      <w:r>
        <w:t xml:space="preserve">.</w:t>
      </w:r>
    </w:p>
    <w:bookmarkStart w:id="20" w:name="min-opening-and-scope"/>
    <w:p>
      <w:pPr>
        <w:pStyle w:val="Heading2"/>
      </w:pPr>
      <w:r>
        <w:t xml:space="preserve">0-5 min: Opening and Scope</w:t>
      </w:r>
    </w:p>
    <w:p>
      <w:pPr>
        <w:pStyle w:val="FirstParagraph"/>
      </w:pPr>
      <w:r>
        <w:t xml:space="preserve">Say:</w:t>
      </w:r>
    </w:p>
    <w:p>
      <w:pPr>
        <w:pStyle w:val="BlockText"/>
      </w:pPr>
      <w:r>
        <w:t xml:space="preserve">This is the representative architecture and technical contribution walkthrough for the Intelligent IoT Data Management Platform. The core contribution is architecture-led integration of Data Science and Cybersecurity work without disrupting the existing codebase. The written worklog records 120 hours, split into 40 hours technical contribution and 80 hours code understanding, HLD, LLD, and evidence preparation.</w:t>
      </w:r>
    </w:p>
    <w:p>
      <w:pPr>
        <w:pStyle w:val="FirstParagraph"/>
      </w:pPr>
      <w:r>
        <w:t xml:space="preserve">Show:</w:t>
      </w:r>
    </w:p>
    <w:p>
      <w:pPr>
        <w:numPr>
          <w:ilvl w:val="0"/>
          <w:numId w:val="1001"/>
        </w:numPr>
        <w:pStyle w:val="Compact"/>
      </w:pPr>
      <w:r>
        <w:rPr>
          <w:rStyle w:val="VerbatimChar"/>
        </w:rPr>
        <w:t xml:space="preserve">docs/evidence/FINAL_SUBMISSION_PORTFOLIO.docx</w:t>
      </w:r>
    </w:p>
    <w:p>
      <w:pPr>
        <w:numPr>
          <w:ilvl w:val="0"/>
          <w:numId w:val="1001"/>
        </w:numPr>
        <w:pStyle w:val="Compact"/>
      </w:pPr>
      <w:r>
        <w:rPr>
          <w:rStyle w:val="VerbatimChar"/>
        </w:rPr>
        <w:t xml:space="preserve">docs/evidence/worklog.md</w:t>
      </w:r>
    </w:p>
    <w:p>
      <w:pPr>
        <w:numPr>
          <w:ilvl w:val="0"/>
          <w:numId w:val="1001"/>
        </w:numPr>
        <w:pStyle w:val="Compact"/>
      </w:pPr>
      <w:r>
        <w:rPr>
          <w:rStyle w:val="VerbatimChar"/>
        </w:rPr>
        <w:t xml:space="preserve">docs/evidence/evidence_index.md</w:t>
      </w:r>
    </w:p>
    <w:bookmarkEnd w:id="20"/>
    <w:bookmarkStart w:id="21" w:name="X5a1b5e6a83f8b890dcc9c1895aa2b923d7312c2"/>
    <w:p>
      <w:pPr>
        <w:pStyle w:val="Heading2"/>
      </w:pPr>
      <w:r>
        <w:t xml:space="preserve">5-15 min: Repository Structure and Runtime Context</w:t>
      </w:r>
    </w:p>
    <w:p>
      <w:pPr>
        <w:pStyle w:val="FirstParagraph"/>
      </w:pPr>
      <w:r>
        <w:t xml:space="preserve">Show:</w:t>
      </w:r>
    </w:p>
    <w:p>
      <w:pPr>
        <w:numPr>
          <w:ilvl w:val="0"/>
          <w:numId w:val="1002"/>
        </w:numPr>
        <w:pStyle w:val="Compact"/>
      </w:pPr>
      <w:r>
        <w:t xml:space="preserve">Top-level folders</w:t>
      </w:r>
    </w:p>
    <w:p>
      <w:pPr>
        <w:numPr>
          <w:ilvl w:val="0"/>
          <w:numId w:val="1002"/>
        </w:numPr>
        <w:pStyle w:val="Compact"/>
      </w:pPr>
      <w:r>
        <w:rPr>
          <w:rStyle w:val="VerbatimChar"/>
        </w:rPr>
        <w:t xml:space="preserve">new-frontend/frontend</w:t>
      </w:r>
    </w:p>
    <w:p>
      <w:pPr>
        <w:numPr>
          <w:ilvl w:val="0"/>
          <w:numId w:val="1002"/>
        </w:numPr>
        <w:pStyle w:val="Compact"/>
      </w:pPr>
      <w:r>
        <w:rPr>
          <w:rStyle w:val="VerbatimChar"/>
        </w:rPr>
        <w:t xml:space="preserve">newBackend/BackendCode</w:t>
      </w:r>
    </w:p>
    <w:p>
      <w:pPr>
        <w:numPr>
          <w:ilvl w:val="0"/>
          <w:numId w:val="1002"/>
        </w:numPr>
        <w:pStyle w:val="Compact"/>
      </w:pPr>
      <w:r>
        <w:rPr>
          <w:rStyle w:val="VerbatimChar"/>
        </w:rPr>
        <w:t xml:space="preserve">data_science/algorithms</w:t>
      </w:r>
    </w:p>
    <w:p>
      <w:pPr>
        <w:numPr>
          <w:ilvl w:val="0"/>
          <w:numId w:val="1002"/>
        </w:numPr>
        <w:pStyle w:val="Compact"/>
      </w:pPr>
      <w:r>
        <w:rPr>
          <w:rStyle w:val="VerbatimChar"/>
        </w:rPr>
        <w:t xml:space="preserve">backend/iot_backend</w:t>
      </w:r>
    </w:p>
    <w:p>
      <w:pPr>
        <w:pStyle w:val="FirstParagraph"/>
      </w:pPr>
      <w:r>
        <w:t xml:space="preserve">Explain:</w:t>
      </w:r>
    </w:p>
    <w:p>
      <w:pPr>
        <w:numPr>
          <w:ilvl w:val="0"/>
          <w:numId w:val="1003"/>
        </w:numPr>
        <w:pStyle w:val="Compact"/>
      </w:pPr>
      <w:r>
        <w:t xml:space="preserve">Primary runtime path: React/Vite + Node/Express + processed JSON.</w:t>
      </w:r>
    </w:p>
    <w:p>
      <w:pPr>
        <w:numPr>
          <w:ilvl w:val="0"/>
          <w:numId w:val="1003"/>
        </w:numPr>
        <w:pStyle w:val="Compact"/>
      </w:pPr>
      <w:r>
        <w:t xml:space="preserve">Optional extension paths: Python/Flask analytics and Django DRF.</w:t>
      </w:r>
    </w:p>
    <w:bookmarkEnd w:id="21"/>
    <w:bookmarkStart w:id="22" w:name="min-hld-and-architecture-diagrams"/>
    <w:p>
      <w:pPr>
        <w:pStyle w:val="Heading2"/>
      </w:pPr>
      <w:r>
        <w:t xml:space="preserve">15-30 min: HLD and Architecture Diagrams</w:t>
      </w:r>
    </w:p>
    <w:p>
      <w:pPr>
        <w:pStyle w:val="FirstParagraph"/>
      </w:pPr>
      <w:r>
        <w:t xml:space="preserve">Show:</w:t>
      </w:r>
    </w:p>
    <w:p>
      <w:pPr>
        <w:numPr>
          <w:ilvl w:val="0"/>
          <w:numId w:val="1004"/>
        </w:numPr>
        <w:pStyle w:val="Compact"/>
      </w:pPr>
      <w:r>
        <w:rPr>
          <w:rStyle w:val="VerbatimChar"/>
        </w:rPr>
        <w:t xml:space="preserve">docs/HLD_visual.docx</w:t>
      </w:r>
    </w:p>
    <w:p>
      <w:pPr>
        <w:numPr>
          <w:ilvl w:val="0"/>
          <w:numId w:val="1004"/>
        </w:numPr>
        <w:pStyle w:val="Compact"/>
      </w:pPr>
      <w:r>
        <w:rPr>
          <w:rStyle w:val="VerbatimChar"/>
        </w:rPr>
        <w:t xml:space="preserve">docs/diagrams/22-1-system-context-diagram.png</w:t>
      </w:r>
    </w:p>
    <w:p>
      <w:pPr>
        <w:numPr>
          <w:ilvl w:val="0"/>
          <w:numId w:val="1004"/>
        </w:numPr>
        <w:pStyle w:val="Compact"/>
      </w:pPr>
      <w:r>
        <w:rPr>
          <w:rStyle w:val="VerbatimChar"/>
        </w:rPr>
        <w:t xml:space="preserve">docs/diagrams/22-2-layered-component-diagram-primary-runtime.png</w:t>
      </w:r>
    </w:p>
    <w:p>
      <w:pPr>
        <w:numPr>
          <w:ilvl w:val="0"/>
          <w:numId w:val="1004"/>
        </w:numPr>
        <w:pStyle w:val="Compact"/>
      </w:pPr>
      <w:r>
        <w:rPr>
          <w:rStyle w:val="VerbatimChar"/>
        </w:rPr>
        <w:t xml:space="preserve">docs/diagrams/22-3-end-to-end-sequence-diagram-stream-filtering.png</w:t>
      </w:r>
    </w:p>
    <w:p>
      <w:pPr>
        <w:numPr>
          <w:ilvl w:val="0"/>
          <w:numId w:val="1004"/>
        </w:numPr>
        <w:pStyle w:val="Compact"/>
      </w:pPr>
      <w:r>
        <w:rPr>
          <w:rStyle w:val="VerbatimChar"/>
        </w:rPr>
        <w:t xml:space="preserve">docs/diagrams/22-6-monitoring-and-operations-view.png</w:t>
      </w:r>
    </w:p>
    <w:p>
      <w:pPr>
        <w:pStyle w:val="FirstParagraph"/>
      </w:pPr>
      <w:r>
        <w:t xml:space="preserve">Explain:</w:t>
      </w:r>
    </w:p>
    <w:p>
      <w:pPr>
        <w:numPr>
          <w:ilvl w:val="0"/>
          <w:numId w:val="1005"/>
        </w:numPr>
        <w:pStyle w:val="Compact"/>
      </w:pPr>
      <w:r>
        <w:t xml:space="preserve">System context and component layering.</w:t>
      </w:r>
    </w:p>
    <w:p>
      <w:pPr>
        <w:numPr>
          <w:ilvl w:val="0"/>
          <w:numId w:val="1005"/>
        </w:numPr>
        <w:pStyle w:val="Compact"/>
      </w:pPr>
      <w:r>
        <w:t xml:space="preserve">Sequence flow for stream filtering.</w:t>
      </w:r>
    </w:p>
    <w:p>
      <w:pPr>
        <w:numPr>
          <w:ilvl w:val="0"/>
          <w:numId w:val="1005"/>
        </w:numPr>
        <w:pStyle w:val="Compact"/>
      </w:pPr>
      <w:r>
        <w:t xml:space="preserve">Monitoring and operations evidence.</w:t>
      </w:r>
    </w:p>
    <w:bookmarkEnd w:id="22"/>
    <w:bookmarkStart w:id="23" w:name="min-lld-and-code-level-traceability"/>
    <w:p>
      <w:pPr>
        <w:pStyle w:val="Heading2"/>
      </w:pPr>
      <w:r>
        <w:t xml:space="preserve">30-45 min: LLD and Code-Level Traceability</w:t>
      </w:r>
    </w:p>
    <w:p>
      <w:pPr>
        <w:pStyle w:val="FirstParagraph"/>
      </w:pPr>
      <w:r>
        <w:t xml:space="preserve">Show:</w:t>
      </w:r>
    </w:p>
    <w:p>
      <w:pPr>
        <w:numPr>
          <w:ilvl w:val="0"/>
          <w:numId w:val="1006"/>
        </w:numPr>
        <w:pStyle w:val="Compact"/>
      </w:pPr>
      <w:r>
        <w:rPr>
          <w:rStyle w:val="VerbatimChar"/>
        </w:rPr>
        <w:t xml:space="preserve">docs/LLD.md</w:t>
      </w:r>
    </w:p>
    <w:p>
      <w:pPr>
        <w:numPr>
          <w:ilvl w:val="0"/>
          <w:numId w:val="1006"/>
        </w:numPr>
        <w:pStyle w:val="Compact"/>
      </w:pPr>
      <w:r>
        <w:t xml:space="preserve">backend route/controller/service/repository files</w:t>
      </w:r>
    </w:p>
    <w:p>
      <w:pPr>
        <w:numPr>
          <w:ilvl w:val="0"/>
          <w:numId w:val="1006"/>
        </w:numPr>
        <w:pStyle w:val="Compact"/>
      </w:pPr>
      <w:r>
        <w:t xml:space="preserve">frontend hooks and correlation utilities</w:t>
      </w:r>
    </w:p>
    <w:p>
      <w:pPr>
        <w:pStyle w:val="FirstParagraph"/>
      </w:pPr>
      <w:r>
        <w:t xml:space="preserve">Explain:</w:t>
      </w:r>
    </w:p>
    <w:p>
      <w:pPr>
        <w:numPr>
          <w:ilvl w:val="0"/>
          <w:numId w:val="1007"/>
        </w:numPr>
        <w:pStyle w:val="Compact"/>
      </w:pPr>
      <w:r>
        <w:t xml:space="preserve">How LLD maps code modules to architecture responsibilities.</w:t>
      </w:r>
    </w:p>
    <w:p>
      <w:pPr>
        <w:numPr>
          <w:ilvl w:val="0"/>
          <w:numId w:val="1007"/>
        </w:numPr>
        <w:pStyle w:val="Compact"/>
      </w:pPr>
      <w:r>
        <w:t xml:space="preserve">Why module boundaries reduce disruption.</w:t>
      </w:r>
    </w:p>
    <w:p>
      <w:pPr>
        <w:numPr>
          <w:ilvl w:val="0"/>
          <w:numId w:val="1007"/>
        </w:numPr>
        <w:pStyle w:val="Compact"/>
      </w:pPr>
      <w:r>
        <w:t xml:space="preserve">Known mismatch notes and architecture risks.</w:t>
      </w:r>
    </w:p>
    <w:bookmarkEnd w:id="23"/>
    <w:bookmarkStart w:id="24" w:name="Xb49c44ccf22c8374285b4b69eb6589ff3d84da8"/>
    <w:p>
      <w:pPr>
        <w:pStyle w:val="Heading2"/>
      </w:pPr>
      <w:r>
        <w:t xml:space="preserve">45-60 min: Technical Contribution Implementation</w:t>
      </w:r>
    </w:p>
    <w:p>
      <w:pPr>
        <w:pStyle w:val="FirstParagraph"/>
      </w:pPr>
      <w:r>
        <w:t xml:space="preserve">Show:</w:t>
      </w:r>
    </w:p>
    <w:p>
      <w:pPr>
        <w:numPr>
          <w:ilvl w:val="0"/>
          <w:numId w:val="1008"/>
        </w:numPr>
        <w:pStyle w:val="Compact"/>
      </w:pPr>
      <w:r>
        <w:rPr>
          <w:rStyle w:val="VerbatimChar"/>
        </w:rPr>
        <w:t xml:space="preserve">newBackend/BackendCode/app.js</w:t>
      </w:r>
    </w:p>
    <w:p>
      <w:pPr>
        <w:numPr>
          <w:ilvl w:val="0"/>
          <w:numId w:val="1008"/>
        </w:numPr>
        <w:pStyle w:val="Compact"/>
      </w:pPr>
      <w:r>
        <w:rPr>
          <w:rStyle w:val="VerbatimChar"/>
        </w:rPr>
        <w:t xml:space="preserve">newBackend/BackendCode/server.js</w:t>
      </w:r>
    </w:p>
    <w:p>
      <w:pPr>
        <w:numPr>
          <w:ilvl w:val="0"/>
          <w:numId w:val="1008"/>
        </w:numPr>
        <w:pStyle w:val="Compact"/>
      </w:pPr>
      <w:r>
        <w:rPr>
          <w:rStyle w:val="VerbatimChar"/>
        </w:rPr>
        <w:t xml:space="preserve">newBackend/BackendCode/repositories/mockRepository.js</w:t>
      </w:r>
    </w:p>
    <w:p>
      <w:pPr>
        <w:numPr>
          <w:ilvl w:val="0"/>
          <w:numId w:val="1008"/>
        </w:numPr>
        <w:pStyle w:val="Compact"/>
      </w:pPr>
      <w:r>
        <w:rPr>
          <w:rStyle w:val="VerbatimChar"/>
        </w:rPr>
        <w:t xml:space="preserve">newBackend/tests/api.smoke.test.js</w:t>
      </w:r>
    </w:p>
    <w:p>
      <w:pPr>
        <w:numPr>
          <w:ilvl w:val="0"/>
          <w:numId w:val="1008"/>
        </w:numPr>
        <w:pStyle w:val="Compact"/>
      </w:pPr>
      <w:r>
        <w:rPr>
          <w:rStyle w:val="VerbatimChar"/>
        </w:rPr>
        <w:t xml:space="preserve">newBackend/package.json</w:t>
      </w:r>
    </w:p>
    <w:p>
      <w:pPr>
        <w:pStyle w:val="FirstParagraph"/>
      </w:pPr>
      <w:r>
        <w:t xml:space="preserve">Run:</w:t>
      </w:r>
    </w:p>
    <w:p>
      <w:pPr>
        <w:pStyle w:val="SourceCode"/>
      </w:pPr>
      <w:r>
        <w:rPr>
          <w:rStyle w:val="BuiltInTok"/>
        </w:rPr>
        <w:t xml:space="preserve">cd</w:t>
      </w:r>
      <w:r>
        <w:rPr>
          <w:rStyle w:val="NormalTok"/>
        </w:rPr>
        <w:t xml:space="preserve"> newBackend</w:t>
      </w:r>
      <w:r>
        <w:br/>
      </w:r>
      <w:r>
        <w:rPr>
          <w:rStyle w:val="ExtensionTok"/>
        </w:rPr>
        <w:t xml:space="preserve">npm</w:t>
      </w:r>
      <w:r>
        <w:rPr>
          <w:rStyle w:val="NormalTok"/>
        </w:rPr>
        <w:t xml:space="preserve"> test</w:t>
      </w:r>
    </w:p>
    <w:p>
      <w:pPr>
        <w:pStyle w:val="FirstParagraph"/>
      </w:pPr>
      <w:r>
        <w:t xml:space="preserve">Explain:</w:t>
      </w:r>
    </w:p>
    <w:p>
      <w:pPr>
        <w:numPr>
          <w:ilvl w:val="0"/>
          <w:numId w:val="1009"/>
        </w:numPr>
        <w:pStyle w:val="Compact"/>
      </w:pPr>
      <w:r>
        <w:t xml:space="preserve">Health endpoint as reliability baseline.</w:t>
      </w:r>
    </w:p>
    <w:p>
      <w:pPr>
        <w:numPr>
          <w:ilvl w:val="0"/>
          <w:numId w:val="1009"/>
        </w:numPr>
        <w:pStyle w:val="Compact"/>
      </w:pPr>
      <w:r>
        <w:t xml:space="preserve">Smoke tests as objective verification.</w:t>
      </w:r>
    </w:p>
    <w:p>
      <w:pPr>
        <w:numPr>
          <w:ilvl w:val="0"/>
          <w:numId w:val="1009"/>
        </w:numPr>
        <w:pStyle w:val="Compact"/>
      </w:pPr>
      <w:r>
        <w:t xml:space="preserve">Path hardening for WSL/dev reliability.</w:t>
      </w:r>
    </w:p>
    <w:bookmarkEnd w:id="24"/>
    <w:bookmarkStart w:id="25" w:name="min-data-science-contribution"/>
    <w:p>
      <w:pPr>
        <w:pStyle w:val="Heading2"/>
      </w:pPr>
      <w:r>
        <w:t xml:space="preserve">60-70 min: Data Science Contribution</w:t>
      </w:r>
    </w:p>
    <w:p>
      <w:pPr>
        <w:pStyle w:val="FirstParagraph"/>
      </w:pPr>
      <w:r>
        <w:t xml:space="preserve">Show:</w:t>
      </w:r>
    </w:p>
    <w:p>
      <w:pPr>
        <w:numPr>
          <w:ilvl w:val="0"/>
          <w:numId w:val="1010"/>
        </w:numPr>
        <w:pStyle w:val="Compact"/>
      </w:pPr>
      <w:r>
        <w:rPr>
          <w:rStyle w:val="VerbatimChar"/>
        </w:rPr>
        <w:t xml:space="preserve">new-frontend/frontend/src/utils/correlationUtils.js</w:t>
      </w:r>
    </w:p>
    <w:p>
      <w:pPr>
        <w:numPr>
          <w:ilvl w:val="0"/>
          <w:numId w:val="1010"/>
        </w:numPr>
        <w:pStyle w:val="Compact"/>
      </w:pPr>
      <w:r>
        <w:rPr>
          <w:rStyle w:val="VerbatimChar"/>
        </w:rPr>
        <w:t xml:space="preserve">new-frontend/frontend/src/utils/varianceUtils.js</w:t>
      </w:r>
    </w:p>
    <w:p>
      <w:pPr>
        <w:numPr>
          <w:ilvl w:val="0"/>
          <w:numId w:val="1010"/>
        </w:numPr>
        <w:pStyle w:val="Compact"/>
      </w:pPr>
      <w:r>
        <w:rPr>
          <w:rStyle w:val="VerbatimChar"/>
        </w:rPr>
        <w:t xml:space="preserve">data_science/algorithms/correlation_based.py</w:t>
      </w:r>
    </w:p>
    <w:p>
      <w:pPr>
        <w:numPr>
          <w:ilvl w:val="0"/>
          <w:numId w:val="1010"/>
        </w:numPr>
        <w:pStyle w:val="Compact"/>
      </w:pPr>
      <w:r>
        <w:rPr>
          <w:rStyle w:val="VerbatimChar"/>
        </w:rPr>
        <w:t xml:space="preserve">docs/evidence/code_snippets_showcase.md</w:t>
      </w:r>
    </w:p>
    <w:p>
      <w:pPr>
        <w:pStyle w:val="FirstParagraph"/>
      </w:pPr>
      <w:r>
        <w:t xml:space="preserve">Explain:</w:t>
      </w:r>
    </w:p>
    <w:p>
      <w:pPr>
        <w:numPr>
          <w:ilvl w:val="0"/>
          <w:numId w:val="1011"/>
        </w:numPr>
        <w:pStyle w:val="Compact"/>
      </w:pPr>
      <w:r>
        <w:t xml:space="preserve">Pearson correlation behavior.</w:t>
      </w:r>
    </w:p>
    <w:p>
      <w:pPr>
        <w:numPr>
          <w:ilvl w:val="0"/>
          <w:numId w:val="1011"/>
        </w:numPr>
        <w:pStyle w:val="Compact"/>
      </w:pPr>
      <w:r>
        <w:t xml:space="preserve">Variance guard as insight quality control.</w:t>
      </w:r>
    </w:p>
    <w:p>
      <w:pPr>
        <w:numPr>
          <w:ilvl w:val="0"/>
          <w:numId w:val="1011"/>
        </w:numPr>
        <w:pStyle w:val="Compact"/>
      </w:pPr>
      <w:r>
        <w:t xml:space="preserve">Separation between current frontend analytics and Python algorithm module.</w:t>
      </w:r>
    </w:p>
    <w:bookmarkEnd w:id="25"/>
    <w:bookmarkStart w:id="26" w:name="Xc8aa2324a1269d771da13016eb3116f90aa8cd7"/>
    <w:p>
      <w:pPr>
        <w:pStyle w:val="Heading2"/>
      </w:pPr>
      <w:r>
        <w:t xml:space="preserve">70-80 min: Cybersecurity and Governance Contribution</w:t>
      </w:r>
    </w:p>
    <w:p>
      <w:pPr>
        <w:pStyle w:val="FirstParagraph"/>
      </w:pPr>
      <w:r>
        <w:t xml:space="preserve">Show:</w:t>
      </w:r>
    </w:p>
    <w:p>
      <w:pPr>
        <w:numPr>
          <w:ilvl w:val="0"/>
          <w:numId w:val="1012"/>
        </w:numPr>
        <w:pStyle w:val="Compact"/>
      </w:pPr>
      <w:r>
        <w:rPr>
          <w:rStyle w:val="VerbatimChar"/>
        </w:rPr>
        <w:t xml:space="preserve">docs/sfia/sfia_skill_mapping.md</w:t>
      </w:r>
    </w:p>
    <w:p>
      <w:pPr>
        <w:numPr>
          <w:ilvl w:val="0"/>
          <w:numId w:val="1012"/>
        </w:numPr>
        <w:pStyle w:val="Compact"/>
      </w:pPr>
      <w:r>
        <w:rPr>
          <w:rStyle w:val="VerbatimChar"/>
        </w:rPr>
        <w:t xml:space="preserve">docs/evidence/evidence_index.md</w:t>
      </w:r>
    </w:p>
    <w:p>
      <w:pPr>
        <w:numPr>
          <w:ilvl w:val="0"/>
          <w:numId w:val="1012"/>
        </w:numPr>
        <w:pStyle w:val="Compact"/>
      </w:pPr>
      <w:r>
        <w:rPr>
          <w:rStyle w:val="VerbatimChar"/>
        </w:rPr>
        <w:t xml:space="preserve">docs/evidence/PLANNER_TRACEABILITY.md</w:t>
      </w:r>
    </w:p>
    <w:p>
      <w:pPr>
        <w:numPr>
          <w:ilvl w:val="0"/>
          <w:numId w:val="1012"/>
        </w:numPr>
        <w:pStyle w:val="Compact"/>
      </w:pPr>
      <w:r>
        <w:t xml:space="preserve">Microsoft Planner board Software Architecture bucket</w:t>
      </w:r>
    </w:p>
    <w:p>
      <w:pPr>
        <w:pStyle w:val="FirstParagraph"/>
      </w:pPr>
      <w:r>
        <w:t xml:space="preserve">Explain:</w:t>
      </w:r>
    </w:p>
    <w:p>
      <w:pPr>
        <w:numPr>
          <w:ilvl w:val="0"/>
          <w:numId w:val="1013"/>
        </w:numPr>
        <w:pStyle w:val="Compact"/>
      </w:pPr>
      <w:r>
        <w:t xml:space="preserve">Cybersecurity-aligned contribution: input validation, health endpoint, assurance evidence.</w:t>
      </w:r>
    </w:p>
    <w:p>
      <w:pPr>
        <w:numPr>
          <w:ilvl w:val="0"/>
          <w:numId w:val="1013"/>
        </w:numPr>
        <w:pStyle w:val="Compact"/>
      </w:pPr>
      <w:r>
        <w:t xml:space="preserve">Governance through Planner and evidence traceability.</w:t>
      </w:r>
    </w:p>
    <w:bookmarkEnd w:id="26"/>
    <w:bookmarkStart w:id="27" w:name="min-final-submission-portfolio"/>
    <w:p>
      <w:pPr>
        <w:pStyle w:val="Heading2"/>
      </w:pPr>
      <w:r>
        <w:t xml:space="preserve">80-88 min: Final Submission Portfolio</w:t>
      </w:r>
    </w:p>
    <w:p>
      <w:pPr>
        <w:pStyle w:val="FirstParagraph"/>
      </w:pPr>
      <w:r>
        <w:t xml:space="preserve">Show:</w:t>
      </w:r>
    </w:p>
    <w:p>
      <w:pPr>
        <w:numPr>
          <w:ilvl w:val="0"/>
          <w:numId w:val="1014"/>
        </w:numPr>
        <w:pStyle w:val="Compact"/>
      </w:pPr>
      <w:r>
        <w:rPr>
          <w:rStyle w:val="VerbatimChar"/>
        </w:rPr>
        <w:t xml:space="preserve">docs/evidence/FINAL_SUBMISSION_PORTFOLIO.docx</w:t>
      </w:r>
    </w:p>
    <w:p>
      <w:pPr>
        <w:numPr>
          <w:ilvl w:val="0"/>
          <w:numId w:val="1014"/>
        </w:numPr>
        <w:pStyle w:val="Compact"/>
      </w:pPr>
      <w:r>
        <w:rPr>
          <w:rStyle w:val="VerbatimChar"/>
        </w:rPr>
        <w:t xml:space="preserve">docs/evidence/CAPSTONE_EVIDENCE_REPORT.docx</w:t>
      </w:r>
    </w:p>
    <w:p>
      <w:pPr>
        <w:numPr>
          <w:ilvl w:val="0"/>
          <w:numId w:val="1014"/>
        </w:numPr>
        <w:pStyle w:val="Compact"/>
      </w:pPr>
      <w:r>
        <w:rPr>
          <w:rStyle w:val="VerbatimChar"/>
        </w:rPr>
        <w:t xml:space="preserve">docs/evidence/WORKLOG_120H.docx</w:t>
      </w:r>
    </w:p>
    <w:p>
      <w:pPr>
        <w:numPr>
          <w:ilvl w:val="0"/>
          <w:numId w:val="1014"/>
        </w:numPr>
        <w:pStyle w:val="Compact"/>
      </w:pPr>
      <w:r>
        <w:rPr>
          <w:rStyle w:val="VerbatimChar"/>
        </w:rPr>
        <w:t xml:space="preserve">docs/evidence/EVIDENCE_INDEX.docx</w:t>
      </w:r>
    </w:p>
    <w:p>
      <w:pPr>
        <w:pStyle w:val="FirstParagraph"/>
      </w:pPr>
      <w:r>
        <w:t xml:space="preserve">Explain:</w:t>
      </w:r>
    </w:p>
    <w:p>
      <w:pPr>
        <w:numPr>
          <w:ilvl w:val="0"/>
          <w:numId w:val="1015"/>
        </w:numPr>
        <w:pStyle w:val="Compact"/>
      </w:pPr>
      <w:r>
        <w:t xml:space="preserve">How final report connects diagrams, code snippets, tests, SFIA, Planner, and worklog.</w:t>
      </w:r>
    </w:p>
    <w:bookmarkEnd w:id="27"/>
    <w:bookmarkStart w:id="28" w:name="min-closing-statement"/>
    <w:p>
      <w:pPr>
        <w:pStyle w:val="Heading2"/>
      </w:pPr>
      <w:r>
        <w:t xml:space="preserve">88-90 min: Closing Statement</w:t>
      </w:r>
    </w:p>
    <w:p>
      <w:pPr>
        <w:pStyle w:val="FirstParagraph"/>
      </w:pPr>
      <w:r>
        <w:t xml:space="preserve">Say:</w:t>
      </w:r>
    </w:p>
    <w:p>
      <w:pPr>
        <w:pStyle w:val="BlockText"/>
      </w:pPr>
      <w:r>
        <w:t xml:space="preserve">This video is representative walkthrough evidence. The detailed work is recorded in the written worklog, Planner tickets, evidence index, HLD/LLD documents, diagrams, and code/test artifacts. The contribution demonstrates software architecture as the integration mechanism for Data Science and Cybersecurity outcomes.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2026-04-30T13:46:35Z</dcterms:created>
  <dcterms:modified xsi:type="dcterms:W3CDTF">2026-04-30T13:46:35Z</dcterms:modified>
</cp:coreProperties>
</file>

<file path=docProps/custom.xml><?xml version="1.0" encoding="utf-8"?>
<Properties xmlns="http://schemas.openxmlformats.org/officeDocument/2006/custom-properties" xmlns:vt="http://schemas.openxmlformats.org/officeDocument/2006/docPropsVTypes"/>
</file>