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video-scripts-sessions-04-10"/>
    <w:p>
      <w:pPr>
        <w:pStyle w:val="Heading1"/>
      </w:pPr>
      <w:r>
        <w:t xml:space="preserve">Video Scripts Sessions 04-10</w:t>
      </w:r>
    </w:p>
    <w:bookmarkStart w:id="26" w:name="session-4-script-60-min"/>
    <w:p>
      <w:pPr>
        <w:pStyle w:val="Heading2"/>
      </w:pPr>
      <w:r>
        <w:t xml:space="preserve">Session 4 Script (60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S04_Data_Contract_and_API_Alignment</w:t>
      </w:r>
    </w:p>
    <w:bookmarkStart w:id="20" w:name="opening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4. I’ll explain the canonical data contract and how frontend and backend API paths align with that contract.</w:t>
      </w:r>
      <w:r>
        <w:t xml:space="preserve">”</w:t>
      </w:r>
    </w:p>
    <w:bookmarkEnd w:id="20"/>
    <w:bookmarkStart w:id="21" w:name="canonical-record-shape"/>
    <w:p>
      <w:pPr>
        <w:pStyle w:val="Heading3"/>
      </w:pPr>
      <w:r>
        <w:t xml:space="preserve">3:00-12:00 Canonical Record Shape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(data contract section)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newBackend/BackendCode/mock_data/processed_data.json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core identity fields are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entry_id</w:t>
      </w:r>
      <w:r>
        <w:t xml:space="preserve">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Sensor fields are dynamic and discovered from data keys.</w:t>
      </w:r>
      <w:r>
        <w:t xml:space="preserve">”</w:t>
      </w:r>
    </w:p>
    <w:bookmarkEnd w:id="21"/>
    <w:bookmarkStart w:id="22" w:name="stream-discovery-and-filtering-contract"/>
    <w:p>
      <w:pPr>
        <w:pStyle w:val="Heading3"/>
      </w:pPr>
      <w:r>
        <w:t xml:space="preserve">12:00-25:00 Stream Discovery and Filtering Contract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newBackend/BackendCode/services/mockService.js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newBackend/BackendCode/controllers/mockController.js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rStyle w:val="VerbatimChar"/>
        </w:rPr>
        <w:t xml:space="preserve">/api/stream-names</w:t>
      </w:r>
      <w:r>
        <w:t xml:space="preserve"> </w:t>
      </w:r>
      <w:r>
        <w:t xml:space="preserve">discovers stream keys, excluding metadata fields.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rStyle w:val="VerbatimChar"/>
        </w:rPr>
        <w:t xml:space="preserve">/api/filter-streams</w:t>
      </w:r>
      <w:r>
        <w:t xml:space="preserve"> </w:t>
      </w:r>
      <w:r>
        <w:t xml:space="preserve">returns selected streams plus identity fields.</w:t>
      </w:r>
      <w:r>
        <w:t xml:space="preserve">”</w:t>
      </w:r>
    </w:p>
    <w:bookmarkEnd w:id="22"/>
    <w:bookmarkStart w:id="23" w:name="frontend-consumption-behavior"/>
    <w:p>
      <w:pPr>
        <w:pStyle w:val="Heading3"/>
      </w:pPr>
      <w:r>
        <w:t xml:space="preserve">25:00-40:00 Frontend Consumption Behavior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new-frontend/frontend/src/hooks/useStreamNames.js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new-frontend/frontend/src/hooks/useFilteredData.js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Frontend expects stable identity fields and dynamic stream keys.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Filtering pipeline projects only selected keys for visualization and stats.</w:t>
      </w:r>
      <w:r>
        <w:t xml:space="preserve">”</w:t>
      </w:r>
    </w:p>
    <w:bookmarkEnd w:id="23"/>
    <w:bookmarkStart w:id="24" w:name="mismatch-risks-and-boundaries"/>
    <w:p>
      <w:pPr>
        <w:pStyle w:val="Heading3"/>
      </w:pPr>
      <w:r>
        <w:t xml:space="preserve">40:00-52:00 Mismatch Risks and Boundaries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(known notes)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Current mock/live path differences are documented to prevent hidden integration failure.</w:t>
      </w:r>
      <w:r>
        <w:t xml:space="preserve">”</w:t>
      </w:r>
    </w:p>
    <w:bookmarkEnd w:id="24"/>
    <w:bookmarkStart w:id="25" w:name="close"/>
    <w:p>
      <w:pPr>
        <w:pStyle w:val="Heading3"/>
      </w:pPr>
      <w:r>
        <w:t xml:space="preserve">52:00-60:00 Close</w:t>
      </w:r>
    </w:p>
    <w:p>
      <w:pPr>
        <w:pStyle w:val="FirstParagraph"/>
      </w:pPr>
      <w:r>
        <w:t xml:space="preserve">“</w:t>
      </w:r>
      <w:r>
        <w:t xml:space="preserve">Session 4 summary: contract consistency is the foundation for architecture reliability and non-disruptive evolution.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ession-5-script-60-min"/>
    <w:p>
      <w:pPr>
        <w:pStyle w:val="Heading2"/>
      </w:pPr>
      <w:r>
        <w:t xml:space="preserve">Session 5 Script (60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S05_Frontend_Hook_Data_Lifecycle</w:t>
      </w:r>
    </w:p>
    <w:bookmarkStart w:id="27" w:name="opening-1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5. I’ll explain frontend hook lifecycle from data load to rendered insights.</w:t>
      </w:r>
      <w:r>
        <w:t xml:space="preserve">”</w:t>
      </w:r>
    </w:p>
    <w:bookmarkEnd w:id="27"/>
    <w:bookmarkStart w:id="28" w:name="data-load-hook"/>
    <w:p>
      <w:pPr>
        <w:pStyle w:val="Heading3"/>
      </w:pPr>
      <w:r>
        <w:t xml:space="preserve">3:00-18:00 Data Load Hook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new-frontend/frontend/src/hooks/useSensorData.js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hook controls source mode: mock vs API.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states for rendering safety.</w:t>
      </w:r>
      <w:r>
        <w:t xml:space="preserve">”</w:t>
      </w:r>
    </w:p>
    <w:bookmarkEnd w:id="28"/>
    <w:bookmarkStart w:id="29" w:name="stream-name-derivation"/>
    <w:p>
      <w:pPr>
        <w:pStyle w:val="Heading3"/>
      </w:pPr>
      <w:r>
        <w:t xml:space="preserve">18:00-32:00 Stream Name Derivation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new-frontend/frontend/src/hooks/useStreamNames.js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Stream names are inferred from keys, excluding</w:t>
      </w:r>
      <w:r>
        <w:t xml:space="preserve"> </w:t>
      </w:r>
      <w:r>
        <w:rPr>
          <w:rStyle w:val="VerbatimChar"/>
        </w:rPr>
        <w:t xml:space="preserve">entry_id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makes selector options dynamic per dataset schema.</w:t>
      </w:r>
      <w:r>
        <w:t xml:space="preserve">”</w:t>
      </w:r>
    </w:p>
    <w:bookmarkEnd w:id="29"/>
    <w:bookmarkStart w:id="30" w:name="filtered-projection-pipeline"/>
    <w:p>
      <w:pPr>
        <w:pStyle w:val="Heading3"/>
      </w:pPr>
      <w:r>
        <w:t xml:space="preserve">32:00-48:00 Filtered Projection Pipeline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new-frontend/frontend/src/hooks/useFilteredData.js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Time/id boundaries are applied first.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Then selected stream keys are projected into chart-ready records.</w:t>
      </w:r>
      <w:r>
        <w:t xml:space="preserve">”</w:t>
      </w:r>
    </w:p>
    <w:bookmarkEnd w:id="30"/>
    <w:bookmarkStart w:id="31" w:name="dashboard-integration"/>
    <w:p>
      <w:pPr>
        <w:pStyle w:val="Heading3"/>
      </w:pPr>
      <w:r>
        <w:t xml:space="preserve">48:00-56:00 Dashboard Integration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new-frontend/frontend/src/components/Dashboard.jsx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Hooks feed dashboard state and control conditional chart sections.</w:t>
      </w:r>
      <w:r>
        <w:t xml:space="preserve">”</w:t>
      </w:r>
    </w:p>
    <w:bookmarkEnd w:id="31"/>
    <w:bookmarkStart w:id="32" w:name="close-1"/>
    <w:p>
      <w:pPr>
        <w:pStyle w:val="Heading3"/>
      </w:pPr>
      <w:r>
        <w:t xml:space="preserve">56:00-60:00 Close</w:t>
      </w:r>
    </w:p>
    <w:p>
      <w:pPr>
        <w:pStyle w:val="FirstParagraph"/>
      </w:pPr>
      <w:r>
        <w:t xml:space="preserve">“</w:t>
      </w:r>
      <w:r>
        <w:t xml:space="preserve">Session 5 summary: hooks form the data orchestration layer between backend/raw data and visualization components.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session-6-script-60-min"/>
    <w:p>
      <w:pPr>
        <w:pStyle w:val="Heading2"/>
      </w:pPr>
      <w:r>
        <w:t xml:space="preserve">Session 6 Script (60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S06_Correlation_and_Insight_Logic</w:t>
      </w:r>
    </w:p>
    <w:bookmarkStart w:id="34" w:name="opening-2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6. I’ll break down correlation and insight logic used in the dashboard.</w:t>
      </w:r>
      <w:r>
        <w:t xml:space="preserve">”</w:t>
      </w:r>
    </w:p>
    <w:bookmarkEnd w:id="34"/>
    <w:bookmarkStart w:id="35" w:name="pearson-correlation-utility"/>
    <w:p>
      <w:pPr>
        <w:pStyle w:val="Heading3"/>
      </w:pPr>
      <w:r>
        <w:t xml:space="preserve">3:00-22:00 Pearson Correlation Utility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implements Pearson correlation from means, covariance-style numerator, and variance-normalized denominator.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Pair search is</w:t>
      </w:r>
      <w:r>
        <w:t xml:space="preserve"> </w:t>
      </w:r>
      <w:r>
        <w:rPr>
          <w:rStyle w:val="VerbatimChar"/>
        </w:rPr>
        <w:t xml:space="preserve">O(k^2*n)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streams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rows.</w:t>
      </w:r>
      <w:r>
        <w:t xml:space="preserve">”</w:t>
      </w:r>
    </w:p>
    <w:bookmarkEnd w:id="35"/>
    <w:bookmarkStart w:id="36" w:name="most-correlated-pair-rendering"/>
    <w:p>
      <w:pPr>
        <w:pStyle w:val="Heading3"/>
      </w:pPr>
      <w:r>
        <w:t xml:space="preserve">22:00-35:00 Most Correlated Pair Rendering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new-frontend/frontend/src/components/MostCorrelatedPair.jsx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 3+ streams, pairwise checks select strongest positive correlation pair.</w:t>
      </w:r>
      <w:r>
        <w:t xml:space="preserve">”</w:t>
      </w:r>
    </w:p>
    <w:bookmarkEnd w:id="36"/>
    <w:bookmarkStart w:id="37" w:name="variance-guard"/>
    <w:p>
      <w:pPr>
        <w:pStyle w:val="Heading3"/>
      </w:pPr>
      <w:r>
        <w:t xml:space="preserve">35:00-46:00 Variance Guard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Guard avoids misleading visualization when one stream is constant.</w:t>
      </w:r>
      <w:r>
        <w:t xml:space="preserve">”</w:t>
      </w:r>
    </w:p>
    <w:bookmarkEnd w:id="37"/>
    <w:bookmarkStart w:id="38" w:name="scatter-trendline"/>
    <w:p>
      <w:pPr>
        <w:pStyle w:val="Heading3"/>
      </w:pPr>
      <w:r>
        <w:t xml:space="preserve">46:00-56:00 Scatter + Trendline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new-frontend/frontend/src/components/ScatterPlot.jsx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new-frontend/frontend/src/utils/trendlineUtils.js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Scatter points represent pair samples; trendline gives directional readability.</w:t>
      </w:r>
      <w:r>
        <w:t xml:space="preserve">”</w:t>
      </w:r>
    </w:p>
    <w:bookmarkEnd w:id="38"/>
    <w:bookmarkStart w:id="39" w:name="close-2"/>
    <w:p>
      <w:pPr>
        <w:pStyle w:val="Heading3"/>
      </w:pPr>
      <w:r>
        <w:t xml:space="preserve">56:00-60:00 Close</w:t>
      </w:r>
    </w:p>
    <w:p>
      <w:pPr>
        <w:pStyle w:val="FirstParagraph"/>
      </w:pPr>
      <w:r>
        <w:t xml:space="preserve">“</w:t>
      </w:r>
      <w:r>
        <w:t xml:space="preserve">Session 6 summary: this module bridges statistical signal extraction with user-facing explainability.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ession-7-script-45-min"/>
    <w:p>
      <w:pPr>
        <w:pStyle w:val="Heading2"/>
      </w:pPr>
      <w:r>
        <w:t xml:space="preserve">Session 7 Script (45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S07_Python_Analytics_Path_and_Separation</w:t>
      </w:r>
    </w:p>
    <w:bookmarkStart w:id="41" w:name="opening-3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7. I’ll explain the Python analytics path and why it is currently separate from active frontend runtime.</w:t>
      </w:r>
      <w:r>
        <w:t xml:space="preserve">”</w:t>
      </w:r>
    </w:p>
    <w:bookmarkEnd w:id="41"/>
    <w:bookmarkStart w:id="42" w:name="algorithm-layer"/>
    <w:p>
      <w:pPr>
        <w:pStyle w:val="Heading3"/>
      </w:pPr>
      <w:r>
        <w:t xml:space="preserve">3:00-20:00 Algorithm Layer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data_science/algorithms/correlation_based.py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data_science/algorithms/mean_based.py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data_science/algorithms/volatility_based.py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Algorithms are reusable, notebook-friendly, and service-callable.</w:t>
      </w:r>
      <w:r>
        <w:t xml:space="preserve">”</w:t>
      </w:r>
    </w:p>
    <w:bookmarkEnd w:id="42"/>
    <w:bookmarkStart w:id="43" w:name="service-wrappers"/>
    <w:p>
      <w:pPr>
        <w:pStyle w:val="Heading3"/>
      </w:pPr>
      <w:r>
        <w:t xml:space="preserve">20:00-32:00 Service Wrappers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data_science/development/choose_algorithm.py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data_science/development/server.py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Flask layer handles file ingest and algorithm routing.</w:t>
      </w:r>
      <w:r>
        <w:t xml:space="preserve">”</w:t>
      </w:r>
    </w:p>
    <w:bookmarkEnd w:id="43"/>
    <w:bookmarkStart w:id="44" w:name="separation-rationale"/>
    <w:p>
      <w:pPr>
        <w:pStyle w:val="Heading3"/>
      </w:pPr>
      <w:r>
        <w:t xml:space="preserve">32:00-41:00 Separation Rationale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Current frontend uses local JS correlation for lightweight demo path.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Python path represents heavier analytics pipeline and extensibility track.</w:t>
      </w:r>
      <w:r>
        <w:t xml:space="preserve">”</w:t>
      </w:r>
    </w:p>
    <w:bookmarkEnd w:id="44"/>
    <w:bookmarkStart w:id="45" w:name="close-3"/>
    <w:p>
      <w:pPr>
        <w:pStyle w:val="Heading3"/>
      </w:pPr>
      <w:r>
        <w:t xml:space="preserve">41:00-45:00 Close</w:t>
      </w:r>
    </w:p>
    <w:p>
      <w:pPr>
        <w:pStyle w:val="FirstParagraph"/>
      </w:pPr>
      <w:r>
        <w:t xml:space="preserve">“</w:t>
      </w:r>
      <w:r>
        <w:t xml:space="preserve">Session 7 summary: separation is architectural stage-based, not conceptual contradiction.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session-8-script-60-min"/>
    <w:p>
      <w:pPr>
        <w:pStyle w:val="Heading2"/>
      </w:pPr>
      <w:r>
        <w:t xml:space="preserve">Session 8 Script (60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S08_Django_DRF_Path_and_Extensibility</w:t>
      </w:r>
    </w:p>
    <w:bookmarkStart w:id="47" w:name="opening-4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8. I’ll explain the Django DRF backend track and how it supports future persistence-oriented architecture.</w:t>
      </w:r>
      <w:r>
        <w:t xml:space="preserve">”</w:t>
      </w:r>
    </w:p>
    <w:bookmarkEnd w:id="47"/>
    <w:bookmarkStart w:id="48" w:name="settings-and-api-root"/>
    <w:p>
      <w:pPr>
        <w:pStyle w:val="Heading3"/>
      </w:pPr>
      <w:r>
        <w:t xml:space="preserve">3:00-18:00 Settings and API Root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backend/iot_backend/iot_backend/settings.py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backend/iot_backend/iot_backend/urls.py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Django track includes CORS-enabled API scaffolding and app routing.</w:t>
      </w:r>
      <w:r>
        <w:t xml:space="preserve">”</w:t>
      </w:r>
    </w:p>
    <w:bookmarkEnd w:id="48"/>
    <w:bookmarkStart w:id="49" w:name="timeseries-app-components"/>
    <w:p>
      <w:pPr>
        <w:pStyle w:val="Heading3"/>
      </w:pPr>
      <w:r>
        <w:t xml:space="preserve">18:00-35:00 Timeseries App Components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backend/iot_backend/timeseries/models.py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backend/iot_backend/timeseries/serializers.py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backend/iot_backend/timeseries/views.py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backend/iot_backend/timeseries/urls.py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Model-viewset-serializer structure formalizes data access and response standardization.</w:t>
      </w:r>
      <w:r>
        <w:t xml:space="preserve">”</w:t>
      </w:r>
    </w:p>
    <w:bookmarkEnd w:id="49"/>
    <w:bookmarkStart w:id="50" w:name="architectural-role-in-ecosystem"/>
    <w:p>
      <w:pPr>
        <w:pStyle w:val="Heading3"/>
      </w:pPr>
      <w:r>
        <w:t xml:space="preserve">35:00-50:00 Architectural Role in Ecosystem</w:t>
      </w:r>
    </w:p>
    <w:p>
      <w:pPr>
        <w:pStyle w:val="FirstParagraph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path is optional extension in current HLD, but important for production-grade evolution.</w:t>
      </w:r>
      <w:r>
        <w:t xml:space="preserve">”</w:t>
      </w:r>
    </w:p>
    <w:bookmarkEnd w:id="50"/>
    <w:bookmarkStart w:id="51" w:name="close-4"/>
    <w:p>
      <w:pPr>
        <w:pStyle w:val="Heading3"/>
      </w:pPr>
      <w:r>
        <w:t xml:space="preserve">50:00-60:00 Close</w:t>
      </w:r>
    </w:p>
    <w:p>
      <w:pPr>
        <w:pStyle w:val="FirstParagraph"/>
      </w:pPr>
      <w:r>
        <w:t xml:space="preserve">“</w:t>
      </w:r>
      <w:r>
        <w:t xml:space="preserve">Session 8 summary: Django DRF path is a persistence-ready extension architecture, consistent with roadmap diagrams.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session-9-script-60-min"/>
    <w:p>
      <w:pPr>
        <w:pStyle w:val="Heading2"/>
      </w:pPr>
      <w:r>
        <w:t xml:space="preserve">Session 9 Script (60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S09_DevOps_Deployment_and_Operations_View</w:t>
      </w:r>
    </w:p>
    <w:bookmarkStart w:id="53" w:name="opening-5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9. I’ll cover deployment and operations architecture using Docker and monitoring artifacts.</w:t>
      </w:r>
      <w:r>
        <w:t xml:space="preserve">”</w:t>
      </w:r>
    </w:p>
    <w:bookmarkEnd w:id="53"/>
    <w:bookmarkStart w:id="54" w:name="compose-topology"/>
    <w:p>
      <w:pPr>
        <w:pStyle w:val="Heading3"/>
      </w:pPr>
      <w:r>
        <w:t xml:space="preserve">3:00-20:00 Compose Topology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Docker/docker-compose.yaml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Compose declares service graph and dependencies for db/backend/frontend/monitoring services.</w:t>
      </w:r>
      <w:r>
        <w:t xml:space="preserve">”</w:t>
      </w:r>
    </w:p>
    <w:bookmarkEnd w:id="54"/>
    <w:bookmarkStart w:id="55" w:name="dockerfiles-and-runtime-boundaries"/>
    <w:p>
      <w:pPr>
        <w:pStyle w:val="Heading3"/>
      </w:pPr>
      <w:r>
        <w:t xml:space="preserve">20:00-34:00 Dockerfiles and Runtime Boundaries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Docker/Backend-Dockerfile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Docker/Frontend-Dockerfile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Container build boundaries align with modular architecture components.</w:t>
      </w:r>
      <w:r>
        <w:t xml:space="preserve">”</w:t>
      </w:r>
    </w:p>
    <w:bookmarkEnd w:id="55"/>
    <w:bookmarkStart w:id="56" w:name="monitoring-view-alignment"/>
    <w:p>
      <w:pPr>
        <w:pStyle w:val="Heading3"/>
      </w:pPr>
      <w:r>
        <w:t xml:space="preserve">34:00-48:00 Monitoring View Alignment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docs/diagrams/22-6-monitoring-and-operations-view.png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Health and metrics flow map to operations observability narrative.</w:t>
      </w:r>
      <w:r>
        <w:t xml:space="preserve">”</w:t>
      </w:r>
    </w:p>
    <w:bookmarkEnd w:id="56"/>
    <w:bookmarkStart w:id="57" w:name="close-5"/>
    <w:p>
      <w:pPr>
        <w:pStyle w:val="Heading3"/>
      </w:pPr>
      <w:r>
        <w:t xml:space="preserve">48:00-60:00 Close</w:t>
      </w:r>
    </w:p>
    <w:p>
      <w:pPr>
        <w:pStyle w:val="FirstParagraph"/>
      </w:pPr>
      <w:r>
        <w:t xml:space="preserve">“</w:t>
      </w:r>
      <w:r>
        <w:t xml:space="preserve">Session 9 summary: deployment and monitoring assets reinforce architecture quality attributes: operability and reliability.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session-10-script-45-min"/>
    <w:p>
      <w:pPr>
        <w:pStyle w:val="Heading2"/>
      </w:pPr>
      <w:r>
        <w:t xml:space="preserve">Session 10 Script (45 min)</w:t>
      </w:r>
    </w:p>
    <w:p>
      <w:pPr>
        <w:pStyle w:val="FirstParagraph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S10_Evidence_Traceability_and_Planner_Governance</w:t>
      </w:r>
    </w:p>
    <w:bookmarkStart w:id="59" w:name="opening-6"/>
    <w:p>
      <w:pPr>
        <w:pStyle w:val="Heading3"/>
      </w:pPr>
      <w:r>
        <w:t xml:space="preserve">0:00-3:00 Opening</w:t>
      </w:r>
    </w:p>
    <w:p>
      <w:pPr>
        <w:pStyle w:val="FirstParagraph"/>
      </w:pPr>
      <w:r>
        <w:t xml:space="preserve">“</w:t>
      </w:r>
      <w:r>
        <w:t xml:space="preserve">Hi, this is Session 10. I’ll walk through the governance evidence proving architecture-led contribution traceability.</w:t>
      </w:r>
      <w:r>
        <w:t xml:space="preserve">”</w:t>
      </w:r>
    </w:p>
    <w:bookmarkEnd w:id="59"/>
    <w:bookmarkStart w:id="60" w:name="worklog-and-evidence-index"/>
    <w:p>
      <w:pPr>
        <w:pStyle w:val="Heading3"/>
      </w:pPr>
      <w:r>
        <w:t xml:space="preserve">3:00-15:00 Worklog and Evidence Index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docs/evidence/worklog.md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Worklog captures effort distribution; evidence index maps claims to artifacts.</w:t>
      </w:r>
      <w:r>
        <w:t xml:space="preserve">”</w:t>
      </w:r>
    </w:p>
    <w:bookmarkEnd w:id="60"/>
    <w:bookmarkStart w:id="61" w:name="planner-traceability"/>
    <w:p>
      <w:pPr>
        <w:pStyle w:val="Heading3"/>
      </w:pPr>
      <w:r>
        <w:t xml:space="preserve">15:00-28:00 Planner Traceability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 Planner board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docs/evidence/PLANNER_TRACEABILITY.md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Software Architecture bucket tickets map directly to code/docs/test artifacts.</w:t>
      </w:r>
      <w:r>
        <w:t xml:space="preserve">”</w:t>
      </w:r>
    </w:p>
    <w:bookmarkEnd w:id="61"/>
    <w:bookmarkStart w:id="62" w:name="sfia-and-professional-mapping"/>
    <w:p>
      <w:pPr>
        <w:pStyle w:val="Heading3"/>
      </w:pPr>
      <w:r>
        <w:t xml:space="preserve">28:00-38:00 SFIA and Professional Mapping</w:t>
      </w:r>
    </w:p>
    <w:p>
      <w:pPr>
        <w:pStyle w:val="FirstParagraph"/>
      </w:pPr>
      <w:r>
        <w:t xml:space="preserve">Show: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docs/sfia/sfia_skill_mapping.md</w:t>
      </w:r>
    </w:p>
    <w:p>
      <w:pPr>
        <w:pStyle w:val="BodyText"/>
      </w:pPr>
      <w:r>
        <w:t xml:space="preserve">Say: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maps technical actions to recognized professional competencies.</w:t>
      </w:r>
      <w:r>
        <w:t xml:space="preserve">”</w:t>
      </w:r>
    </w:p>
    <w:bookmarkEnd w:id="62"/>
    <w:bookmarkStart w:id="63" w:name="close-6"/>
    <w:p>
      <w:pPr>
        <w:pStyle w:val="Heading3"/>
      </w:pPr>
      <w:r>
        <w:t xml:space="preserve">38:00-45:00 Close</w:t>
      </w:r>
    </w:p>
    <w:p>
      <w:pPr>
        <w:pStyle w:val="FirstParagraph"/>
      </w:pPr>
      <w:r>
        <w:t xml:space="preserve">“</w:t>
      </w:r>
      <w:r>
        <w:t xml:space="preserve">Session 10 summary: governance artifacts make architecture contribution assessable, reproducible, and auditable.</w:t>
      </w:r>
      <w:r>
        <w:t xml:space="preserve">”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2026-04-30T17:42:54Z</dcterms:created>
  <dcterms:modified xsi:type="dcterms:W3CDTF">2026-04-30T17:42:54Z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