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e8c56a65fee5813c3f4fa4a398b340d21ec5117"/>
    <w:p>
      <w:pPr>
        <w:pStyle w:val="Heading1"/>
      </w:pPr>
      <w:r>
        <w:t xml:space="preserve">Capstone Technical Contribution and Architecture Evidence Report</w:t>
      </w:r>
    </w:p>
    <w:bookmarkStart w:id="20" w:name="project-context"/>
    <w:p>
      <w:pPr>
        <w:pStyle w:val="Heading2"/>
      </w:pPr>
      <w:r>
        <w:t xml:space="preserve">Project Context</w:t>
      </w:r>
    </w:p>
    <w:p>
      <w:pPr>
        <w:numPr>
          <w:ilvl w:val="0"/>
          <w:numId w:val="1001"/>
        </w:numPr>
        <w:pStyle w:val="Compact"/>
      </w:pPr>
      <w:r>
        <w:t xml:space="preserve">Project: Intelligent IoT Data Management Platform</w:t>
      </w:r>
    </w:p>
    <w:p>
      <w:pPr>
        <w:numPr>
          <w:ilvl w:val="0"/>
          <w:numId w:val="1001"/>
        </w:numPr>
        <w:pStyle w:val="Compact"/>
      </w:pPr>
      <w:r>
        <w:t xml:space="preserve">Core theme: software architecture as the integration backbone</w:t>
      </w:r>
    </w:p>
    <w:p>
      <w:pPr>
        <w:numPr>
          <w:ilvl w:val="0"/>
          <w:numId w:val="1001"/>
        </w:numPr>
        <w:pStyle w:val="Compact"/>
      </w:pPr>
      <w:r>
        <w:t xml:space="preserve">Team leadership context:</w:t>
      </w:r>
    </w:p>
    <w:p>
      <w:pPr>
        <w:numPr>
          <w:ilvl w:val="1"/>
          <w:numId w:val="1002"/>
        </w:numPr>
        <w:pStyle w:val="Compact"/>
      </w:pPr>
      <w:r>
        <w:t xml:space="preserve">Team leader domain: Data Science</w:t>
      </w:r>
    </w:p>
    <w:p>
      <w:pPr>
        <w:numPr>
          <w:ilvl w:val="1"/>
          <w:numId w:val="1002"/>
        </w:numPr>
        <w:pStyle w:val="Compact"/>
      </w:pPr>
      <w:r>
        <w:t xml:space="preserve">Junior leader domain: Cybersecurity</w:t>
      </w:r>
    </w:p>
    <w:p>
      <w:pPr>
        <w:numPr>
          <w:ilvl w:val="0"/>
          <w:numId w:val="1001"/>
        </w:numPr>
        <w:pStyle w:val="Compact"/>
      </w:pPr>
      <w:r>
        <w:t xml:space="preserve">Evidence scope:</w:t>
      </w:r>
    </w:p>
    <w:p>
      <w:pPr>
        <w:numPr>
          <w:ilvl w:val="1"/>
          <w:numId w:val="1003"/>
        </w:numPr>
        <w:pStyle w:val="Compact"/>
      </w:pPr>
      <w:r>
        <w:t xml:space="preserve">Total work log: 120 hours</w:t>
      </w:r>
    </w:p>
    <w:p>
      <w:pPr>
        <w:numPr>
          <w:ilvl w:val="1"/>
          <w:numId w:val="1003"/>
        </w:numPr>
        <w:pStyle w:val="Compact"/>
      </w:pPr>
      <w:r>
        <w:t xml:space="preserve">Technical contribution: 40 hours</w:t>
      </w:r>
    </w:p>
    <w:p>
      <w:pPr>
        <w:numPr>
          <w:ilvl w:val="1"/>
          <w:numId w:val="1003"/>
        </w:numPr>
        <w:pStyle w:val="Compact"/>
      </w:pPr>
      <w:r>
        <w:t xml:space="preserve">Code understanding, architecture, HLD/LLD, and evidence packaging: 80 hours</w:t>
      </w:r>
    </w:p>
    <w:bookmarkEnd w:id="20"/>
    <w:bookmarkStart w:id="21" w:name="executive-statement"/>
    <w:p>
      <w:pPr>
        <w:pStyle w:val="Heading2"/>
      </w:pPr>
      <w:r>
        <w:t xml:space="preserve">Executive Statement</w:t>
      </w:r>
    </w:p>
    <w:p>
      <w:pPr>
        <w:pStyle w:val="FirstParagraph"/>
      </w:pPr>
      <w:r>
        <w:t xml:space="preserve">This report justifies domain-specific technical contribution through architecture-led implementation. Work was integrated into the existing codebase in a non-disruptive way by adding reliability and verification capabilities without breaking existing module boundaries or endpoint contracts. Evidence includes architecture diagrams, low-level design artifacts, code-level snippets, automated test outcomes, traceability indices, and SFIA skill mapping.</w:t>
      </w:r>
    </w:p>
    <w:bookmarkEnd w:id="21"/>
    <w:bookmarkStart w:id="24" w:name="two-step-delivery-strategy"/>
    <w:p>
      <w:pPr>
        <w:pStyle w:val="Heading2"/>
      </w:pPr>
      <w:r>
        <w:t xml:space="preserve">Two-Step Delivery Strategy</w:t>
      </w:r>
    </w:p>
    <w:bookmarkStart w:id="22" w:name="Xe11b0aa0ba5bffb3c1377838c72aedda5ead915"/>
    <w:p>
      <w:pPr>
        <w:pStyle w:val="Heading3"/>
      </w:pPr>
      <w:r>
        <w:t xml:space="preserve">Step 1: Domain-Specific Technical Contribution (Integrated, Non-Disruptive)</w:t>
      </w:r>
    </w:p>
    <w:p>
      <w:pPr>
        <w:pStyle w:val="FirstParagraph"/>
      </w:pPr>
      <w:r>
        <w:t xml:space="preserve">Data Science-aligned contribution:</w:t>
      </w:r>
    </w:p>
    <w:p>
      <w:pPr>
        <w:numPr>
          <w:ilvl w:val="0"/>
          <w:numId w:val="1004"/>
        </w:numPr>
        <w:pStyle w:val="Compact"/>
      </w:pPr>
      <w:r>
        <w:t xml:space="preserve">Correlation implementation traceability from frontend utility path and Python algorithm path.</w:t>
      </w:r>
    </w:p>
    <w:p>
      <w:pPr>
        <w:numPr>
          <w:ilvl w:val="0"/>
          <w:numId w:val="1004"/>
        </w:numPr>
        <w:pStyle w:val="Compact"/>
      </w:pPr>
      <w:r>
        <w:t xml:space="preserve">Insight quality guardrails (variance checks to prevent misleading scatter/correlation views).</w:t>
      </w:r>
    </w:p>
    <w:p>
      <w:pPr>
        <w:numPr>
          <w:ilvl w:val="0"/>
          <w:numId w:val="1004"/>
        </w:numPr>
        <w:pStyle w:val="Compact"/>
      </w:pPr>
      <w:r>
        <w:t xml:space="preserve">LLD-level documentation of algorithm behavior and complexity.</w:t>
      </w:r>
    </w:p>
    <w:p>
      <w:pPr>
        <w:pStyle w:val="FirstParagraph"/>
      </w:pPr>
      <w:r>
        <w:t xml:space="preserve">Cybersecurity-aligned contribution:</w:t>
      </w:r>
    </w:p>
    <w:p>
      <w:pPr>
        <w:numPr>
          <w:ilvl w:val="0"/>
          <w:numId w:val="1005"/>
        </w:numPr>
        <w:pStyle w:val="Compact"/>
      </w:pPr>
      <w:r>
        <w:t xml:space="preserve">Operational reliability baseline via health endpoint.</w:t>
      </w:r>
    </w:p>
    <w:p>
      <w:pPr>
        <w:numPr>
          <w:ilvl w:val="0"/>
          <w:numId w:val="1005"/>
        </w:numPr>
        <w:pStyle w:val="Compact"/>
      </w:pPr>
      <w:r>
        <w:t xml:space="preserve">Input validation evidence through negative-case smoke tests.</w:t>
      </w:r>
    </w:p>
    <w:p>
      <w:pPr>
        <w:numPr>
          <w:ilvl w:val="0"/>
          <w:numId w:val="1005"/>
        </w:numPr>
        <w:pStyle w:val="Compact"/>
      </w:pPr>
      <w:r>
        <w:t xml:space="preserve">Assurance documentation and artifact governance for auditability.</w:t>
      </w:r>
    </w:p>
    <w:p>
      <w:pPr>
        <w:pStyle w:val="FirstParagraph"/>
      </w:pPr>
      <w:r>
        <w:t xml:space="preserve">Integrated code artifacts: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newBackend/BackendCode/app.js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newBackend/BackendCode/server.js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newBackend/BackendCode/repositories/mockRepository.js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newBackend/tests/api.smoke.test.js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newBackend/package.json</w:t>
      </w:r>
    </w:p>
    <w:bookmarkEnd w:id="22"/>
    <w:bookmarkStart w:id="23" w:name="X19b14f8f8276ac0de0d8f222d9b1b2b8c1c8ddb"/>
    <w:p>
      <w:pPr>
        <w:pStyle w:val="Heading3"/>
      </w:pPr>
      <w:r>
        <w:t xml:space="preserve">Step 2: Outshining Through Architecture-Centered Evidence</w:t>
      </w:r>
    </w:p>
    <w:p>
      <w:pPr>
        <w:numPr>
          <w:ilvl w:val="0"/>
          <w:numId w:val="1007"/>
        </w:numPr>
        <w:pStyle w:val="Compact"/>
      </w:pPr>
      <w:r>
        <w:t xml:space="preserve">Full architecture diagram pack (system context, layering, sequence, deployment, monitoring, roadmap).</w:t>
      </w:r>
    </w:p>
    <w:p>
      <w:pPr>
        <w:numPr>
          <w:ilvl w:val="0"/>
          <w:numId w:val="1007"/>
        </w:numPr>
        <w:pStyle w:val="Compact"/>
      </w:pPr>
      <w:r>
        <w:t xml:space="preserve">Expanded LLD and visual HLD outputs in Word format.</w:t>
      </w:r>
    </w:p>
    <w:p>
      <w:pPr>
        <w:numPr>
          <w:ilvl w:val="0"/>
          <w:numId w:val="1007"/>
        </w:numPr>
        <w:pStyle w:val="Compact"/>
      </w:pPr>
      <w:r>
        <w:t xml:space="preserve">Structured evidence governance:</w:t>
      </w:r>
    </w:p>
    <w:p>
      <w:pPr>
        <w:numPr>
          <w:ilvl w:val="1"/>
          <w:numId w:val="1008"/>
        </w:numPr>
        <w:pStyle w:val="Compact"/>
      </w:pPr>
      <w:r>
        <w:t xml:space="preserve">Worklog with hour split</w:t>
      </w:r>
    </w:p>
    <w:p>
      <w:pPr>
        <w:numPr>
          <w:ilvl w:val="1"/>
          <w:numId w:val="1008"/>
        </w:numPr>
        <w:pStyle w:val="Compact"/>
      </w:pPr>
      <w:r>
        <w:t xml:space="preserve">Evidence index with artifact-to-claim traceability</w:t>
      </w:r>
    </w:p>
    <w:p>
      <w:pPr>
        <w:numPr>
          <w:ilvl w:val="1"/>
          <w:numId w:val="1008"/>
        </w:numPr>
        <w:pStyle w:val="Compact"/>
      </w:pPr>
      <w:r>
        <w:t xml:space="preserve">Research synthesis and SFIA mapping</w:t>
      </w:r>
    </w:p>
    <w:bookmarkEnd w:id="23"/>
    <w:bookmarkEnd w:id="24"/>
    <w:bookmarkStart w:id="53" w:name="architecture-diagram-evidence"/>
    <w:p>
      <w:pPr>
        <w:pStyle w:val="Heading2"/>
      </w:pPr>
      <w:r>
        <w:t xml:space="preserve">Architecture Diagram Evidence</w:t>
      </w:r>
    </w:p>
    <w:bookmarkStart w:id="28" w:name="figure-1-system-context"/>
    <w:p>
      <w:pPr>
        <w:pStyle w:val="Heading3"/>
      </w:pPr>
      <w:r>
        <w:t xml:space="preserve">Figure 1: System Context</w:t>
      </w:r>
    </w:p>
    <w:p>
      <w:pPr>
        <w:pStyle w:val="CaptionedFigure"/>
      </w:pPr>
      <w:r>
        <w:drawing>
          <wp:inline>
            <wp:extent cx="5334000" cy="1340303"/>
            <wp:effectExtent b="0" l="0" r="0" t="0"/>
            <wp:docPr descr="System Context" title="" id="26" name="Picture"/>
            <a:graphic>
              <a:graphicData uri="http://schemas.openxmlformats.org/drawingml/2006/picture">
                <pic:pic>
                  <pic:nvPicPr>
                    <pic:cNvPr descr="../diagrams/22-1-system-context-diagram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0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</w:t>
      </w:r>
    </w:p>
    <w:bookmarkEnd w:id="28"/>
    <w:bookmarkStart w:id="32" w:name="figure-2-layered-component-diagram"/>
    <w:p>
      <w:pPr>
        <w:pStyle w:val="Heading3"/>
      </w:pPr>
      <w:r>
        <w:t xml:space="preserve">Figure 2: Layered Component Diagram</w:t>
      </w:r>
    </w:p>
    <w:p>
      <w:pPr>
        <w:pStyle w:val="CaptionedFigure"/>
      </w:pPr>
      <w:r>
        <w:drawing>
          <wp:inline>
            <wp:extent cx="5334000" cy="3633107"/>
            <wp:effectExtent b="0" l="0" r="0" t="0"/>
            <wp:docPr descr="Layered Component" title="" id="30" name="Picture"/>
            <a:graphic>
              <a:graphicData uri="http://schemas.openxmlformats.org/drawingml/2006/picture">
                <pic:pic>
                  <pic:nvPicPr>
                    <pic:cNvPr descr="../diagrams/22-2-layered-component-diagram-primary-runtim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3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Layered Component</w:t>
      </w:r>
    </w:p>
    <w:bookmarkEnd w:id="32"/>
    <w:bookmarkStart w:id="36" w:name="X545263158c80fa171e6618f424ad5d561842a52"/>
    <w:p>
      <w:pPr>
        <w:pStyle w:val="Heading3"/>
      </w:pPr>
      <w:r>
        <w:t xml:space="preserve">Figure 3: End-to-End Sequence (Stream Filtering)</w:t>
      </w:r>
    </w:p>
    <w:p>
      <w:pPr>
        <w:pStyle w:val="CaptionedFigure"/>
      </w:pPr>
      <w:r>
        <w:drawing>
          <wp:inline>
            <wp:extent cx="5334000" cy="1986642"/>
            <wp:effectExtent b="0" l="0" r="0" t="0"/>
            <wp:docPr descr="Sequence Diagram" title="" id="34" name="Picture"/>
            <a:graphic>
              <a:graphicData uri="http://schemas.openxmlformats.org/drawingml/2006/picture">
                <pic:pic>
                  <pic:nvPicPr>
                    <pic:cNvPr descr="../diagrams/22-3-end-to-end-sequence-diagram-stream-filtering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</w:t>
      </w:r>
    </w:p>
    <w:bookmarkEnd w:id="36"/>
    <w:bookmarkStart w:id="40" w:name="Xcc7fc7a54b0cab949de642a16b3044a8172f102"/>
    <w:p>
      <w:pPr>
        <w:pStyle w:val="Heading3"/>
      </w:pPr>
      <w:r>
        <w:t xml:space="preserve">Figure 4: Data Processing and Insight Flow</w:t>
      </w:r>
    </w:p>
    <w:p>
      <w:pPr>
        <w:pStyle w:val="CaptionedFigure"/>
      </w:pPr>
      <w:r>
        <w:drawing>
          <wp:inline>
            <wp:extent cx="5334000" cy="523875"/>
            <wp:effectExtent b="0" l="0" r="0" t="0"/>
            <wp:docPr descr="Data Flow" title="" id="38" name="Picture"/>
            <a:graphic>
              <a:graphicData uri="http://schemas.openxmlformats.org/drawingml/2006/picture">
                <pic:pic>
                  <pic:nvPicPr>
                    <pic:cNvPr descr="../diagrams/22-4-data-processing-and-insight-flow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Flow</w:t>
      </w:r>
    </w:p>
    <w:bookmarkEnd w:id="40"/>
    <w:bookmarkStart w:id="44" w:name="figure-5-deployment-view"/>
    <w:p>
      <w:pPr>
        <w:pStyle w:val="Heading3"/>
      </w:pPr>
      <w:r>
        <w:t xml:space="preserve">Figure 5: Deployment View</w:t>
      </w:r>
    </w:p>
    <w:p>
      <w:pPr>
        <w:pStyle w:val="CaptionedFigure"/>
      </w:pPr>
      <w:r>
        <w:drawing>
          <wp:inline>
            <wp:extent cx="5334000" cy="1748517"/>
            <wp:effectExtent b="0" l="0" r="0" t="0"/>
            <wp:docPr descr="Deployment View" title="" id="42" name="Picture"/>
            <a:graphic>
              <a:graphicData uri="http://schemas.openxmlformats.org/drawingml/2006/picture">
                <pic:pic>
                  <pic:nvPicPr>
                    <pic:cNvPr descr="../diagrams/22-5-deployment-view-current-ecosystem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View</w:t>
      </w:r>
    </w:p>
    <w:bookmarkEnd w:id="44"/>
    <w:bookmarkStart w:id="48" w:name="figure-6-monitoring-and-operations-view"/>
    <w:p>
      <w:pPr>
        <w:pStyle w:val="Heading3"/>
      </w:pPr>
      <w:r>
        <w:t xml:space="preserve">Figure 6: Monitoring and Operations View</w:t>
      </w:r>
    </w:p>
    <w:p>
      <w:pPr>
        <w:pStyle w:val="CaptionedFigure"/>
      </w:pPr>
      <w:r>
        <w:drawing>
          <wp:inline>
            <wp:extent cx="3771900" cy="9118600"/>
            <wp:effectExtent b="0" l="0" r="0" t="0"/>
            <wp:docPr descr="Monitoring View" title="" id="46" name="Picture"/>
            <a:graphic>
              <a:graphicData uri="http://schemas.openxmlformats.org/drawingml/2006/picture">
                <pic:pic>
                  <pic:nvPicPr>
                    <pic:cNvPr descr="../diagrams/22-6-monitoring-and-operations-view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911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Monitoring View</w:t>
      </w:r>
    </w:p>
    <w:bookmarkEnd w:id="48"/>
    <w:bookmarkStart w:id="52" w:name="figure-7-convergence-roadmap"/>
    <w:p>
      <w:pPr>
        <w:pStyle w:val="Heading3"/>
      </w:pPr>
      <w:r>
        <w:t xml:space="preserve">Figure 7: Convergence Roadmap</w:t>
      </w:r>
    </w:p>
    <w:p>
      <w:pPr>
        <w:pStyle w:val="CaptionedFigure"/>
      </w:pPr>
      <w:r>
        <w:drawing>
          <wp:inline>
            <wp:extent cx="5334000" cy="1367517"/>
            <wp:effectExtent b="0" l="0" r="0" t="0"/>
            <wp:docPr descr="Roadmap" title="" id="50" name="Picture"/>
            <a:graphic>
              <a:graphicData uri="http://schemas.openxmlformats.org/drawingml/2006/picture">
                <pic:pic>
                  <pic:nvPicPr>
                    <pic:cNvPr descr="../diagrams/22-7-convergence-roadmap-diagram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7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Roadmap</w:t>
      </w:r>
    </w:p>
    <w:bookmarkEnd w:id="52"/>
    <w:bookmarkEnd w:id="53"/>
    <w:bookmarkStart w:id="60" w:name="X075cad9a57971fdfdab0bdeff4ff0d00eeed9a7"/>
    <w:p>
      <w:pPr>
        <w:pStyle w:val="Heading2"/>
      </w:pPr>
      <w:r>
        <w:t xml:space="preserve">Technical Contribution Evidence (Code Snippets)</w:t>
      </w:r>
    </w:p>
    <w:bookmarkStart w:id="54" w:name="X46a98d40586f445c6e74644383c4e93c9024e80"/>
    <w:p>
      <w:pPr>
        <w:pStyle w:val="Heading3"/>
      </w:pPr>
      <w:r>
        <w:t xml:space="preserve">1) Reliability Endpoint (Non-Disruptive Additive Control)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newBackend/BackendCode/app.js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'/health'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uptimeSeconds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4"/>
    <w:bookmarkStart w:id="55" w:name="automated-smoke-test-verification"/>
    <w:p>
      <w:pPr>
        <w:pStyle w:val="Heading3"/>
      </w:pPr>
      <w:r>
        <w:t xml:space="preserve">2) Automated Smoke Test Verification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newBackend/tests/api.smoke.test.js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 /health returns service health payload'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/health`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uptimeSeconds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5"/>
    <w:bookmarkStart w:id="56" w:name="path-resolution-hardening"/>
    <w:p>
      <w:pPr>
        <w:pStyle w:val="Heading3"/>
      </w:pPr>
      <w:r>
        <w:t xml:space="preserve">3) Path Resolution Hardening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newBackend/BackendCode/repositories/mockRepository.js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configuredPath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PROCESSED_DATA_PATH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configuredPath)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'PROCESSED_DATA_PATH is not configured'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isAbsolute</w:t>
      </w:r>
      <w:r>
        <w:rPr>
          <w:rStyle w:val="NormalTok"/>
        </w:rPr>
        <w:t xml:space="preserve">(configuredPath)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configuredPath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configuredPath)</w:t>
      </w:r>
      <w:r>
        <w:rPr>
          <w:rStyle w:val="OperatorTok"/>
        </w:rPr>
        <w:t xml:space="preserve">;</w:t>
      </w:r>
    </w:p>
    <w:bookmarkEnd w:id="56"/>
    <w:bookmarkStart w:id="57" w:name="correlation-logic-data-science-alignment"/>
    <w:p>
      <w:pPr>
        <w:pStyle w:val="Heading3"/>
      </w:pPr>
      <w:r>
        <w:t xml:space="preserve">4) Correlation Logic (Data Science Alignment)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new-frontend/frontend/src/utils/correlationUtils.js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numerator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(xi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avgY)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(xi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avgX)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(yi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avgY)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numerator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</w:t>
      </w:r>
      <w:r>
        <w:rPr>
          <w:rStyle w:val="OperatorTok"/>
        </w:rPr>
        <w:t xml:space="preserve">;</w:t>
      </w:r>
    </w:p>
    <w:bookmarkEnd w:id="57"/>
    <w:bookmarkStart w:id="58" w:name="variance-guard-for-insight-quality"/>
    <w:p>
      <w:pPr>
        <w:pStyle w:val="Heading3"/>
      </w:pPr>
      <w:r>
        <w:t xml:space="preserve">5) Variance Guard for Insight Quality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new-frontend/frontend/src/utils/varianceUtils.js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(d[key]))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(v))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(values)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unique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8"/>
    <w:bookmarkStart w:id="59" w:name="python-correlation-outlier-logic"/>
    <w:p>
      <w:pPr>
        <w:pStyle w:val="Heading3"/>
      </w:pPr>
      <w:r>
        <w:t xml:space="preserve">6) Python Correlation-Outlier Logic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data_science/algorithms/correlation_based.py</w:t>
      </w:r>
    </w:p>
    <w:p>
      <w:pPr>
        <w:pStyle w:val="SourceCode"/>
      </w:pPr>
      <w:r>
        <w:rPr>
          <w:rStyle w:val="NormalTok"/>
        </w:rPr>
        <w:t xml:space="preserve">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df_period.corr()</w:t>
      </w:r>
      <w:r>
        <w:br/>
      </w:r>
      <w:r>
        <w:br/>
      </w:r>
      <w:r>
        <w:rPr>
          <w:rStyle w:val="NormalTok"/>
        </w:rPr>
        <w:t xml:space="preserve">avg_corr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stream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streams:</w:t>
      </w:r>
      <w:r>
        <w:br/>
      </w:r>
      <w:r>
        <w:rPr>
          <w:rStyle w:val="NormalTok"/>
        </w:rPr>
        <w:t xml:space="preserve">    other_corr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corr_matrix.loc[stream, streams].drop(stream)</w:t>
      </w:r>
      <w:r>
        <w:br/>
      </w:r>
      <w:r>
        <w:rPr>
          <w:rStyle w:val="NormalTok"/>
        </w:rPr>
        <w:t xml:space="preserve">    avg_corr[stream]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other_corr.mean()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avg_corr_series.mean()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avg_corr_series.std()</w:t>
      </w:r>
    </w:p>
    <w:bookmarkEnd w:id="59"/>
    <w:bookmarkEnd w:id="60"/>
    <w:bookmarkStart w:id="61" w:name="visual-evidence-addendum"/>
    <w:p>
      <w:pPr>
        <w:pStyle w:val="Heading2"/>
      </w:pPr>
      <w:r>
        <w:t xml:space="preserve">Visual Evidence Addendum</w:t>
      </w:r>
    </w:p>
    <w:p>
      <w:pPr>
        <w:pStyle w:val="FirstParagraph"/>
      </w:pPr>
      <w:r>
        <w:t xml:space="preserve">The following visual evidence artifacts were generated for assessor-facing communication: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infographic-technical-contribution-timeline.svg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infographic-reliability-test-evidence.svg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infographic-datascience-cybersecurity-controls.svg</w:t>
      </w:r>
    </w:p>
    <w:p>
      <w:pPr>
        <w:pStyle w:val="FirstParagraph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docs/evidence/</w:t>
      </w:r>
    </w:p>
    <w:bookmarkEnd w:id="61"/>
    <w:bookmarkStart w:id="62" w:name="worklog-and-traceability"/>
    <w:p>
      <w:pPr>
        <w:pStyle w:val="Heading2"/>
      </w:pPr>
      <w:r>
        <w:t xml:space="preserve">Worklog and Traceability</w:t>
      </w:r>
    </w:p>
    <w:p>
      <w:pPr>
        <w:pStyle w:val="FirstParagraph"/>
      </w:pPr>
      <w:r>
        <w:t xml:space="preserve">Primary log and traceability files:</w:t>
      </w:r>
    </w:p>
    <w:p>
      <w:pPr>
        <w:numPr>
          <w:ilvl w:val="0"/>
          <w:numId w:val="1010"/>
        </w:numPr>
        <w:pStyle w:val="Compact"/>
      </w:pPr>
      <w:r>
        <w:t xml:space="preserve">Worklog:</w:t>
      </w:r>
      <w:r>
        <w:t xml:space="preserve"> </w:t>
      </w:r>
      <w:r>
        <w:rPr>
          <w:rStyle w:val="VerbatimChar"/>
        </w:rPr>
        <w:t xml:space="preserve">docs/evidence/worklog.md</w:t>
      </w:r>
    </w:p>
    <w:p>
      <w:pPr>
        <w:numPr>
          <w:ilvl w:val="0"/>
          <w:numId w:val="1010"/>
        </w:numPr>
        <w:pStyle w:val="Compact"/>
      </w:pPr>
      <w:r>
        <w:t xml:space="preserve">Evidence register:</w:t>
      </w:r>
      <w:r>
        <w:t xml:space="preserve"> </w:t>
      </w:r>
      <w:r>
        <w:rPr>
          <w:rStyle w:val="VerbatimChar"/>
        </w:rPr>
        <w:t xml:space="preserve">docs/evidence/evidence_index.md</w:t>
      </w:r>
    </w:p>
    <w:p>
      <w:pPr>
        <w:numPr>
          <w:ilvl w:val="0"/>
          <w:numId w:val="1010"/>
        </w:numPr>
        <w:pStyle w:val="Compact"/>
      </w:pPr>
      <w:r>
        <w:t xml:space="preserve">Snippet showcase:</w:t>
      </w:r>
      <w:r>
        <w:t xml:space="preserve"> </w:t>
      </w:r>
      <w:r>
        <w:rPr>
          <w:rStyle w:val="VerbatimChar"/>
        </w:rPr>
        <w:t xml:space="preserve">docs/evidence/code_snippets_showcase.md</w:t>
      </w:r>
    </w:p>
    <w:p>
      <w:pPr>
        <w:pStyle w:val="FirstParagraph"/>
      </w:pPr>
      <w:r>
        <w:t xml:space="preserve">These files map claims to implementation artifacts, test evidence, and architecture outputs.</w:t>
      </w:r>
    </w:p>
    <w:bookmarkEnd w:id="62"/>
    <w:bookmarkStart w:id="63" w:name="X503f6f2d8a4e2cb0023dd627fc031f277c734c9"/>
    <w:p>
      <w:pPr>
        <w:pStyle w:val="Heading2"/>
      </w:pPr>
      <w:r>
        <w:t xml:space="preserve">Planner Governance Evidence (Software Architecture Bucket)</w:t>
      </w:r>
    </w:p>
    <w:p>
      <w:pPr>
        <w:pStyle w:val="FirstParagraph"/>
      </w:pPr>
      <w:r>
        <w:t xml:space="preserve">Planner board used for architecture task planning and progress traceability: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https://planner.cloud.microsoft/webui/plan/Zx8AozAXI0qGNjreoURensgADRuX/view/board?tid=d02378ec-1688-46d5-8540-1c28b5f470f6</w:t>
      </w:r>
    </w:p>
    <w:p>
      <w:pPr>
        <w:pStyle w:val="FirstParagraph"/>
      </w:pPr>
      <w:r>
        <w:t xml:space="preserve">Mapped traceability document: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docs/evidence/PLANNER_TRACEABILITY.md</w:t>
      </w:r>
    </w:p>
    <w:p>
      <w:pPr>
        <w:pStyle w:val="FirstParagraph"/>
      </w:pPr>
      <w:r>
        <w:t xml:space="preserve">Why this strengthens authenticity:</w:t>
      </w:r>
    </w:p>
    <w:p>
      <w:pPr>
        <w:numPr>
          <w:ilvl w:val="0"/>
          <w:numId w:val="1013"/>
        </w:numPr>
        <w:pStyle w:val="Compact"/>
      </w:pPr>
      <w:r>
        <w:t xml:space="preserve">Links planning intent (tickets) to implementation outputs (code/docs/tests).</w:t>
      </w:r>
    </w:p>
    <w:p>
      <w:pPr>
        <w:numPr>
          <w:ilvl w:val="0"/>
          <w:numId w:val="1013"/>
        </w:numPr>
        <w:pStyle w:val="Compact"/>
      </w:pPr>
      <w:r>
        <w:t xml:space="preserve">Shows architecture work decomposition under a dedicated software architecture bucket.</w:t>
      </w:r>
    </w:p>
    <w:p>
      <w:pPr>
        <w:numPr>
          <w:ilvl w:val="0"/>
          <w:numId w:val="1013"/>
        </w:numPr>
        <w:pStyle w:val="Compact"/>
      </w:pPr>
      <w:r>
        <w:t xml:space="preserve">Supports assessor review with verifiable governance artifacts (board screenshots and ticket status evidence).</w:t>
      </w:r>
    </w:p>
    <w:p>
      <w:pPr>
        <w:pStyle w:val="FirstParagraph"/>
      </w:pPr>
      <w:r>
        <w:t xml:space="preserve">Planner-linked evidence IDs: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EV-034</w:t>
      </w:r>
      <w:r>
        <w:t xml:space="preserve"> </w:t>
      </w:r>
      <w:r>
        <w:t xml:space="preserve">(Planner traceability map)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EV-035</w:t>
      </w:r>
      <w:r>
        <w:t xml:space="preserve"> </w:t>
      </w:r>
      <w:r>
        <w:t xml:space="preserve">(Planner board reference)</w:t>
      </w:r>
    </w:p>
    <w:bookmarkEnd w:id="63"/>
    <w:bookmarkStart w:id="64" w:name="architecture-centric-outcomes"/>
    <w:p>
      <w:pPr>
        <w:pStyle w:val="Heading2"/>
      </w:pPr>
      <w:r>
        <w:t xml:space="preserve">Architecture-Centric Outcomes</w:t>
      </w:r>
    </w:p>
    <w:p>
      <w:pPr>
        <w:numPr>
          <w:ilvl w:val="0"/>
          <w:numId w:val="1015"/>
        </w:numPr>
        <w:pStyle w:val="Compact"/>
      </w:pPr>
      <w:r>
        <w:t xml:space="preserve">Preserved existing project structure and contracts.</w:t>
      </w:r>
    </w:p>
    <w:p>
      <w:pPr>
        <w:numPr>
          <w:ilvl w:val="0"/>
          <w:numId w:val="1015"/>
        </w:numPr>
        <w:pStyle w:val="Compact"/>
      </w:pPr>
      <w:r>
        <w:t xml:space="preserve">Added reliability and assurance controls without disruptive refactor.</w:t>
      </w:r>
    </w:p>
    <w:p>
      <w:pPr>
        <w:numPr>
          <w:ilvl w:val="0"/>
          <w:numId w:val="1015"/>
        </w:numPr>
        <w:pStyle w:val="Compact"/>
      </w:pPr>
      <w:r>
        <w:t xml:space="preserve">Strengthened maintainability through clearer module boundaries and documented flows.</w:t>
      </w:r>
    </w:p>
    <w:p>
      <w:pPr>
        <w:numPr>
          <w:ilvl w:val="0"/>
          <w:numId w:val="1015"/>
        </w:numPr>
        <w:pStyle w:val="Compact"/>
      </w:pPr>
      <w:r>
        <w:t xml:space="preserve">Improved assessor traceability with linked artifacts across architecture, code, tests, and governance.</w:t>
      </w:r>
    </w:p>
    <w:bookmarkEnd w:id="64"/>
    <w:bookmarkStart w:id="65" w:name="X11bdc96606495bece2388593e25acd10d42dbcc"/>
    <w:p>
      <w:pPr>
        <w:pStyle w:val="Heading2"/>
      </w:pPr>
      <w:r>
        <w:t xml:space="preserve">High-Value Software Architecture References</w:t>
      </w:r>
    </w:p>
    <w:p>
      <w:pPr>
        <w:numPr>
          <w:ilvl w:val="0"/>
          <w:numId w:val="1016"/>
        </w:numPr>
        <w:pStyle w:val="Compact"/>
      </w:pPr>
      <w:r>
        <w:t xml:space="preserve">ISO/IEC/IEEE 42010 (Architecture Description Standard)</w:t>
      </w:r>
      <w:r>
        <w:t xml:space="preserve"> </w:t>
      </w:r>
      <w:r>
        <w:t xml:space="preserve">https://www.iso.org/standard/74393.html</w:t>
      </w:r>
    </w:p>
    <w:p>
      <w:pPr>
        <w:numPr>
          <w:ilvl w:val="0"/>
          <w:numId w:val="1016"/>
        </w:numPr>
        <w:pStyle w:val="Compact"/>
      </w:pPr>
      <w:r>
        <w:t xml:space="preserve">SEI Carnegie Mellon – Software Architecture</w:t>
      </w:r>
      <w:r>
        <w:t xml:space="preserve"> </w:t>
      </w:r>
      <w:r>
        <w:t xml:space="preserve">https://www.sei.cmu.edu/our-work/software-architecture/</w:t>
      </w:r>
    </w:p>
    <w:p>
      <w:pPr>
        <w:numPr>
          <w:ilvl w:val="0"/>
          <w:numId w:val="1016"/>
        </w:numPr>
        <w:pStyle w:val="Compact"/>
      </w:pPr>
      <w:r>
        <w:t xml:space="preserve">Software Architecture in Practice (Bass, Clements, Kazman)</w:t>
      </w:r>
      <w:r>
        <w:t xml:space="preserve"> </w:t>
      </w:r>
      <w:r>
        <w:t xml:space="preserve">https://www.pearson.com/en-us/subject-catalog/p/software-architecture-in-practice/P200000003657/9780136886099</w:t>
      </w:r>
    </w:p>
    <w:p>
      <w:pPr>
        <w:numPr>
          <w:ilvl w:val="0"/>
          <w:numId w:val="1016"/>
        </w:numPr>
        <w:pStyle w:val="Compact"/>
      </w:pPr>
      <w:r>
        <w:t xml:space="preserve">Microsoft Azure Architecture Center</w:t>
      </w:r>
      <w:r>
        <w:t xml:space="preserve"> </w:t>
      </w:r>
      <w:r>
        <w:t xml:space="preserve">https://learn.microsoft.com/en-us/azure/architecture/</w:t>
      </w:r>
    </w:p>
    <w:p>
      <w:pPr>
        <w:numPr>
          <w:ilvl w:val="0"/>
          <w:numId w:val="1016"/>
        </w:numPr>
        <w:pStyle w:val="Compact"/>
      </w:pPr>
      <w:r>
        <w:t xml:space="preserve">Google Cloud Architecture Framework</w:t>
      </w:r>
      <w:r>
        <w:t xml:space="preserve"> </w:t>
      </w:r>
      <w:r>
        <w:t xml:space="preserve">https://cloud.google.com/architecture/framework</w:t>
      </w:r>
    </w:p>
    <w:bookmarkEnd w:id="65"/>
    <w:bookmarkStart w:id="66" w:name="submission-checklist"/>
    <w:p>
      <w:pPr>
        <w:pStyle w:val="Heading2"/>
      </w:pPr>
      <w:r>
        <w:t xml:space="preserve">Submission Checklist</w:t>
      </w:r>
    </w:p>
    <w:p>
      <w:pPr>
        <w:numPr>
          <w:ilvl w:val="0"/>
          <w:numId w:val="1017"/>
        </w:numPr>
        <w:pStyle w:val="Compact"/>
      </w:pPr>
      <w:r>
        <w:t xml:space="preserve">☒ Architecture diagrams included</w:t>
      </w:r>
    </w:p>
    <w:p>
      <w:pPr>
        <w:numPr>
          <w:ilvl w:val="0"/>
          <w:numId w:val="1017"/>
        </w:numPr>
        <w:pStyle w:val="Compact"/>
      </w:pPr>
      <w:r>
        <w:t xml:space="preserve">☒ Technical code snippets included</w:t>
      </w:r>
    </w:p>
    <w:p>
      <w:pPr>
        <w:numPr>
          <w:ilvl w:val="0"/>
          <w:numId w:val="1017"/>
        </w:numPr>
        <w:pStyle w:val="Compact"/>
      </w:pPr>
      <w:r>
        <w:t xml:space="preserve">☒ Domain-specific contributions justified (Data Science + Cybersecurity)</w:t>
      </w:r>
    </w:p>
    <w:p>
      <w:pPr>
        <w:numPr>
          <w:ilvl w:val="0"/>
          <w:numId w:val="1017"/>
        </w:numPr>
        <w:pStyle w:val="Compact"/>
      </w:pPr>
      <w:r>
        <w:t xml:space="preserve">☒ Non-disruptive integration approach justified</w:t>
      </w:r>
    </w:p>
    <w:p>
      <w:pPr>
        <w:numPr>
          <w:ilvl w:val="0"/>
          <w:numId w:val="1017"/>
        </w:numPr>
        <w:pStyle w:val="Compact"/>
      </w:pPr>
      <w:r>
        <w:t xml:space="preserve">☒ Worklog and evidence index linked</w:t>
      </w:r>
    </w:p>
    <w:p>
      <w:pPr>
        <w:numPr>
          <w:ilvl w:val="0"/>
          <w:numId w:val="1017"/>
        </w:numPr>
        <w:pStyle w:val="Compact"/>
      </w:pPr>
      <w:r>
        <w:t xml:space="preserve">☒ Software architecture references included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2026-04-30T13:10:01Z</dcterms:created>
  <dcterms:modified xsi:type="dcterms:W3CDTF">2026-04-30T13:10:01Z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