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hort-video-clip-scripts"/>
    <w:p>
      <w:pPr>
        <w:pStyle w:val="Heading1"/>
      </w:pPr>
      <w:r>
        <w:t xml:space="preserve">Short Video Clip Scripts</w:t>
      </w:r>
    </w:p>
    <w:p>
      <w:pPr>
        <w:pStyle w:val="FirstParagraph"/>
      </w:pPr>
      <w:r>
        <w:t xml:space="preserve">Use these for 10-15 minute focused recordings.</w:t>
      </w:r>
    </w:p>
    <w:bookmarkStart w:id="20" w:name="vid-002-hld-and-diagram-evidence-15-min"/>
    <w:p>
      <w:pPr>
        <w:pStyle w:val="Heading2"/>
      </w:pPr>
      <w:r>
        <w:t xml:space="preserve">VID-002: HLD and Diagram Evidence (15 min)</w:t>
      </w:r>
    </w:p>
    <w:p>
      <w:pPr>
        <w:pStyle w:val="FirstParagraph"/>
      </w:pPr>
      <w:r>
        <w:t xml:space="preserve">Opening:</w:t>
      </w:r>
    </w:p>
    <w:p>
      <w:pPr>
        <w:pStyle w:val="BlockText"/>
      </w:pPr>
      <w:r>
        <w:t xml:space="preserve">This clip covers the HLD diagram evidence for the Software Architecture workstream.</w:t>
      </w:r>
    </w:p>
    <w:p>
      <w:pPr>
        <w:pStyle w:val="FirstParagraph"/>
      </w:pPr>
      <w:r>
        <w:t xml:space="preserve">Show: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docs/HLD_visual.docx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docs/diagrams/</w:t>
      </w:r>
    </w:p>
    <w:p>
      <w:pPr>
        <w:numPr>
          <w:ilvl w:val="0"/>
          <w:numId w:val="1001"/>
        </w:numPr>
        <w:pStyle w:val="Compact"/>
      </w:pPr>
      <w:r>
        <w:t xml:space="preserve">each PNG diagram briefly</w:t>
      </w:r>
    </w:p>
    <w:p>
      <w:pPr>
        <w:pStyle w:val="FirstParagraph"/>
      </w:pPr>
      <w:r>
        <w:t xml:space="preserve">Key points:</w:t>
      </w:r>
    </w:p>
    <w:p>
      <w:pPr>
        <w:numPr>
          <w:ilvl w:val="0"/>
          <w:numId w:val="1002"/>
        </w:numPr>
        <w:pStyle w:val="Compact"/>
      </w:pPr>
      <w:r>
        <w:t xml:space="preserve">System context diagram shows actors and primary runtime path.</w:t>
      </w:r>
    </w:p>
    <w:p>
      <w:pPr>
        <w:numPr>
          <w:ilvl w:val="0"/>
          <w:numId w:val="1002"/>
        </w:numPr>
        <w:pStyle w:val="Compact"/>
      </w:pPr>
      <w:r>
        <w:t xml:space="preserve">Layered diagram shows frontend, API, data/analytics separation.</w:t>
      </w:r>
    </w:p>
    <w:p>
      <w:pPr>
        <w:numPr>
          <w:ilvl w:val="0"/>
          <w:numId w:val="1002"/>
        </w:numPr>
        <w:pStyle w:val="Compact"/>
      </w:pPr>
      <w:r>
        <w:t xml:space="preserve">Sequence diagram shows stream filtering flow.</w:t>
      </w:r>
    </w:p>
    <w:p>
      <w:pPr>
        <w:numPr>
          <w:ilvl w:val="0"/>
          <w:numId w:val="1002"/>
        </w:numPr>
        <w:pStyle w:val="Compact"/>
      </w:pPr>
      <w:r>
        <w:t xml:space="preserve">Monitoring diagram supports reliability and operations discussion.</w:t>
      </w:r>
    </w:p>
    <w:p>
      <w:pPr>
        <w:pStyle w:val="FirstParagraph"/>
      </w:pPr>
      <w:r>
        <w:t xml:space="preserve">Close:</w:t>
      </w:r>
    </w:p>
    <w:p>
      <w:pPr>
        <w:pStyle w:val="BlockText"/>
      </w:pPr>
      <w:r>
        <w:t xml:space="preserve">These diagrams are linked in the evidence index as EV-023 to EV-029.</w:t>
      </w:r>
    </w:p>
    <w:bookmarkEnd w:id="20"/>
    <w:bookmarkStart w:id="21" w:name="vid-003-lld-and-code-traceability-15-min"/>
    <w:p>
      <w:pPr>
        <w:pStyle w:val="Heading2"/>
      </w:pPr>
      <w:r>
        <w:t xml:space="preserve">VID-003: LLD and Code Traceability (15 min)</w:t>
      </w:r>
    </w:p>
    <w:p>
      <w:pPr>
        <w:pStyle w:val="FirstParagraph"/>
      </w:pPr>
      <w:r>
        <w:t xml:space="preserve">Opening:</w:t>
      </w:r>
    </w:p>
    <w:p>
      <w:pPr>
        <w:pStyle w:val="BlockText"/>
      </w:pPr>
      <w:r>
        <w:t xml:space="preserve">This clip explains how the LLD maps architecture decisions to implementation files.</w:t>
      </w:r>
    </w:p>
    <w:p>
      <w:pPr>
        <w:pStyle w:val="FirstParagraph"/>
      </w:pPr>
      <w:r>
        <w:t xml:space="preserve">Show: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docs/LLD.md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newBackend/BackendCode/routes/mock.js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newBackend/BackendCode/controllers/mockController.js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newBackend/BackendCode/services/mockService.js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newBackend/BackendCode/repositories/mockRepository.js</w:t>
      </w:r>
    </w:p>
    <w:p>
      <w:pPr>
        <w:pStyle w:val="FirstParagraph"/>
      </w:pPr>
      <w:r>
        <w:t xml:space="preserve">Key points:</w:t>
      </w:r>
    </w:p>
    <w:p>
      <w:pPr>
        <w:numPr>
          <w:ilvl w:val="0"/>
          <w:numId w:val="1004"/>
        </w:numPr>
        <w:pStyle w:val="Compact"/>
      </w:pPr>
      <w:r>
        <w:t xml:space="preserve">Route/controller/service/repository separation.</w:t>
      </w:r>
    </w:p>
    <w:p>
      <w:pPr>
        <w:numPr>
          <w:ilvl w:val="0"/>
          <w:numId w:val="1004"/>
        </w:numPr>
        <w:pStyle w:val="Compact"/>
      </w:pPr>
      <w:r>
        <w:t xml:space="preserve">Data contract and filtering behavior.</w:t>
      </w:r>
    </w:p>
    <w:p>
      <w:pPr>
        <w:numPr>
          <w:ilvl w:val="0"/>
          <w:numId w:val="1004"/>
        </w:numPr>
        <w:pStyle w:val="Compact"/>
      </w:pPr>
      <w:r>
        <w:t xml:space="preserve">Known integration boundaries.</w:t>
      </w:r>
    </w:p>
    <w:p>
      <w:pPr>
        <w:pStyle w:val="FirstParagraph"/>
      </w:pPr>
      <w:r>
        <w:t xml:space="preserve">Close:</w:t>
      </w:r>
    </w:p>
    <w:p>
      <w:pPr>
        <w:pStyle w:val="BlockText"/>
      </w:pPr>
      <w:r>
        <w:t xml:space="preserve">This supports EV-005 and EV-006 in the evidence index.</w:t>
      </w:r>
    </w:p>
    <w:bookmarkEnd w:id="21"/>
    <w:bookmarkStart w:id="22" w:name="X3a608aa2a41d20db0c3462baa43bd616a27bdf9"/>
    <w:p>
      <w:pPr>
        <w:pStyle w:val="Heading2"/>
      </w:pPr>
      <w:r>
        <w:t xml:space="preserve">VID-004: Backend Health and Test Evidence (15 min)</w:t>
      </w:r>
    </w:p>
    <w:p>
      <w:pPr>
        <w:pStyle w:val="FirstParagraph"/>
      </w:pPr>
      <w:r>
        <w:t xml:space="preserve">Opening:</w:t>
      </w:r>
    </w:p>
    <w:p>
      <w:pPr>
        <w:pStyle w:val="BlockText"/>
      </w:pPr>
      <w:r>
        <w:t xml:space="preserve">This clip demonstrates the non-disruptive technical contribution.</w:t>
      </w:r>
    </w:p>
    <w:p>
      <w:pPr>
        <w:pStyle w:val="FirstParagraph"/>
      </w:pPr>
      <w:r>
        <w:t xml:space="preserve">Show: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newBackend/BackendCode/app.js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newBackend/tests/api.smoke.test.js</w:t>
      </w:r>
    </w:p>
    <w:p>
      <w:pPr>
        <w:numPr>
          <w:ilvl w:val="0"/>
          <w:numId w:val="1005"/>
        </w:numPr>
        <w:pStyle w:val="Compact"/>
      </w:pPr>
      <w:r>
        <w:t xml:space="preserve">terminal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newBackend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Key points: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is additive.</w:t>
      </w:r>
    </w:p>
    <w:p>
      <w:pPr>
        <w:numPr>
          <w:ilvl w:val="0"/>
          <w:numId w:val="1006"/>
        </w:numPr>
        <w:pStyle w:val="Compact"/>
      </w:pPr>
      <w:r>
        <w:t xml:space="preserve">Smoke tests verify current behavior.</w:t>
      </w:r>
    </w:p>
    <w:p>
      <w:pPr>
        <w:numPr>
          <w:ilvl w:val="0"/>
          <w:numId w:val="1006"/>
        </w:numPr>
        <w:pStyle w:val="Compact"/>
      </w:pPr>
      <w:r>
        <w:t xml:space="preserve">Path hardening improves local reliability.</w:t>
      </w:r>
    </w:p>
    <w:p>
      <w:pPr>
        <w:pStyle w:val="FirstParagraph"/>
      </w:pPr>
      <w:r>
        <w:t xml:space="preserve">Close:</w:t>
      </w:r>
    </w:p>
    <w:p>
      <w:pPr>
        <w:pStyle w:val="BlockText"/>
      </w:pPr>
      <w:r>
        <w:t xml:space="preserve">This maps to EV-001 to EV-004.</w:t>
      </w:r>
    </w:p>
    <w:bookmarkEnd w:id="22"/>
    <w:bookmarkStart w:id="23" w:name="vid-005-evidence-planner-and-sfia-15-min"/>
    <w:p>
      <w:pPr>
        <w:pStyle w:val="Heading2"/>
      </w:pPr>
      <w:r>
        <w:t xml:space="preserve">VID-005: Evidence, Planner, and SFIA (15 min)</w:t>
      </w:r>
    </w:p>
    <w:p>
      <w:pPr>
        <w:pStyle w:val="FirstParagraph"/>
      </w:pPr>
      <w:r>
        <w:t xml:space="preserve">Opening:</w:t>
      </w:r>
    </w:p>
    <w:p>
      <w:pPr>
        <w:pStyle w:val="BlockText"/>
      </w:pPr>
      <w:r>
        <w:t xml:space="preserve">This clip demonstrates governance evidence and traceability.</w:t>
      </w:r>
    </w:p>
    <w:p>
      <w:pPr>
        <w:pStyle w:val="FirstParagraph"/>
      </w:pPr>
      <w:r>
        <w:t xml:space="preserve">Show:</w:t>
      </w:r>
    </w:p>
    <w:p>
      <w:pPr>
        <w:numPr>
          <w:ilvl w:val="0"/>
          <w:numId w:val="1007"/>
        </w:numPr>
        <w:pStyle w:val="Compact"/>
      </w:pPr>
      <w:r>
        <w:t xml:space="preserve">Microsoft Planner board Software Architecture bucket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docs/evidence/PLANNER_TRACEABILITY.md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docs/evidence/evidence_index.md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docs/evidence/worklog.md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docs/sfia/sfia_skill_mapping.md</w:t>
      </w:r>
    </w:p>
    <w:p>
      <w:pPr>
        <w:pStyle w:val="FirstParagraph"/>
      </w:pPr>
      <w:r>
        <w:t xml:space="preserve">Key points:</w:t>
      </w:r>
    </w:p>
    <w:p>
      <w:pPr>
        <w:numPr>
          <w:ilvl w:val="0"/>
          <w:numId w:val="1008"/>
        </w:numPr>
        <w:pStyle w:val="Compact"/>
      </w:pPr>
      <w:r>
        <w:t xml:space="preserve">Planner maps tasks to outputs.</w:t>
      </w:r>
    </w:p>
    <w:p>
      <w:pPr>
        <w:numPr>
          <w:ilvl w:val="0"/>
          <w:numId w:val="1008"/>
        </w:numPr>
        <w:pStyle w:val="Compact"/>
      </w:pPr>
      <w:r>
        <w:t xml:space="preserve">Evidence index maps artifacts to claims.</w:t>
      </w:r>
    </w:p>
    <w:p>
      <w:pPr>
        <w:numPr>
          <w:ilvl w:val="0"/>
          <w:numId w:val="1008"/>
        </w:numPr>
        <w:pStyle w:val="Compact"/>
      </w:pPr>
      <w:r>
        <w:t xml:space="preserve">SFIA maps work to professional competencies.</w:t>
      </w:r>
    </w:p>
    <w:p>
      <w:pPr>
        <w:pStyle w:val="FirstParagraph"/>
      </w:pPr>
      <w:r>
        <w:t xml:space="preserve">Close:</w:t>
      </w:r>
    </w:p>
    <w:p>
      <w:pPr>
        <w:pStyle w:val="BlockText"/>
      </w:pPr>
      <w:r>
        <w:t xml:space="preserve">This supports EV-018, EV-020, EV-034, and EV-035.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2026-04-30T13:46:35Z</dcterms:created>
  <dcterms:modified xsi:type="dcterms:W3CDTF">2026-04-30T13:46:35Z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