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55FAF" w14:textId="65E5F475" w:rsidR="00DD540F" w:rsidRPr="00100486" w:rsidRDefault="000E1D6B" w:rsidP="00100486">
      <w:pPr>
        <w:jc w:val="center"/>
        <w:rPr>
          <w:b/>
          <w:bCs/>
          <w:color w:val="0070C0"/>
          <w:sz w:val="36"/>
          <w:szCs w:val="36"/>
        </w:rPr>
      </w:pPr>
      <w:r w:rsidRPr="000E1D6B">
        <w:rPr>
          <w:b/>
          <w:bCs/>
          <w:color w:val="0070C0"/>
          <w:sz w:val="36"/>
          <w:szCs w:val="36"/>
        </w:rPr>
        <w:t>Homomorphic Encryption Overview Page</w:t>
      </w:r>
    </w:p>
    <w:p w14:paraId="6208A7FB" w14:textId="77777777" w:rsidR="00DD540F" w:rsidRDefault="00DD540F" w:rsidP="00100486">
      <w:pPr>
        <w:spacing w:after="0"/>
        <w:rPr>
          <w:b/>
          <w:bCs/>
          <w:color w:val="0070C0"/>
        </w:rPr>
      </w:pPr>
      <w:r w:rsidRPr="00DD540F">
        <w:rPr>
          <w:b/>
          <w:bCs/>
          <w:color w:val="0070C0"/>
        </w:rPr>
        <w:t>Introduction to Homomorphic Encryption</w:t>
      </w:r>
    </w:p>
    <w:p w14:paraId="5AF3E6DF" w14:textId="740EDB14" w:rsidR="00100486" w:rsidRPr="00DD540F" w:rsidRDefault="00100486" w:rsidP="00100486">
      <w:pPr>
        <w:spacing w:after="0"/>
        <w:rPr>
          <w:color w:val="000000" w:themeColor="text1"/>
        </w:rPr>
      </w:pPr>
      <w:r w:rsidRPr="00100486">
        <w:rPr>
          <w:color w:val="000000" w:themeColor="text1"/>
        </w:rPr>
        <w:t>Welcome to the Homomorphic Encryption Overview Page. Here, you’ll learn what Homomorphic Encryption (HE) is, how it works, and why it’s essential for the financial sector. Discover how HE protects sensitive data while enabling secure analysis and see why leading companies are adopting this technology to enhance privacy and compliance.</w:t>
      </w:r>
    </w:p>
    <w:p w14:paraId="21C31FAD" w14:textId="77777777" w:rsidR="00DD540F" w:rsidRPr="00100486" w:rsidRDefault="00DD540F" w:rsidP="00100486">
      <w:pPr>
        <w:spacing w:after="0"/>
        <w:rPr>
          <w:color w:val="0070C0"/>
        </w:rPr>
      </w:pPr>
      <w:r w:rsidRPr="00DD540F">
        <w:rPr>
          <w:b/>
          <w:bCs/>
          <w:color w:val="0070C0"/>
        </w:rPr>
        <w:t>What is Homomorphic Encryption (HE)?</w:t>
      </w:r>
      <w:r w:rsidRPr="00DD540F">
        <w:rPr>
          <w:color w:val="0070C0"/>
        </w:rPr>
        <w:t xml:space="preserve"> </w:t>
      </w:r>
    </w:p>
    <w:p w14:paraId="5CE5691E" w14:textId="77777777" w:rsidR="002F5C0B" w:rsidRPr="002F5C0B" w:rsidRDefault="002F5C0B" w:rsidP="00100486">
      <w:pPr>
        <w:spacing w:after="0"/>
        <w:rPr>
          <w:color w:val="000000" w:themeColor="text1"/>
        </w:rPr>
      </w:pPr>
      <w:r w:rsidRPr="002F5C0B">
        <w:rPr>
          <w:color w:val="000000" w:themeColor="text1"/>
        </w:rPr>
        <w:t>Homomorphic Encryption (HE) allows computations to be performed on encrypted data without the need to decrypt it first. The results are the same as if the operations were performed on raw data.</w:t>
      </w:r>
    </w:p>
    <w:p w14:paraId="67FE9E7B" w14:textId="2CBB9CAA" w:rsidR="002F5C0B" w:rsidRPr="002F5C0B" w:rsidRDefault="002F5C0B" w:rsidP="00100486">
      <w:pPr>
        <w:spacing w:after="0"/>
        <w:rPr>
          <w:color w:val="000000" w:themeColor="text1"/>
        </w:rPr>
      </w:pPr>
      <w:r w:rsidRPr="002F5C0B">
        <w:rPr>
          <w:color w:val="000000" w:themeColor="text1"/>
        </w:rPr>
        <w:t xml:space="preserve">HE is essential in finance, where privacy and data security are critical, as it enables institutions to securely </w:t>
      </w:r>
      <w:r w:rsidRPr="002F5C0B">
        <w:rPr>
          <w:color w:val="000000" w:themeColor="text1"/>
        </w:rPr>
        <w:t>analyse</w:t>
      </w:r>
      <w:r w:rsidRPr="002F5C0B">
        <w:rPr>
          <w:color w:val="000000" w:themeColor="text1"/>
        </w:rPr>
        <w:t xml:space="preserve"> sensitive data without exposing it.</w:t>
      </w:r>
    </w:p>
    <w:p w14:paraId="6151B4A1" w14:textId="59B038DD" w:rsidR="00DD540F" w:rsidRDefault="00DD540F" w:rsidP="002F5C0B">
      <w:pPr>
        <w:spacing w:after="0"/>
        <w:jc w:val="center"/>
        <w:rPr>
          <w:color w:val="000000" w:themeColor="text1"/>
        </w:rPr>
      </w:pPr>
      <w:r w:rsidRPr="00DD540F">
        <w:rPr>
          <w:b/>
          <w:bCs/>
          <w:color w:val="000000" w:themeColor="text1"/>
        </w:rPr>
        <w:t>How Encryption Works Diagram</w:t>
      </w:r>
    </w:p>
    <w:p w14:paraId="1D8F3280" w14:textId="6F372874" w:rsidR="003224C6" w:rsidRDefault="003224C6" w:rsidP="002F5C0B">
      <w:pPr>
        <w:spacing w:after="0"/>
        <w:jc w:val="center"/>
        <w:rPr>
          <w:color w:val="000000" w:themeColor="text1"/>
        </w:rPr>
      </w:pPr>
      <w:r>
        <w:rPr>
          <w:noProof/>
          <w:color w:val="000000" w:themeColor="text1"/>
        </w:rPr>
        <w:drawing>
          <wp:inline distT="0" distB="0" distL="0" distR="0" wp14:anchorId="3217CBEC" wp14:editId="03A48724">
            <wp:extent cx="5094605" cy="2486025"/>
            <wp:effectExtent l="0" t="0" r="0" b="9525"/>
            <wp:docPr id="944910937" name="Picture 1" descr="A diagram of a key to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10937" name="Picture 1" descr="A diagram of a key to a docume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1450" cy="2489365"/>
                    </a:xfrm>
                    <a:prstGeom prst="rect">
                      <a:avLst/>
                    </a:prstGeom>
                  </pic:spPr>
                </pic:pic>
              </a:graphicData>
            </a:graphic>
          </wp:inline>
        </w:drawing>
      </w:r>
    </w:p>
    <w:p w14:paraId="3B3CFFE9" w14:textId="2F7552ED" w:rsidR="002F5C0B" w:rsidRPr="000E1D6B" w:rsidRDefault="002F5C0B" w:rsidP="002F5C0B">
      <w:pPr>
        <w:spacing w:after="0"/>
        <w:jc w:val="center"/>
        <w:rPr>
          <w:color w:val="000000" w:themeColor="text1"/>
        </w:rPr>
      </w:pPr>
      <w:r w:rsidRPr="002F5C0B">
        <w:rPr>
          <w:color w:val="000000" w:themeColor="text1"/>
        </w:rPr>
        <w:t>This visual explains how encrypted data flows through the system, remaining secure throughout the process.</w:t>
      </w:r>
    </w:p>
    <w:p w14:paraId="58717825" w14:textId="77777777" w:rsidR="00EA4559" w:rsidRPr="00EA4559" w:rsidRDefault="00EA4559" w:rsidP="002F5C0B">
      <w:pPr>
        <w:spacing w:after="0"/>
        <w:rPr>
          <w:b/>
          <w:bCs/>
          <w:color w:val="0070C0"/>
        </w:rPr>
      </w:pPr>
      <w:r w:rsidRPr="00EA4559">
        <w:rPr>
          <w:b/>
          <w:bCs/>
          <w:color w:val="0070C0"/>
        </w:rPr>
        <w:t>How Homomorphic Encryption Works</w:t>
      </w:r>
    </w:p>
    <w:p w14:paraId="24637A25" w14:textId="19DE342E" w:rsidR="00DC1B01" w:rsidRDefault="00DC1B01" w:rsidP="00DC1B01">
      <w:pPr>
        <w:spacing w:after="0"/>
        <w:rPr>
          <w:color w:val="000000" w:themeColor="text1"/>
        </w:rPr>
      </w:pPr>
      <w:r w:rsidRPr="00DC1B01">
        <w:rPr>
          <w:color w:val="000000" w:themeColor="text1"/>
        </w:rPr>
        <w:t xml:space="preserve">Homomorphic Encryption ensures data remains encrypted throughout the entire process. </w:t>
      </w:r>
    </w:p>
    <w:p w14:paraId="10F96961" w14:textId="6C569277" w:rsidR="00DC1B01" w:rsidRPr="00DC1B01" w:rsidRDefault="00DC1B01" w:rsidP="00100486">
      <w:pPr>
        <w:spacing w:after="0"/>
        <w:ind w:firstLine="360"/>
        <w:rPr>
          <w:color w:val="000000" w:themeColor="text1"/>
        </w:rPr>
      </w:pPr>
      <w:r w:rsidRPr="00DC1B01">
        <w:rPr>
          <w:color w:val="000000" w:themeColor="text1"/>
        </w:rPr>
        <w:t>Here's how it works:</w:t>
      </w:r>
    </w:p>
    <w:p w14:paraId="4B4C6AC8" w14:textId="77777777" w:rsidR="00DC1B01" w:rsidRPr="00DC1B01" w:rsidRDefault="00DC1B01" w:rsidP="00DC1B01">
      <w:pPr>
        <w:numPr>
          <w:ilvl w:val="0"/>
          <w:numId w:val="10"/>
        </w:numPr>
        <w:spacing w:after="0"/>
        <w:rPr>
          <w:color w:val="000000" w:themeColor="text1"/>
        </w:rPr>
      </w:pPr>
      <w:r w:rsidRPr="00DC1B01">
        <w:rPr>
          <w:b/>
          <w:bCs/>
          <w:color w:val="000000" w:themeColor="text1"/>
        </w:rPr>
        <w:t>Step 1</w:t>
      </w:r>
      <w:r w:rsidRPr="00DC1B01">
        <w:rPr>
          <w:color w:val="000000" w:themeColor="text1"/>
        </w:rPr>
        <w:t>: Data is encrypted locally (on a device or server).</w:t>
      </w:r>
    </w:p>
    <w:p w14:paraId="4DA94B81" w14:textId="77777777" w:rsidR="00DC1B01" w:rsidRPr="00DC1B01" w:rsidRDefault="00DC1B01" w:rsidP="00DC1B01">
      <w:pPr>
        <w:numPr>
          <w:ilvl w:val="0"/>
          <w:numId w:val="10"/>
        </w:numPr>
        <w:spacing w:after="0"/>
        <w:rPr>
          <w:color w:val="000000" w:themeColor="text1"/>
        </w:rPr>
      </w:pPr>
      <w:r w:rsidRPr="00DC1B01">
        <w:rPr>
          <w:b/>
          <w:bCs/>
          <w:color w:val="000000" w:themeColor="text1"/>
        </w:rPr>
        <w:t>Step 2</w:t>
      </w:r>
      <w:r w:rsidRPr="00DC1B01">
        <w:rPr>
          <w:color w:val="000000" w:themeColor="text1"/>
        </w:rPr>
        <w:t>: The encrypted data is sent to a server or cloud for processing.</w:t>
      </w:r>
    </w:p>
    <w:p w14:paraId="72C26D53" w14:textId="77777777" w:rsidR="00DC1B01" w:rsidRPr="00DC1B01" w:rsidRDefault="00DC1B01" w:rsidP="00DC1B01">
      <w:pPr>
        <w:numPr>
          <w:ilvl w:val="0"/>
          <w:numId w:val="10"/>
        </w:numPr>
        <w:spacing w:after="0"/>
        <w:rPr>
          <w:color w:val="000000" w:themeColor="text1"/>
        </w:rPr>
      </w:pPr>
      <w:r w:rsidRPr="00DC1B01">
        <w:rPr>
          <w:b/>
          <w:bCs/>
          <w:color w:val="000000" w:themeColor="text1"/>
        </w:rPr>
        <w:t>Step 3</w:t>
      </w:r>
      <w:r w:rsidRPr="00DC1B01">
        <w:rPr>
          <w:color w:val="000000" w:themeColor="text1"/>
        </w:rPr>
        <w:t>: Operations are performed directly on the encrypted data, without ever decrypting it.</w:t>
      </w:r>
    </w:p>
    <w:p w14:paraId="27E904B6" w14:textId="77777777" w:rsidR="00DC1B01" w:rsidRDefault="00DC1B01" w:rsidP="00DC1B01">
      <w:pPr>
        <w:numPr>
          <w:ilvl w:val="0"/>
          <w:numId w:val="10"/>
        </w:numPr>
        <w:spacing w:after="0"/>
        <w:rPr>
          <w:color w:val="000000" w:themeColor="text1"/>
        </w:rPr>
      </w:pPr>
      <w:r w:rsidRPr="00DC1B01">
        <w:rPr>
          <w:b/>
          <w:bCs/>
          <w:color w:val="000000" w:themeColor="text1"/>
        </w:rPr>
        <w:t>Step 4</w:t>
      </w:r>
      <w:r w:rsidRPr="00DC1B01">
        <w:rPr>
          <w:color w:val="000000" w:themeColor="text1"/>
        </w:rPr>
        <w:t>: The encrypted result is sent back and decrypted to reveal the outcome.</w:t>
      </w:r>
    </w:p>
    <w:p w14:paraId="7EF3DC47" w14:textId="77777777" w:rsidR="00DC1B01" w:rsidRPr="00DC1B01" w:rsidRDefault="00DC1B01" w:rsidP="00100486">
      <w:pPr>
        <w:spacing w:after="0"/>
        <w:rPr>
          <w:color w:val="000000" w:themeColor="text1"/>
        </w:rPr>
      </w:pPr>
    </w:p>
    <w:p w14:paraId="5F6774B8" w14:textId="22C221F5" w:rsidR="00DC1B01" w:rsidRPr="000E1D6B" w:rsidRDefault="00DC1B01" w:rsidP="002F5C0B">
      <w:pPr>
        <w:spacing w:after="0"/>
        <w:rPr>
          <w:color w:val="000000" w:themeColor="text1"/>
        </w:rPr>
      </w:pPr>
      <w:r w:rsidRPr="00DC1B01">
        <w:rPr>
          <w:color w:val="000000" w:themeColor="text1"/>
        </w:rPr>
        <w:t>This workflow guarantees that sensitive data stays private throughout the entire process, making it ideal for finance, where security is paramount.</w:t>
      </w:r>
    </w:p>
    <w:p w14:paraId="1BB15EC5" w14:textId="77777777" w:rsidR="000E1D6B" w:rsidRPr="000E1D6B" w:rsidRDefault="000E1D6B" w:rsidP="00FD1D76">
      <w:pPr>
        <w:spacing w:after="0"/>
        <w:jc w:val="center"/>
        <w:rPr>
          <w:b/>
          <w:bCs/>
          <w:color w:val="0070C0"/>
        </w:rPr>
      </w:pPr>
      <w:r w:rsidRPr="000E1D6B">
        <w:rPr>
          <w:b/>
          <w:bCs/>
          <w:color w:val="0070C0"/>
        </w:rPr>
        <w:lastRenderedPageBreak/>
        <w:t>Benefits of Homomorphic Encryption in Financial Services</w:t>
      </w:r>
    </w:p>
    <w:p w14:paraId="0B310FA9" w14:textId="77777777" w:rsidR="00FF744C" w:rsidRPr="00FF744C" w:rsidRDefault="00FF744C" w:rsidP="00FF744C">
      <w:pPr>
        <w:spacing w:after="0"/>
        <w:rPr>
          <w:color w:val="000000" w:themeColor="text1"/>
        </w:rPr>
      </w:pPr>
      <w:r w:rsidRPr="00FF744C">
        <w:rPr>
          <w:color w:val="000000" w:themeColor="text1"/>
        </w:rPr>
        <w:t>HE offers several key advantages for financial institutions:</w:t>
      </w:r>
    </w:p>
    <w:p w14:paraId="74326FD4" w14:textId="77777777" w:rsidR="00FF744C" w:rsidRPr="00FF744C" w:rsidRDefault="00FF744C" w:rsidP="00FF744C">
      <w:pPr>
        <w:numPr>
          <w:ilvl w:val="0"/>
          <w:numId w:val="11"/>
        </w:numPr>
        <w:spacing w:after="0"/>
        <w:rPr>
          <w:color w:val="000000" w:themeColor="text1"/>
        </w:rPr>
      </w:pPr>
      <w:r w:rsidRPr="00FF744C">
        <w:rPr>
          <w:b/>
          <w:bCs/>
          <w:color w:val="000000" w:themeColor="text1"/>
        </w:rPr>
        <w:t>Enhanced Data Privacy</w:t>
      </w:r>
      <w:r w:rsidRPr="00FF744C">
        <w:rPr>
          <w:color w:val="000000" w:themeColor="text1"/>
        </w:rPr>
        <w:t>: Sensitive data remains encrypted, minimizing the risk of breaches.</w:t>
      </w:r>
    </w:p>
    <w:p w14:paraId="4DF90303" w14:textId="77777777" w:rsidR="00FF744C" w:rsidRPr="00FF744C" w:rsidRDefault="00FF744C" w:rsidP="00FF744C">
      <w:pPr>
        <w:numPr>
          <w:ilvl w:val="0"/>
          <w:numId w:val="11"/>
        </w:numPr>
        <w:spacing w:after="0"/>
        <w:rPr>
          <w:color w:val="000000" w:themeColor="text1"/>
        </w:rPr>
      </w:pPr>
      <w:r w:rsidRPr="00FF744C">
        <w:rPr>
          <w:b/>
          <w:bCs/>
          <w:color w:val="000000" w:themeColor="text1"/>
        </w:rPr>
        <w:t>Regulatory Compliance</w:t>
      </w:r>
      <w:r w:rsidRPr="00FF744C">
        <w:rPr>
          <w:color w:val="000000" w:themeColor="text1"/>
        </w:rPr>
        <w:t>: Helps meet strict data privacy laws by ensuring data stays protected.</w:t>
      </w:r>
    </w:p>
    <w:p w14:paraId="64F5729D" w14:textId="77777777" w:rsidR="00FF744C" w:rsidRPr="00FF744C" w:rsidRDefault="00FF744C" w:rsidP="00FF744C">
      <w:pPr>
        <w:numPr>
          <w:ilvl w:val="0"/>
          <w:numId w:val="11"/>
        </w:numPr>
        <w:spacing w:after="0"/>
        <w:rPr>
          <w:color w:val="000000" w:themeColor="text1"/>
        </w:rPr>
      </w:pPr>
      <w:r w:rsidRPr="00FF744C">
        <w:rPr>
          <w:b/>
          <w:bCs/>
          <w:color w:val="000000" w:themeColor="text1"/>
        </w:rPr>
        <w:t>Secure Outsourcing</w:t>
      </w:r>
      <w:r w:rsidRPr="00FF744C">
        <w:rPr>
          <w:color w:val="000000" w:themeColor="text1"/>
        </w:rPr>
        <w:t>: Enables financial institutions to securely outsource data processing without sharing raw data.</w:t>
      </w:r>
    </w:p>
    <w:p w14:paraId="373AD9C9" w14:textId="77777777" w:rsidR="00FF744C" w:rsidRPr="00FF744C" w:rsidRDefault="00FF744C" w:rsidP="00FF744C">
      <w:pPr>
        <w:numPr>
          <w:ilvl w:val="0"/>
          <w:numId w:val="11"/>
        </w:numPr>
        <w:spacing w:after="0"/>
        <w:rPr>
          <w:color w:val="000000" w:themeColor="text1"/>
        </w:rPr>
      </w:pPr>
      <w:r w:rsidRPr="00FF744C">
        <w:rPr>
          <w:b/>
          <w:bCs/>
          <w:color w:val="000000" w:themeColor="text1"/>
        </w:rPr>
        <w:t>Fraud Detection &amp; Risk Management</w:t>
      </w:r>
      <w:r w:rsidRPr="00FF744C">
        <w:rPr>
          <w:color w:val="000000" w:themeColor="text1"/>
        </w:rPr>
        <w:t>: HE allows secure analysis of financial data to detect fraud and manage risks effectively.</w:t>
      </w:r>
    </w:p>
    <w:p w14:paraId="73F1B4D1" w14:textId="77777777" w:rsidR="004A3B79" w:rsidRPr="004A3B79" w:rsidRDefault="004A3B79" w:rsidP="004A3B79">
      <w:pPr>
        <w:spacing w:after="0"/>
        <w:jc w:val="center"/>
        <w:rPr>
          <w:b/>
          <w:bCs/>
        </w:rPr>
      </w:pPr>
      <w:r w:rsidRPr="004A3B79">
        <w:rPr>
          <w:b/>
          <w:bCs/>
        </w:rPr>
        <w:t>HE Advantages Infographic</w:t>
      </w:r>
    </w:p>
    <w:p w14:paraId="1AB2AE0A" w14:textId="77777777" w:rsidR="004A3B79" w:rsidRPr="004A3B79" w:rsidRDefault="004A3B79" w:rsidP="004A3B79">
      <w:pPr>
        <w:spacing w:after="0"/>
        <w:jc w:val="center"/>
      </w:pPr>
      <w:r w:rsidRPr="004A3B79">
        <w:drawing>
          <wp:inline distT="0" distB="0" distL="0" distR="0" wp14:anchorId="3E891D77" wp14:editId="2D3C263D">
            <wp:extent cx="6028414" cy="3390900"/>
            <wp:effectExtent l="0" t="0" r="0" b="0"/>
            <wp:docPr id="79284602" name="Picture 2" descr="A blue and green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47136" name="Picture 2" descr="A blue and green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8127" cy="3396363"/>
                    </a:xfrm>
                    <a:prstGeom prst="rect">
                      <a:avLst/>
                    </a:prstGeom>
                  </pic:spPr>
                </pic:pic>
              </a:graphicData>
            </a:graphic>
          </wp:inline>
        </w:drawing>
      </w:r>
    </w:p>
    <w:p w14:paraId="704E656D" w14:textId="2AC9C34C" w:rsidR="004A3B79" w:rsidRDefault="004A3B79" w:rsidP="004A3B79">
      <w:pPr>
        <w:spacing w:after="0"/>
        <w:jc w:val="center"/>
      </w:pPr>
      <w:r w:rsidRPr="004A3B79">
        <w:t>This visual highlight key benefits of Homomorphic Encryption, such as improved privacy, compliance with regulations, and enhanced cloud security.</w:t>
      </w:r>
    </w:p>
    <w:p w14:paraId="1555BD39" w14:textId="77777777" w:rsidR="004A3B79" w:rsidRDefault="004A3B79" w:rsidP="004A3B79">
      <w:pPr>
        <w:spacing w:after="0"/>
        <w:jc w:val="center"/>
      </w:pPr>
    </w:p>
    <w:p w14:paraId="277DF765" w14:textId="77777777" w:rsidR="004A3B79" w:rsidRDefault="004A3B79" w:rsidP="004A3B79">
      <w:pPr>
        <w:spacing w:after="0"/>
        <w:jc w:val="center"/>
      </w:pPr>
    </w:p>
    <w:p w14:paraId="65E18EFB" w14:textId="77777777" w:rsidR="004A3B79" w:rsidRDefault="004A3B79" w:rsidP="004A3B79">
      <w:pPr>
        <w:spacing w:after="0"/>
        <w:jc w:val="center"/>
      </w:pPr>
    </w:p>
    <w:p w14:paraId="743CDFD6" w14:textId="77777777" w:rsidR="004A3B79" w:rsidRDefault="004A3B79" w:rsidP="004A3B79">
      <w:pPr>
        <w:spacing w:after="0"/>
        <w:jc w:val="center"/>
      </w:pPr>
    </w:p>
    <w:p w14:paraId="3C59E991" w14:textId="77777777" w:rsidR="004A3B79" w:rsidRDefault="004A3B79" w:rsidP="004A3B79">
      <w:pPr>
        <w:spacing w:after="0"/>
        <w:jc w:val="center"/>
      </w:pPr>
    </w:p>
    <w:p w14:paraId="325C791A" w14:textId="77777777" w:rsidR="004A3B79" w:rsidRDefault="004A3B79" w:rsidP="004A3B79">
      <w:pPr>
        <w:spacing w:after="0"/>
        <w:jc w:val="center"/>
      </w:pPr>
    </w:p>
    <w:p w14:paraId="01AE1AC2" w14:textId="77777777" w:rsidR="004A3B79" w:rsidRDefault="004A3B79" w:rsidP="004A3B79">
      <w:pPr>
        <w:spacing w:after="0"/>
        <w:jc w:val="center"/>
      </w:pPr>
    </w:p>
    <w:p w14:paraId="6DE4F8C9" w14:textId="77777777" w:rsidR="004A3B79" w:rsidRDefault="004A3B79" w:rsidP="004A3B79">
      <w:pPr>
        <w:spacing w:after="0"/>
        <w:jc w:val="center"/>
      </w:pPr>
    </w:p>
    <w:p w14:paraId="3B3B62D6" w14:textId="77777777" w:rsidR="004A3B79" w:rsidRDefault="004A3B79" w:rsidP="004A3B79">
      <w:pPr>
        <w:spacing w:after="0"/>
        <w:jc w:val="center"/>
      </w:pPr>
    </w:p>
    <w:p w14:paraId="1A25AFC3" w14:textId="77777777" w:rsidR="004A3B79" w:rsidRDefault="004A3B79" w:rsidP="004A3B79">
      <w:pPr>
        <w:spacing w:after="0"/>
        <w:jc w:val="center"/>
      </w:pPr>
    </w:p>
    <w:p w14:paraId="214CA840" w14:textId="77777777" w:rsidR="004A3B79" w:rsidRDefault="004A3B79" w:rsidP="004A3B79">
      <w:pPr>
        <w:spacing w:after="0"/>
        <w:jc w:val="center"/>
      </w:pPr>
    </w:p>
    <w:p w14:paraId="57D9EB34" w14:textId="77777777" w:rsidR="004A3B79" w:rsidRPr="004A3B79" w:rsidRDefault="004A3B79" w:rsidP="004A3B79">
      <w:pPr>
        <w:spacing w:after="0"/>
        <w:jc w:val="center"/>
      </w:pPr>
    </w:p>
    <w:p w14:paraId="786F24DF" w14:textId="77777777" w:rsidR="004A3B79" w:rsidRPr="000E1D6B" w:rsidRDefault="004A3B79" w:rsidP="004A3B79">
      <w:pPr>
        <w:spacing w:after="0"/>
        <w:jc w:val="center"/>
        <w:rPr>
          <w:b/>
          <w:bCs/>
          <w:color w:val="0070C0"/>
        </w:rPr>
      </w:pPr>
      <w:r w:rsidRPr="000E1D6B">
        <w:rPr>
          <w:b/>
          <w:bCs/>
          <w:color w:val="0070C0"/>
        </w:rPr>
        <w:lastRenderedPageBreak/>
        <w:t>Market Trends and Adoption of Homomorphic Encryption</w:t>
      </w:r>
    </w:p>
    <w:p w14:paraId="2918AB34" w14:textId="77777777" w:rsidR="00FF744C" w:rsidRDefault="00FF744C" w:rsidP="004A3B79">
      <w:pPr>
        <w:spacing w:after="0"/>
        <w:jc w:val="center"/>
        <w:rPr>
          <w:color w:val="000000" w:themeColor="text1"/>
          <w:sz w:val="22"/>
          <w:szCs w:val="22"/>
        </w:rPr>
      </w:pPr>
      <w:r w:rsidRPr="00FF744C">
        <w:rPr>
          <w:color w:val="000000" w:themeColor="text1"/>
          <w:sz w:val="22"/>
          <w:szCs w:val="22"/>
        </w:rPr>
        <w:t>As privacy concerns grow, financial institutions are increasingly adopting HE to ensure secure data processing. The market for HE is rapidly expanding, driven by advancements in encryption technology and the need for compliance with data privacy laws.</w:t>
      </w:r>
    </w:p>
    <w:p w14:paraId="53B76040" w14:textId="59FF1014" w:rsidR="004A3B79" w:rsidRPr="004A3B79" w:rsidRDefault="004A3B79" w:rsidP="004A3B79">
      <w:pPr>
        <w:spacing w:after="0"/>
        <w:jc w:val="center"/>
        <w:rPr>
          <w:color w:val="000000" w:themeColor="text1"/>
          <w:sz w:val="22"/>
          <w:szCs w:val="22"/>
        </w:rPr>
      </w:pPr>
      <w:r w:rsidRPr="004A3B79">
        <w:rPr>
          <w:b/>
          <w:bCs/>
          <w:color w:val="000000" w:themeColor="text1"/>
          <w:sz w:val="22"/>
          <w:szCs w:val="22"/>
        </w:rPr>
        <w:t>Homomorphic Encryption Market Size Bar Graph</w:t>
      </w:r>
    </w:p>
    <w:p w14:paraId="3CF4506A" w14:textId="77777777" w:rsidR="004A3B79" w:rsidRPr="004A3B79" w:rsidRDefault="004A3B79" w:rsidP="004A3B79">
      <w:pPr>
        <w:spacing w:after="0"/>
        <w:jc w:val="center"/>
        <w:rPr>
          <w:color w:val="000000" w:themeColor="text1"/>
          <w:sz w:val="22"/>
          <w:szCs w:val="22"/>
        </w:rPr>
      </w:pPr>
      <w:r w:rsidRPr="004A3B79">
        <w:rPr>
          <w:noProof/>
          <w:color w:val="000000" w:themeColor="text1"/>
          <w:sz w:val="22"/>
          <w:szCs w:val="22"/>
        </w:rPr>
        <w:drawing>
          <wp:inline distT="0" distB="0" distL="0" distR="0" wp14:anchorId="243579EB" wp14:editId="30BDEEF2">
            <wp:extent cx="5010150" cy="1950085"/>
            <wp:effectExtent l="0" t="0" r="0" b="0"/>
            <wp:docPr id="2032052740" name="Picture 4"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52740" name="Picture 4" descr="A graph of a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32394" cy="1958743"/>
                    </a:xfrm>
                    <a:prstGeom prst="rect">
                      <a:avLst/>
                    </a:prstGeom>
                  </pic:spPr>
                </pic:pic>
              </a:graphicData>
            </a:graphic>
          </wp:inline>
        </w:drawing>
      </w:r>
    </w:p>
    <w:p w14:paraId="52E61789" w14:textId="77777777" w:rsidR="00FF744C" w:rsidRDefault="00FF744C" w:rsidP="00FD1D76">
      <w:pPr>
        <w:spacing w:after="0"/>
        <w:jc w:val="center"/>
        <w:rPr>
          <w:color w:val="000000" w:themeColor="text1"/>
          <w:sz w:val="22"/>
          <w:szCs w:val="22"/>
        </w:rPr>
      </w:pPr>
      <w:r w:rsidRPr="00FF744C">
        <w:rPr>
          <w:color w:val="000000" w:themeColor="text1"/>
          <w:sz w:val="22"/>
          <w:szCs w:val="22"/>
        </w:rPr>
        <w:t>This visual shows the projected growth of HE in the financial sector, reflecting its rising significance.</w:t>
      </w:r>
    </w:p>
    <w:p w14:paraId="28CCFFA6" w14:textId="74D60E0E" w:rsidR="000E1D6B" w:rsidRPr="000E1D6B" w:rsidRDefault="000E1D6B" w:rsidP="00FD1D76">
      <w:pPr>
        <w:spacing w:after="0"/>
        <w:jc w:val="center"/>
        <w:rPr>
          <w:b/>
          <w:bCs/>
          <w:color w:val="0070C0"/>
        </w:rPr>
      </w:pPr>
      <w:r w:rsidRPr="000E1D6B">
        <w:rPr>
          <w:b/>
          <w:bCs/>
          <w:color w:val="0070C0"/>
        </w:rPr>
        <w:t>Real-World Applications of Homomorphic Encryption in Finance</w:t>
      </w:r>
    </w:p>
    <w:p w14:paraId="36E9AA73" w14:textId="77777777" w:rsidR="004E00FB" w:rsidRPr="004E00FB" w:rsidRDefault="004E00FB" w:rsidP="004E00FB">
      <w:pPr>
        <w:spacing w:after="0"/>
        <w:rPr>
          <w:color w:val="000000" w:themeColor="text1"/>
          <w:sz w:val="22"/>
          <w:szCs w:val="22"/>
        </w:rPr>
      </w:pPr>
      <w:r w:rsidRPr="004E00FB">
        <w:rPr>
          <w:color w:val="000000" w:themeColor="text1"/>
          <w:sz w:val="22"/>
          <w:szCs w:val="22"/>
        </w:rPr>
        <w:t>HE is making a significant impact in the financial sector by enabling secure operations on sensitive data. Here are some key applications:</w:t>
      </w:r>
    </w:p>
    <w:p w14:paraId="3D3CD0E0" w14:textId="3CD26DE8" w:rsidR="004E00FB" w:rsidRPr="004E00FB" w:rsidRDefault="004E00FB" w:rsidP="004E00FB">
      <w:pPr>
        <w:numPr>
          <w:ilvl w:val="0"/>
          <w:numId w:val="12"/>
        </w:numPr>
        <w:spacing w:after="0"/>
        <w:rPr>
          <w:color w:val="000000" w:themeColor="text1"/>
          <w:sz w:val="22"/>
          <w:szCs w:val="22"/>
        </w:rPr>
      </w:pPr>
      <w:r w:rsidRPr="004E00FB">
        <w:rPr>
          <w:b/>
          <w:bCs/>
          <w:color w:val="000000" w:themeColor="text1"/>
          <w:sz w:val="22"/>
          <w:szCs w:val="22"/>
        </w:rPr>
        <w:t>Credit Card Fraud Detection</w:t>
      </w:r>
      <w:r w:rsidRPr="004E00FB">
        <w:rPr>
          <w:color w:val="000000" w:themeColor="text1"/>
          <w:sz w:val="22"/>
          <w:szCs w:val="22"/>
        </w:rPr>
        <w:t xml:space="preserve">: Allows financial institutions to </w:t>
      </w:r>
      <w:r w:rsidRPr="004E00FB">
        <w:rPr>
          <w:color w:val="000000" w:themeColor="text1"/>
          <w:sz w:val="22"/>
          <w:szCs w:val="22"/>
        </w:rPr>
        <w:t>analyse</w:t>
      </w:r>
      <w:r w:rsidRPr="004E00FB">
        <w:rPr>
          <w:color w:val="000000" w:themeColor="text1"/>
          <w:sz w:val="22"/>
          <w:szCs w:val="22"/>
        </w:rPr>
        <w:t xml:space="preserve"> transactions for fraud without exposing personal data.</w:t>
      </w:r>
    </w:p>
    <w:p w14:paraId="6125E5B5" w14:textId="77777777" w:rsidR="004E00FB" w:rsidRPr="004E00FB" w:rsidRDefault="004E00FB" w:rsidP="004E00FB">
      <w:pPr>
        <w:numPr>
          <w:ilvl w:val="0"/>
          <w:numId w:val="12"/>
        </w:numPr>
        <w:spacing w:after="0"/>
        <w:rPr>
          <w:color w:val="000000" w:themeColor="text1"/>
          <w:sz w:val="22"/>
          <w:szCs w:val="22"/>
        </w:rPr>
      </w:pPr>
      <w:r w:rsidRPr="004E00FB">
        <w:rPr>
          <w:b/>
          <w:bCs/>
          <w:color w:val="000000" w:themeColor="text1"/>
          <w:sz w:val="22"/>
          <w:szCs w:val="22"/>
        </w:rPr>
        <w:t>Secure Data Sharing</w:t>
      </w:r>
      <w:r w:rsidRPr="004E00FB">
        <w:rPr>
          <w:color w:val="000000" w:themeColor="text1"/>
          <w:sz w:val="22"/>
          <w:szCs w:val="22"/>
        </w:rPr>
        <w:t>: HE enables encrypted data to be shared between institutions, ensuring privacy.</w:t>
      </w:r>
    </w:p>
    <w:p w14:paraId="05EA43C6" w14:textId="77777777" w:rsidR="004E00FB" w:rsidRPr="004E00FB" w:rsidRDefault="004E00FB" w:rsidP="004E00FB">
      <w:pPr>
        <w:numPr>
          <w:ilvl w:val="0"/>
          <w:numId w:val="12"/>
        </w:numPr>
        <w:spacing w:after="0"/>
        <w:rPr>
          <w:color w:val="000000" w:themeColor="text1"/>
          <w:sz w:val="22"/>
          <w:szCs w:val="22"/>
        </w:rPr>
      </w:pPr>
      <w:r w:rsidRPr="004E00FB">
        <w:rPr>
          <w:b/>
          <w:bCs/>
          <w:color w:val="000000" w:themeColor="text1"/>
          <w:sz w:val="22"/>
          <w:szCs w:val="22"/>
        </w:rPr>
        <w:t>Risk Management</w:t>
      </w:r>
      <w:r w:rsidRPr="004E00FB">
        <w:rPr>
          <w:color w:val="000000" w:themeColor="text1"/>
          <w:sz w:val="22"/>
          <w:szCs w:val="22"/>
        </w:rPr>
        <w:t>: Institutions can securely assess financial risks using encrypted datasets.</w:t>
      </w:r>
    </w:p>
    <w:p w14:paraId="360B2E08" w14:textId="77777777" w:rsidR="004A3B79" w:rsidRPr="004A3B79" w:rsidRDefault="004A3B79" w:rsidP="004A3B79">
      <w:pPr>
        <w:spacing w:after="0"/>
        <w:jc w:val="center"/>
        <w:rPr>
          <w:b/>
          <w:bCs/>
          <w:color w:val="000000" w:themeColor="text1"/>
          <w:sz w:val="22"/>
          <w:szCs w:val="22"/>
        </w:rPr>
      </w:pPr>
      <w:r w:rsidRPr="004A3B79">
        <w:rPr>
          <w:b/>
          <w:bCs/>
          <w:color w:val="000000" w:themeColor="text1"/>
          <w:sz w:val="22"/>
          <w:szCs w:val="22"/>
        </w:rPr>
        <w:t>Applications of HE in Finance Sector Roadmap</w:t>
      </w:r>
    </w:p>
    <w:p w14:paraId="65F1AB97" w14:textId="77777777" w:rsidR="004A3B79" w:rsidRPr="004A3B79" w:rsidRDefault="004A3B79" w:rsidP="004A3B79">
      <w:pPr>
        <w:spacing w:after="0"/>
        <w:jc w:val="center"/>
        <w:rPr>
          <w:color w:val="000000" w:themeColor="text1"/>
          <w:sz w:val="22"/>
          <w:szCs w:val="22"/>
        </w:rPr>
      </w:pPr>
      <w:r w:rsidRPr="004A3B79">
        <w:rPr>
          <w:noProof/>
          <w:color w:val="000000" w:themeColor="text1"/>
          <w:sz w:val="22"/>
          <w:szCs w:val="22"/>
        </w:rPr>
        <w:drawing>
          <wp:inline distT="0" distB="0" distL="0" distR="0" wp14:anchorId="49F0A7A0" wp14:editId="4301AF8E">
            <wp:extent cx="5838825" cy="2684145"/>
            <wp:effectExtent l="0" t="0" r="9525" b="1905"/>
            <wp:docPr id="130060071" name="Picture 3" descr="A green paper money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26951" name="Picture 3" descr="A green paper money with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6254" cy="2692157"/>
                    </a:xfrm>
                    <a:prstGeom prst="rect">
                      <a:avLst/>
                    </a:prstGeom>
                  </pic:spPr>
                </pic:pic>
              </a:graphicData>
            </a:graphic>
          </wp:inline>
        </w:drawing>
      </w:r>
    </w:p>
    <w:p w14:paraId="67E29CC9" w14:textId="5871EC2F" w:rsidR="00EE273F" w:rsidRDefault="004E00FB" w:rsidP="004A3B79">
      <w:pPr>
        <w:spacing w:after="0"/>
        <w:jc w:val="center"/>
        <w:rPr>
          <w:color w:val="000000" w:themeColor="text1"/>
          <w:sz w:val="22"/>
          <w:szCs w:val="22"/>
        </w:rPr>
      </w:pPr>
      <w:r w:rsidRPr="004E00FB">
        <w:rPr>
          <w:color w:val="000000" w:themeColor="text1"/>
          <w:sz w:val="22"/>
          <w:szCs w:val="22"/>
        </w:rPr>
        <w:t>This roadmap provides insights into HE’s role in fighting financial crimes and how financial institutions are adopting it.</w:t>
      </w:r>
    </w:p>
    <w:p w14:paraId="31C92525" w14:textId="77777777" w:rsidR="004E00FB" w:rsidRDefault="004E00FB" w:rsidP="004A3B79">
      <w:pPr>
        <w:spacing w:after="0"/>
        <w:jc w:val="center"/>
        <w:rPr>
          <w:color w:val="000000" w:themeColor="text1"/>
          <w:sz w:val="22"/>
          <w:szCs w:val="22"/>
        </w:rPr>
      </w:pPr>
    </w:p>
    <w:p w14:paraId="5D20440B" w14:textId="77777777" w:rsidR="004E00FB" w:rsidRDefault="004E00FB" w:rsidP="004A3B79">
      <w:pPr>
        <w:spacing w:after="0"/>
        <w:jc w:val="center"/>
        <w:rPr>
          <w:color w:val="000000" w:themeColor="text1"/>
          <w:sz w:val="22"/>
          <w:szCs w:val="22"/>
        </w:rPr>
      </w:pPr>
    </w:p>
    <w:p w14:paraId="2C517421" w14:textId="22A46DC9" w:rsidR="000E1D6B" w:rsidRPr="000E1D6B" w:rsidRDefault="000E1D6B" w:rsidP="004A3B79">
      <w:pPr>
        <w:spacing w:after="0"/>
        <w:jc w:val="center"/>
        <w:rPr>
          <w:color w:val="000000" w:themeColor="text1"/>
          <w:sz w:val="22"/>
          <w:szCs w:val="22"/>
        </w:rPr>
      </w:pPr>
      <w:r w:rsidRPr="000E1D6B">
        <w:rPr>
          <w:b/>
          <w:bCs/>
          <w:color w:val="0070C0"/>
        </w:rPr>
        <w:lastRenderedPageBreak/>
        <w:t>Consumer Trust and Data Privacy</w:t>
      </w:r>
    </w:p>
    <w:p w14:paraId="22A0C95D" w14:textId="77777777" w:rsidR="004E00FB" w:rsidRDefault="004E00FB" w:rsidP="00EF06E8">
      <w:pPr>
        <w:spacing w:after="0"/>
        <w:jc w:val="center"/>
        <w:rPr>
          <w:color w:val="000000" w:themeColor="text1"/>
        </w:rPr>
      </w:pPr>
      <w:r w:rsidRPr="004E00FB">
        <w:rPr>
          <w:color w:val="000000" w:themeColor="text1"/>
        </w:rPr>
        <w:t>Data privacy is a growing concern among consumers, with most people expecting companies to safeguard their information. HE meets this expectation by processing encrypted data, helping businesses maintain trust while complying with privacy regulations.</w:t>
      </w:r>
    </w:p>
    <w:p w14:paraId="1A6C3843" w14:textId="1D215403" w:rsidR="00EF06E8" w:rsidRPr="000E1D6B" w:rsidRDefault="00EF06E8" w:rsidP="00EF06E8">
      <w:pPr>
        <w:spacing w:after="0"/>
        <w:jc w:val="center"/>
        <w:rPr>
          <w:b/>
          <w:bCs/>
          <w:color w:val="000000" w:themeColor="text1"/>
        </w:rPr>
      </w:pPr>
      <w:r w:rsidRPr="00EF06E8">
        <w:rPr>
          <w:b/>
          <w:bCs/>
          <w:color w:val="000000" w:themeColor="text1"/>
        </w:rPr>
        <w:t>Consumer concerns about data Privacy Infographic</w:t>
      </w:r>
    </w:p>
    <w:p w14:paraId="3C1C583E" w14:textId="030489F8" w:rsidR="000817BC" w:rsidRDefault="000817BC" w:rsidP="000817BC">
      <w:pPr>
        <w:spacing w:after="0"/>
        <w:jc w:val="center"/>
        <w:rPr>
          <w:color w:val="000000" w:themeColor="text1"/>
        </w:rPr>
      </w:pPr>
      <w:r>
        <w:rPr>
          <w:noProof/>
          <w:color w:val="000000" w:themeColor="text1"/>
        </w:rPr>
        <w:drawing>
          <wp:inline distT="0" distB="0" distL="0" distR="0" wp14:anchorId="602DA5F1" wp14:editId="1E65536C">
            <wp:extent cx="3752850" cy="2763289"/>
            <wp:effectExtent l="0" t="0" r="0" b="0"/>
            <wp:docPr id="736867863" name="Picture 5"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67863" name="Picture 5" descr="A close-up of a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9480" cy="2775534"/>
                    </a:xfrm>
                    <a:prstGeom prst="rect">
                      <a:avLst/>
                    </a:prstGeom>
                  </pic:spPr>
                </pic:pic>
              </a:graphicData>
            </a:graphic>
          </wp:inline>
        </w:drawing>
      </w:r>
    </w:p>
    <w:p w14:paraId="5BF9B1B0" w14:textId="3AE18D8A" w:rsidR="00D868E0" w:rsidRPr="000E1D6B" w:rsidRDefault="00D868E0" w:rsidP="00D868E0">
      <w:pPr>
        <w:spacing w:after="0"/>
        <w:jc w:val="center"/>
        <w:rPr>
          <w:color w:val="000000" w:themeColor="text1"/>
        </w:rPr>
      </w:pPr>
      <w:proofErr w:type="gramStart"/>
      <w:r w:rsidRPr="00D868E0">
        <w:rPr>
          <w:color w:val="000000" w:themeColor="text1"/>
        </w:rPr>
        <w:t>This graphic highlights</w:t>
      </w:r>
      <w:proofErr w:type="gramEnd"/>
      <w:r w:rsidRPr="00D868E0">
        <w:rPr>
          <w:color w:val="000000" w:themeColor="text1"/>
        </w:rPr>
        <w:t xml:space="preserve"> the growing importance of data privacy for consumers, reinforcing the need for privacy-preserving technologies like HE.</w:t>
      </w:r>
    </w:p>
    <w:p w14:paraId="4B2F5F8D" w14:textId="77777777" w:rsidR="000E1D6B" w:rsidRPr="000E1D6B" w:rsidRDefault="000E1D6B" w:rsidP="000817BC">
      <w:pPr>
        <w:spacing w:after="0"/>
        <w:jc w:val="center"/>
        <w:rPr>
          <w:b/>
          <w:bCs/>
          <w:color w:val="0070C0"/>
        </w:rPr>
      </w:pPr>
      <w:r w:rsidRPr="000E1D6B">
        <w:rPr>
          <w:b/>
          <w:bCs/>
          <w:color w:val="0070C0"/>
        </w:rPr>
        <w:t>Companies Adopting Homomorphic Encryption</w:t>
      </w:r>
    </w:p>
    <w:p w14:paraId="353E7010" w14:textId="77777777" w:rsidR="00D868E0" w:rsidRDefault="00D868E0" w:rsidP="00D25827">
      <w:pPr>
        <w:spacing w:after="0"/>
        <w:jc w:val="center"/>
        <w:rPr>
          <w:color w:val="000000" w:themeColor="text1"/>
        </w:rPr>
      </w:pPr>
      <w:r w:rsidRPr="00D868E0">
        <w:rPr>
          <w:color w:val="000000" w:themeColor="text1"/>
        </w:rPr>
        <w:t>Leading companies such as Microsoft, Google, IBM, and major banks are adopting HE to enhance data security. These organizations use HE to secure sensitive information while complying with regulatory requirements.</w:t>
      </w:r>
    </w:p>
    <w:p w14:paraId="071FDAAA" w14:textId="6E72629F" w:rsidR="00D25827" w:rsidRPr="00D25827" w:rsidRDefault="00D25827" w:rsidP="00D25827">
      <w:pPr>
        <w:spacing w:after="0"/>
        <w:jc w:val="center"/>
        <w:rPr>
          <w:b/>
          <w:bCs/>
          <w:color w:val="000000" w:themeColor="text1"/>
        </w:rPr>
      </w:pPr>
      <w:r w:rsidRPr="00D25827">
        <w:rPr>
          <w:b/>
          <w:bCs/>
          <w:color w:val="000000" w:themeColor="text1"/>
        </w:rPr>
        <w:t>Companies Th</w:t>
      </w:r>
      <w:r w:rsidR="00316550">
        <w:rPr>
          <w:b/>
          <w:bCs/>
          <w:color w:val="000000" w:themeColor="text1"/>
        </w:rPr>
        <w:t>at</w:t>
      </w:r>
      <w:r w:rsidRPr="00D25827">
        <w:rPr>
          <w:b/>
          <w:bCs/>
          <w:color w:val="000000" w:themeColor="text1"/>
        </w:rPr>
        <w:t xml:space="preserve"> Use Homomorphic Encryption</w:t>
      </w:r>
    </w:p>
    <w:p w14:paraId="054F9766" w14:textId="7B8CEC43" w:rsidR="000817BC" w:rsidRDefault="000817BC" w:rsidP="00753191">
      <w:pPr>
        <w:spacing w:after="0"/>
        <w:jc w:val="center"/>
        <w:rPr>
          <w:color w:val="000000" w:themeColor="text1"/>
        </w:rPr>
      </w:pPr>
      <w:r>
        <w:rPr>
          <w:noProof/>
          <w:color w:val="000000" w:themeColor="text1"/>
        </w:rPr>
        <w:drawing>
          <wp:inline distT="0" distB="0" distL="0" distR="0" wp14:anchorId="61D1321D" wp14:editId="4DF72C25">
            <wp:extent cx="4419711" cy="2486025"/>
            <wp:effectExtent l="0" t="0" r="0" b="0"/>
            <wp:docPr id="1794949720" name="Picture 7" descr="A group of logo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49720" name="Picture 7" descr="A group of logos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1022" cy="2492387"/>
                    </a:xfrm>
                    <a:prstGeom prst="rect">
                      <a:avLst/>
                    </a:prstGeom>
                  </pic:spPr>
                </pic:pic>
              </a:graphicData>
            </a:graphic>
          </wp:inline>
        </w:drawing>
      </w:r>
    </w:p>
    <w:p w14:paraId="2907B39E" w14:textId="4329B468" w:rsidR="00D868E0" w:rsidRDefault="00D868E0" w:rsidP="00753191">
      <w:pPr>
        <w:spacing w:after="0"/>
        <w:jc w:val="center"/>
        <w:rPr>
          <w:color w:val="000000" w:themeColor="text1"/>
        </w:rPr>
      </w:pPr>
      <w:r w:rsidRPr="00D868E0">
        <w:rPr>
          <w:color w:val="000000" w:themeColor="text1"/>
        </w:rPr>
        <w:t>This visual shows major companies in finance and tech that have implemented HE to protect their data.</w:t>
      </w:r>
    </w:p>
    <w:p w14:paraId="1FE052BD" w14:textId="77777777" w:rsidR="00D25827" w:rsidRDefault="00D25827" w:rsidP="00EF06E8">
      <w:pPr>
        <w:spacing w:after="0"/>
        <w:rPr>
          <w:color w:val="000000" w:themeColor="text1"/>
        </w:rPr>
      </w:pPr>
    </w:p>
    <w:p w14:paraId="1BBA1FF3" w14:textId="77777777" w:rsidR="002C4492" w:rsidRPr="002C4492" w:rsidRDefault="002C4492" w:rsidP="002C4492">
      <w:pPr>
        <w:spacing w:after="0"/>
        <w:jc w:val="center"/>
        <w:rPr>
          <w:b/>
          <w:bCs/>
          <w:color w:val="0070C0"/>
        </w:rPr>
      </w:pPr>
      <w:r w:rsidRPr="002C4492">
        <w:rPr>
          <w:b/>
          <w:bCs/>
          <w:color w:val="0070C0"/>
        </w:rPr>
        <w:lastRenderedPageBreak/>
        <w:t>Industry Attention on HE and FL</w:t>
      </w:r>
    </w:p>
    <w:p w14:paraId="3334B8B7" w14:textId="77777777" w:rsidR="00B3091C" w:rsidRDefault="00B3091C" w:rsidP="002C4492">
      <w:pPr>
        <w:spacing w:after="0"/>
        <w:jc w:val="center"/>
        <w:rPr>
          <w:color w:val="000000" w:themeColor="text1"/>
        </w:rPr>
      </w:pPr>
      <w:r w:rsidRPr="00B3091C">
        <w:rPr>
          <w:color w:val="000000" w:themeColor="text1"/>
        </w:rPr>
        <w:t>The finance sector leads in adopting privacy-preserving technologies like Homomorphic Encryption (HE) and Federated Learning (FL). The attention on these technologies in finance is due to their ability to secure sensitive financial data while ensuring compliance with privacy laws.</w:t>
      </w:r>
    </w:p>
    <w:p w14:paraId="16E42BD0" w14:textId="6F377D16" w:rsidR="002C4492" w:rsidRDefault="002C4492" w:rsidP="002C4492">
      <w:pPr>
        <w:spacing w:after="0"/>
        <w:jc w:val="center"/>
        <w:rPr>
          <w:color w:val="000000" w:themeColor="text1"/>
        </w:rPr>
      </w:pPr>
      <w:r w:rsidRPr="002C4492">
        <w:rPr>
          <w:b/>
          <w:bCs/>
          <w:color w:val="000000" w:themeColor="text1"/>
        </w:rPr>
        <w:t>HE and FL Attention Based on Industry</w:t>
      </w:r>
      <w:r w:rsidR="006079A7">
        <w:rPr>
          <w:noProof/>
          <w:color w:val="000000" w:themeColor="text1"/>
        </w:rPr>
        <w:drawing>
          <wp:inline distT="0" distB="0" distL="0" distR="0" wp14:anchorId="3F1B021A" wp14:editId="1521E06D">
            <wp:extent cx="5731510" cy="3246755"/>
            <wp:effectExtent l="0" t="0" r="2540" b="0"/>
            <wp:docPr id="621242046" name="Picture 8" descr="A chart of information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42046" name="Picture 8" descr="A chart of information on a white backgroun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r w:rsidRPr="002C4492">
        <w:rPr>
          <w:color w:val="000000" w:themeColor="text1"/>
        </w:rPr>
        <w:br/>
      </w:r>
      <w:r w:rsidR="00B3091C" w:rsidRPr="00B3091C">
        <w:rPr>
          <w:color w:val="000000" w:themeColor="text1"/>
        </w:rPr>
        <w:t>This visual demonstrates how finance is leading the adoption of HE and FL compared to other industries.</w:t>
      </w:r>
      <w:r w:rsidR="006079A7">
        <w:rPr>
          <w:color w:val="000000" w:themeColor="text1"/>
        </w:rPr>
        <w:br/>
      </w:r>
    </w:p>
    <w:p w14:paraId="01413936" w14:textId="77777777" w:rsidR="006079A7" w:rsidRPr="006079A7" w:rsidRDefault="006079A7" w:rsidP="006079A7">
      <w:pPr>
        <w:spacing w:after="0"/>
        <w:jc w:val="center"/>
        <w:rPr>
          <w:b/>
          <w:bCs/>
          <w:color w:val="0070C0"/>
        </w:rPr>
      </w:pPr>
      <w:r w:rsidRPr="006079A7">
        <w:rPr>
          <w:b/>
          <w:bCs/>
          <w:color w:val="0070C0"/>
        </w:rPr>
        <w:t>Summary</w:t>
      </w:r>
    </w:p>
    <w:p w14:paraId="51B0D91D" w14:textId="4EA82DC5" w:rsidR="006079A7" w:rsidRPr="002C4492" w:rsidRDefault="00B3091C" w:rsidP="006079A7">
      <w:pPr>
        <w:spacing w:after="0"/>
        <w:rPr>
          <w:color w:val="000000" w:themeColor="text1"/>
        </w:rPr>
      </w:pPr>
      <w:r w:rsidRPr="00B3091C">
        <w:rPr>
          <w:color w:val="000000" w:themeColor="text1"/>
        </w:rPr>
        <w:t>Homomorphic Encryption (HE) provides financial institutions with a powerful tool to secure data while performing meaningful analysis. As privacy concerns grow and regulatory frameworks become more demanding, HE offers a solution that ensures compliance, privacy, and trust in financial services.</w:t>
      </w:r>
    </w:p>
    <w:p w14:paraId="308AFC5C" w14:textId="77777777" w:rsidR="00D25827" w:rsidRDefault="00D25827" w:rsidP="00753191">
      <w:pPr>
        <w:spacing w:after="0"/>
        <w:jc w:val="center"/>
        <w:rPr>
          <w:color w:val="000000" w:themeColor="text1"/>
        </w:rPr>
      </w:pPr>
    </w:p>
    <w:p w14:paraId="1519BFF2" w14:textId="77777777" w:rsidR="000817BC" w:rsidRDefault="000817BC" w:rsidP="000817BC">
      <w:pPr>
        <w:spacing w:after="0"/>
        <w:rPr>
          <w:color w:val="000000" w:themeColor="text1"/>
        </w:rPr>
      </w:pPr>
    </w:p>
    <w:p w14:paraId="025097EC" w14:textId="1CACFCFC" w:rsidR="000817BC" w:rsidRPr="000E1D6B" w:rsidRDefault="000817BC" w:rsidP="000817BC">
      <w:pPr>
        <w:spacing w:after="0"/>
        <w:rPr>
          <w:color w:val="000000" w:themeColor="text1"/>
        </w:rPr>
      </w:pPr>
    </w:p>
    <w:p w14:paraId="023D3334" w14:textId="77777777" w:rsidR="000817BC" w:rsidRDefault="000817BC" w:rsidP="000E1D6B">
      <w:pPr>
        <w:rPr>
          <w:color w:val="000000" w:themeColor="text1"/>
        </w:rPr>
      </w:pPr>
    </w:p>
    <w:p w14:paraId="1A34107A" w14:textId="77777777" w:rsidR="000817BC" w:rsidRPr="000E1D6B" w:rsidRDefault="000817BC" w:rsidP="000E1D6B">
      <w:pPr>
        <w:rPr>
          <w:color w:val="000000" w:themeColor="text1"/>
        </w:rPr>
      </w:pPr>
    </w:p>
    <w:p w14:paraId="5465B5F9" w14:textId="77777777" w:rsidR="000E1D6B" w:rsidRPr="000E1D6B" w:rsidRDefault="000E1D6B" w:rsidP="000E1D6B">
      <w:pPr>
        <w:rPr>
          <w:color w:val="000000" w:themeColor="text1"/>
        </w:rPr>
      </w:pPr>
    </w:p>
    <w:sectPr w:rsidR="000E1D6B" w:rsidRPr="000E1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5787"/>
    <w:multiLevelType w:val="multilevel"/>
    <w:tmpl w:val="575A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B54CD"/>
    <w:multiLevelType w:val="multilevel"/>
    <w:tmpl w:val="FF40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04199"/>
    <w:multiLevelType w:val="multilevel"/>
    <w:tmpl w:val="B6B6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767AC"/>
    <w:multiLevelType w:val="multilevel"/>
    <w:tmpl w:val="163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422B9"/>
    <w:multiLevelType w:val="multilevel"/>
    <w:tmpl w:val="AD52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418B6"/>
    <w:multiLevelType w:val="multilevel"/>
    <w:tmpl w:val="5996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93867"/>
    <w:multiLevelType w:val="multilevel"/>
    <w:tmpl w:val="2136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D3118"/>
    <w:multiLevelType w:val="multilevel"/>
    <w:tmpl w:val="48B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E4AAA"/>
    <w:multiLevelType w:val="multilevel"/>
    <w:tmpl w:val="5AF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915CA"/>
    <w:multiLevelType w:val="multilevel"/>
    <w:tmpl w:val="2440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64F85"/>
    <w:multiLevelType w:val="multilevel"/>
    <w:tmpl w:val="D7B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281667"/>
    <w:multiLevelType w:val="multilevel"/>
    <w:tmpl w:val="204E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89356">
    <w:abstractNumId w:val="5"/>
  </w:num>
  <w:num w:numId="2" w16cid:durableId="1707296807">
    <w:abstractNumId w:val="0"/>
  </w:num>
  <w:num w:numId="3" w16cid:durableId="1122116075">
    <w:abstractNumId w:val="9"/>
  </w:num>
  <w:num w:numId="4" w16cid:durableId="211307099">
    <w:abstractNumId w:val="1"/>
  </w:num>
  <w:num w:numId="5" w16cid:durableId="305815962">
    <w:abstractNumId w:val="6"/>
  </w:num>
  <w:num w:numId="6" w16cid:durableId="184175885">
    <w:abstractNumId w:val="3"/>
  </w:num>
  <w:num w:numId="7" w16cid:durableId="629556776">
    <w:abstractNumId w:val="7"/>
  </w:num>
  <w:num w:numId="8" w16cid:durableId="1026372380">
    <w:abstractNumId w:val="4"/>
  </w:num>
  <w:num w:numId="9" w16cid:durableId="1565138506">
    <w:abstractNumId w:val="2"/>
  </w:num>
  <w:num w:numId="10" w16cid:durableId="587007798">
    <w:abstractNumId w:val="10"/>
  </w:num>
  <w:num w:numId="11" w16cid:durableId="445197489">
    <w:abstractNumId w:val="11"/>
  </w:num>
  <w:num w:numId="12" w16cid:durableId="536623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6B"/>
    <w:rsid w:val="000817BC"/>
    <w:rsid w:val="000E1D6B"/>
    <w:rsid w:val="00100486"/>
    <w:rsid w:val="00234F6F"/>
    <w:rsid w:val="00295A37"/>
    <w:rsid w:val="002C4492"/>
    <w:rsid w:val="002F5C0B"/>
    <w:rsid w:val="00316550"/>
    <w:rsid w:val="003224C6"/>
    <w:rsid w:val="004766C0"/>
    <w:rsid w:val="004A3B79"/>
    <w:rsid w:val="004E00FB"/>
    <w:rsid w:val="005038FE"/>
    <w:rsid w:val="00526F87"/>
    <w:rsid w:val="006079A7"/>
    <w:rsid w:val="00753191"/>
    <w:rsid w:val="0095749C"/>
    <w:rsid w:val="00B3091C"/>
    <w:rsid w:val="00C019CC"/>
    <w:rsid w:val="00D25827"/>
    <w:rsid w:val="00D868E0"/>
    <w:rsid w:val="00DC1B01"/>
    <w:rsid w:val="00DD540F"/>
    <w:rsid w:val="00EA4559"/>
    <w:rsid w:val="00ED38ED"/>
    <w:rsid w:val="00EE273F"/>
    <w:rsid w:val="00EF06E8"/>
    <w:rsid w:val="00FD1D76"/>
    <w:rsid w:val="00FF74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FF11"/>
  <w15:chartTrackingRefBased/>
  <w15:docId w15:val="{DBEDDDEA-94E6-4861-AD1F-6EDEE6B6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D6B"/>
    <w:rPr>
      <w:rFonts w:eastAsiaTheme="majorEastAsia" w:cstheme="majorBidi"/>
      <w:color w:val="272727" w:themeColor="text1" w:themeTint="D8"/>
    </w:rPr>
  </w:style>
  <w:style w:type="paragraph" w:styleId="Title">
    <w:name w:val="Title"/>
    <w:basedOn w:val="Normal"/>
    <w:next w:val="Normal"/>
    <w:link w:val="TitleChar"/>
    <w:uiPriority w:val="10"/>
    <w:qFormat/>
    <w:rsid w:val="000E1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D6B"/>
    <w:pPr>
      <w:spacing w:before="160"/>
      <w:jc w:val="center"/>
    </w:pPr>
    <w:rPr>
      <w:i/>
      <w:iCs/>
      <w:color w:val="404040" w:themeColor="text1" w:themeTint="BF"/>
    </w:rPr>
  </w:style>
  <w:style w:type="character" w:customStyle="1" w:styleId="QuoteChar">
    <w:name w:val="Quote Char"/>
    <w:basedOn w:val="DefaultParagraphFont"/>
    <w:link w:val="Quote"/>
    <w:uiPriority w:val="29"/>
    <w:rsid w:val="000E1D6B"/>
    <w:rPr>
      <w:i/>
      <w:iCs/>
      <w:color w:val="404040" w:themeColor="text1" w:themeTint="BF"/>
    </w:rPr>
  </w:style>
  <w:style w:type="paragraph" w:styleId="ListParagraph">
    <w:name w:val="List Paragraph"/>
    <w:basedOn w:val="Normal"/>
    <w:uiPriority w:val="34"/>
    <w:qFormat/>
    <w:rsid w:val="000E1D6B"/>
    <w:pPr>
      <w:ind w:left="720"/>
      <w:contextualSpacing/>
    </w:pPr>
  </w:style>
  <w:style w:type="character" w:styleId="IntenseEmphasis">
    <w:name w:val="Intense Emphasis"/>
    <w:basedOn w:val="DefaultParagraphFont"/>
    <w:uiPriority w:val="21"/>
    <w:qFormat/>
    <w:rsid w:val="000E1D6B"/>
    <w:rPr>
      <w:i/>
      <w:iCs/>
      <w:color w:val="0F4761" w:themeColor="accent1" w:themeShade="BF"/>
    </w:rPr>
  </w:style>
  <w:style w:type="paragraph" w:styleId="IntenseQuote">
    <w:name w:val="Intense Quote"/>
    <w:basedOn w:val="Normal"/>
    <w:next w:val="Normal"/>
    <w:link w:val="IntenseQuoteChar"/>
    <w:uiPriority w:val="30"/>
    <w:qFormat/>
    <w:rsid w:val="000E1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D6B"/>
    <w:rPr>
      <w:i/>
      <w:iCs/>
      <w:color w:val="0F4761" w:themeColor="accent1" w:themeShade="BF"/>
    </w:rPr>
  </w:style>
  <w:style w:type="character" w:styleId="IntenseReference">
    <w:name w:val="Intense Reference"/>
    <w:basedOn w:val="DefaultParagraphFont"/>
    <w:uiPriority w:val="32"/>
    <w:qFormat/>
    <w:rsid w:val="000E1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922710">
      <w:bodyDiv w:val="1"/>
      <w:marLeft w:val="0"/>
      <w:marRight w:val="0"/>
      <w:marTop w:val="0"/>
      <w:marBottom w:val="0"/>
      <w:divBdr>
        <w:top w:val="none" w:sz="0" w:space="0" w:color="auto"/>
        <w:left w:val="none" w:sz="0" w:space="0" w:color="auto"/>
        <w:bottom w:val="none" w:sz="0" w:space="0" w:color="auto"/>
        <w:right w:val="none" w:sz="0" w:space="0" w:color="auto"/>
      </w:divBdr>
    </w:div>
    <w:div w:id="313725419">
      <w:bodyDiv w:val="1"/>
      <w:marLeft w:val="0"/>
      <w:marRight w:val="0"/>
      <w:marTop w:val="0"/>
      <w:marBottom w:val="0"/>
      <w:divBdr>
        <w:top w:val="none" w:sz="0" w:space="0" w:color="auto"/>
        <w:left w:val="none" w:sz="0" w:space="0" w:color="auto"/>
        <w:bottom w:val="none" w:sz="0" w:space="0" w:color="auto"/>
        <w:right w:val="none" w:sz="0" w:space="0" w:color="auto"/>
      </w:divBdr>
    </w:div>
    <w:div w:id="317534676">
      <w:bodyDiv w:val="1"/>
      <w:marLeft w:val="0"/>
      <w:marRight w:val="0"/>
      <w:marTop w:val="0"/>
      <w:marBottom w:val="0"/>
      <w:divBdr>
        <w:top w:val="none" w:sz="0" w:space="0" w:color="auto"/>
        <w:left w:val="none" w:sz="0" w:space="0" w:color="auto"/>
        <w:bottom w:val="none" w:sz="0" w:space="0" w:color="auto"/>
        <w:right w:val="none" w:sz="0" w:space="0" w:color="auto"/>
      </w:divBdr>
    </w:div>
    <w:div w:id="403260758">
      <w:bodyDiv w:val="1"/>
      <w:marLeft w:val="0"/>
      <w:marRight w:val="0"/>
      <w:marTop w:val="0"/>
      <w:marBottom w:val="0"/>
      <w:divBdr>
        <w:top w:val="none" w:sz="0" w:space="0" w:color="auto"/>
        <w:left w:val="none" w:sz="0" w:space="0" w:color="auto"/>
        <w:bottom w:val="none" w:sz="0" w:space="0" w:color="auto"/>
        <w:right w:val="none" w:sz="0" w:space="0" w:color="auto"/>
      </w:divBdr>
    </w:div>
    <w:div w:id="426467164">
      <w:bodyDiv w:val="1"/>
      <w:marLeft w:val="0"/>
      <w:marRight w:val="0"/>
      <w:marTop w:val="0"/>
      <w:marBottom w:val="0"/>
      <w:divBdr>
        <w:top w:val="none" w:sz="0" w:space="0" w:color="auto"/>
        <w:left w:val="none" w:sz="0" w:space="0" w:color="auto"/>
        <w:bottom w:val="none" w:sz="0" w:space="0" w:color="auto"/>
        <w:right w:val="none" w:sz="0" w:space="0" w:color="auto"/>
      </w:divBdr>
    </w:div>
    <w:div w:id="751315514">
      <w:bodyDiv w:val="1"/>
      <w:marLeft w:val="0"/>
      <w:marRight w:val="0"/>
      <w:marTop w:val="0"/>
      <w:marBottom w:val="0"/>
      <w:divBdr>
        <w:top w:val="none" w:sz="0" w:space="0" w:color="auto"/>
        <w:left w:val="none" w:sz="0" w:space="0" w:color="auto"/>
        <w:bottom w:val="none" w:sz="0" w:space="0" w:color="auto"/>
        <w:right w:val="none" w:sz="0" w:space="0" w:color="auto"/>
      </w:divBdr>
    </w:div>
    <w:div w:id="814373651">
      <w:bodyDiv w:val="1"/>
      <w:marLeft w:val="0"/>
      <w:marRight w:val="0"/>
      <w:marTop w:val="0"/>
      <w:marBottom w:val="0"/>
      <w:divBdr>
        <w:top w:val="none" w:sz="0" w:space="0" w:color="auto"/>
        <w:left w:val="none" w:sz="0" w:space="0" w:color="auto"/>
        <w:bottom w:val="none" w:sz="0" w:space="0" w:color="auto"/>
        <w:right w:val="none" w:sz="0" w:space="0" w:color="auto"/>
      </w:divBdr>
    </w:div>
    <w:div w:id="842430182">
      <w:bodyDiv w:val="1"/>
      <w:marLeft w:val="0"/>
      <w:marRight w:val="0"/>
      <w:marTop w:val="0"/>
      <w:marBottom w:val="0"/>
      <w:divBdr>
        <w:top w:val="none" w:sz="0" w:space="0" w:color="auto"/>
        <w:left w:val="none" w:sz="0" w:space="0" w:color="auto"/>
        <w:bottom w:val="none" w:sz="0" w:space="0" w:color="auto"/>
        <w:right w:val="none" w:sz="0" w:space="0" w:color="auto"/>
      </w:divBdr>
    </w:div>
    <w:div w:id="935136738">
      <w:bodyDiv w:val="1"/>
      <w:marLeft w:val="0"/>
      <w:marRight w:val="0"/>
      <w:marTop w:val="0"/>
      <w:marBottom w:val="0"/>
      <w:divBdr>
        <w:top w:val="none" w:sz="0" w:space="0" w:color="auto"/>
        <w:left w:val="none" w:sz="0" w:space="0" w:color="auto"/>
        <w:bottom w:val="none" w:sz="0" w:space="0" w:color="auto"/>
        <w:right w:val="none" w:sz="0" w:space="0" w:color="auto"/>
      </w:divBdr>
    </w:div>
    <w:div w:id="937255149">
      <w:bodyDiv w:val="1"/>
      <w:marLeft w:val="0"/>
      <w:marRight w:val="0"/>
      <w:marTop w:val="0"/>
      <w:marBottom w:val="0"/>
      <w:divBdr>
        <w:top w:val="none" w:sz="0" w:space="0" w:color="auto"/>
        <w:left w:val="none" w:sz="0" w:space="0" w:color="auto"/>
        <w:bottom w:val="none" w:sz="0" w:space="0" w:color="auto"/>
        <w:right w:val="none" w:sz="0" w:space="0" w:color="auto"/>
      </w:divBdr>
    </w:div>
    <w:div w:id="939607255">
      <w:bodyDiv w:val="1"/>
      <w:marLeft w:val="0"/>
      <w:marRight w:val="0"/>
      <w:marTop w:val="0"/>
      <w:marBottom w:val="0"/>
      <w:divBdr>
        <w:top w:val="none" w:sz="0" w:space="0" w:color="auto"/>
        <w:left w:val="none" w:sz="0" w:space="0" w:color="auto"/>
        <w:bottom w:val="none" w:sz="0" w:space="0" w:color="auto"/>
        <w:right w:val="none" w:sz="0" w:space="0" w:color="auto"/>
      </w:divBdr>
    </w:div>
    <w:div w:id="1096293367">
      <w:bodyDiv w:val="1"/>
      <w:marLeft w:val="0"/>
      <w:marRight w:val="0"/>
      <w:marTop w:val="0"/>
      <w:marBottom w:val="0"/>
      <w:divBdr>
        <w:top w:val="none" w:sz="0" w:space="0" w:color="auto"/>
        <w:left w:val="none" w:sz="0" w:space="0" w:color="auto"/>
        <w:bottom w:val="none" w:sz="0" w:space="0" w:color="auto"/>
        <w:right w:val="none" w:sz="0" w:space="0" w:color="auto"/>
      </w:divBdr>
    </w:div>
    <w:div w:id="1139540579">
      <w:bodyDiv w:val="1"/>
      <w:marLeft w:val="0"/>
      <w:marRight w:val="0"/>
      <w:marTop w:val="0"/>
      <w:marBottom w:val="0"/>
      <w:divBdr>
        <w:top w:val="none" w:sz="0" w:space="0" w:color="auto"/>
        <w:left w:val="none" w:sz="0" w:space="0" w:color="auto"/>
        <w:bottom w:val="none" w:sz="0" w:space="0" w:color="auto"/>
        <w:right w:val="none" w:sz="0" w:space="0" w:color="auto"/>
      </w:divBdr>
    </w:div>
    <w:div w:id="1173255051">
      <w:bodyDiv w:val="1"/>
      <w:marLeft w:val="0"/>
      <w:marRight w:val="0"/>
      <w:marTop w:val="0"/>
      <w:marBottom w:val="0"/>
      <w:divBdr>
        <w:top w:val="none" w:sz="0" w:space="0" w:color="auto"/>
        <w:left w:val="none" w:sz="0" w:space="0" w:color="auto"/>
        <w:bottom w:val="none" w:sz="0" w:space="0" w:color="auto"/>
        <w:right w:val="none" w:sz="0" w:space="0" w:color="auto"/>
      </w:divBdr>
    </w:div>
    <w:div w:id="1219516158">
      <w:bodyDiv w:val="1"/>
      <w:marLeft w:val="0"/>
      <w:marRight w:val="0"/>
      <w:marTop w:val="0"/>
      <w:marBottom w:val="0"/>
      <w:divBdr>
        <w:top w:val="none" w:sz="0" w:space="0" w:color="auto"/>
        <w:left w:val="none" w:sz="0" w:space="0" w:color="auto"/>
        <w:bottom w:val="none" w:sz="0" w:space="0" w:color="auto"/>
        <w:right w:val="none" w:sz="0" w:space="0" w:color="auto"/>
      </w:divBdr>
    </w:div>
    <w:div w:id="1233856911">
      <w:bodyDiv w:val="1"/>
      <w:marLeft w:val="0"/>
      <w:marRight w:val="0"/>
      <w:marTop w:val="0"/>
      <w:marBottom w:val="0"/>
      <w:divBdr>
        <w:top w:val="none" w:sz="0" w:space="0" w:color="auto"/>
        <w:left w:val="none" w:sz="0" w:space="0" w:color="auto"/>
        <w:bottom w:val="none" w:sz="0" w:space="0" w:color="auto"/>
        <w:right w:val="none" w:sz="0" w:space="0" w:color="auto"/>
      </w:divBdr>
    </w:div>
    <w:div w:id="1248226397">
      <w:bodyDiv w:val="1"/>
      <w:marLeft w:val="0"/>
      <w:marRight w:val="0"/>
      <w:marTop w:val="0"/>
      <w:marBottom w:val="0"/>
      <w:divBdr>
        <w:top w:val="none" w:sz="0" w:space="0" w:color="auto"/>
        <w:left w:val="none" w:sz="0" w:space="0" w:color="auto"/>
        <w:bottom w:val="none" w:sz="0" w:space="0" w:color="auto"/>
        <w:right w:val="none" w:sz="0" w:space="0" w:color="auto"/>
      </w:divBdr>
    </w:div>
    <w:div w:id="1255700449">
      <w:bodyDiv w:val="1"/>
      <w:marLeft w:val="0"/>
      <w:marRight w:val="0"/>
      <w:marTop w:val="0"/>
      <w:marBottom w:val="0"/>
      <w:divBdr>
        <w:top w:val="none" w:sz="0" w:space="0" w:color="auto"/>
        <w:left w:val="none" w:sz="0" w:space="0" w:color="auto"/>
        <w:bottom w:val="none" w:sz="0" w:space="0" w:color="auto"/>
        <w:right w:val="none" w:sz="0" w:space="0" w:color="auto"/>
      </w:divBdr>
    </w:div>
    <w:div w:id="1270624099">
      <w:bodyDiv w:val="1"/>
      <w:marLeft w:val="0"/>
      <w:marRight w:val="0"/>
      <w:marTop w:val="0"/>
      <w:marBottom w:val="0"/>
      <w:divBdr>
        <w:top w:val="none" w:sz="0" w:space="0" w:color="auto"/>
        <w:left w:val="none" w:sz="0" w:space="0" w:color="auto"/>
        <w:bottom w:val="none" w:sz="0" w:space="0" w:color="auto"/>
        <w:right w:val="none" w:sz="0" w:space="0" w:color="auto"/>
      </w:divBdr>
    </w:div>
    <w:div w:id="1746221358">
      <w:bodyDiv w:val="1"/>
      <w:marLeft w:val="0"/>
      <w:marRight w:val="0"/>
      <w:marTop w:val="0"/>
      <w:marBottom w:val="0"/>
      <w:divBdr>
        <w:top w:val="none" w:sz="0" w:space="0" w:color="auto"/>
        <w:left w:val="none" w:sz="0" w:space="0" w:color="auto"/>
        <w:bottom w:val="none" w:sz="0" w:space="0" w:color="auto"/>
        <w:right w:val="none" w:sz="0" w:space="0" w:color="auto"/>
      </w:divBdr>
    </w:div>
    <w:div w:id="1827166752">
      <w:bodyDiv w:val="1"/>
      <w:marLeft w:val="0"/>
      <w:marRight w:val="0"/>
      <w:marTop w:val="0"/>
      <w:marBottom w:val="0"/>
      <w:divBdr>
        <w:top w:val="none" w:sz="0" w:space="0" w:color="auto"/>
        <w:left w:val="none" w:sz="0" w:space="0" w:color="auto"/>
        <w:bottom w:val="none" w:sz="0" w:space="0" w:color="auto"/>
        <w:right w:val="none" w:sz="0" w:space="0" w:color="auto"/>
      </w:divBdr>
    </w:div>
    <w:div w:id="1869175899">
      <w:bodyDiv w:val="1"/>
      <w:marLeft w:val="0"/>
      <w:marRight w:val="0"/>
      <w:marTop w:val="0"/>
      <w:marBottom w:val="0"/>
      <w:divBdr>
        <w:top w:val="none" w:sz="0" w:space="0" w:color="auto"/>
        <w:left w:val="none" w:sz="0" w:space="0" w:color="auto"/>
        <w:bottom w:val="none" w:sz="0" w:space="0" w:color="auto"/>
        <w:right w:val="none" w:sz="0" w:space="0" w:color="auto"/>
      </w:divBdr>
    </w:div>
    <w:div w:id="1896118323">
      <w:bodyDiv w:val="1"/>
      <w:marLeft w:val="0"/>
      <w:marRight w:val="0"/>
      <w:marTop w:val="0"/>
      <w:marBottom w:val="0"/>
      <w:divBdr>
        <w:top w:val="none" w:sz="0" w:space="0" w:color="auto"/>
        <w:left w:val="none" w:sz="0" w:space="0" w:color="auto"/>
        <w:bottom w:val="none" w:sz="0" w:space="0" w:color="auto"/>
        <w:right w:val="none" w:sz="0" w:space="0" w:color="auto"/>
      </w:divBdr>
    </w:div>
    <w:div w:id="1971472565">
      <w:bodyDiv w:val="1"/>
      <w:marLeft w:val="0"/>
      <w:marRight w:val="0"/>
      <w:marTop w:val="0"/>
      <w:marBottom w:val="0"/>
      <w:divBdr>
        <w:top w:val="none" w:sz="0" w:space="0" w:color="auto"/>
        <w:left w:val="none" w:sz="0" w:space="0" w:color="auto"/>
        <w:bottom w:val="none" w:sz="0" w:space="0" w:color="auto"/>
        <w:right w:val="none" w:sz="0" w:space="0" w:color="auto"/>
      </w:divBdr>
    </w:div>
    <w:div w:id="2010206762">
      <w:bodyDiv w:val="1"/>
      <w:marLeft w:val="0"/>
      <w:marRight w:val="0"/>
      <w:marTop w:val="0"/>
      <w:marBottom w:val="0"/>
      <w:divBdr>
        <w:top w:val="none" w:sz="0" w:space="0" w:color="auto"/>
        <w:left w:val="none" w:sz="0" w:space="0" w:color="auto"/>
        <w:bottom w:val="none" w:sz="0" w:space="0" w:color="auto"/>
        <w:right w:val="none" w:sz="0" w:space="0" w:color="auto"/>
      </w:divBdr>
    </w:div>
    <w:div w:id="20799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07bbe69fc3f1fbca2bc802ccda49db93">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722971-3826-4EE6-A00D-95602DA77F6C}"/>
</file>

<file path=customXml/itemProps2.xml><?xml version="1.0" encoding="utf-8"?>
<ds:datastoreItem xmlns:ds="http://schemas.openxmlformats.org/officeDocument/2006/customXml" ds:itemID="{050FC880-B3E5-4667-8DD3-8FD178775752}"/>
</file>

<file path=customXml/itemProps3.xml><?xml version="1.0" encoding="utf-8"?>
<ds:datastoreItem xmlns:ds="http://schemas.openxmlformats.org/officeDocument/2006/customXml" ds:itemID="{E425A92B-BE1C-4C30-A0A3-203090A01B7A}"/>
</file>

<file path=docProps/app.xml><?xml version="1.0" encoding="utf-8"?>
<Properties xmlns="http://schemas.openxmlformats.org/officeDocument/2006/extended-properties" xmlns:vt="http://schemas.openxmlformats.org/officeDocument/2006/docPropsVTypes">
  <Template>Normal.dotm</Template>
  <TotalTime>139</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farmer</dc:creator>
  <cp:keywords/>
  <dc:description/>
  <cp:lastModifiedBy>jai farmer</cp:lastModifiedBy>
  <cp:revision>25</cp:revision>
  <dcterms:created xsi:type="dcterms:W3CDTF">2024-09-07T04:56:00Z</dcterms:created>
  <dcterms:modified xsi:type="dcterms:W3CDTF">2024-09-07T07:15:00Z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