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DataNotch Research Platform - Non-Technical User Manual</w:t>
      </w:r>
    </w:p>
    <w:p>
      <w:r>
        <w:t>Updated: July 2, 2026</w:t>
      </w:r>
    </w:p>
    <w:p>
      <w:pPr>
        <w:pStyle w:val="Heading1"/>
      </w:pPr>
      <w:r>
        <w:t>Purpose of the Application</w:t>
      </w:r>
    </w:p>
    <w:p>
      <w:r>
        <w:t>DataNotch helps researchers and administrators manage research datasets, prepare data, run analyses, review results, create visualizations, and generate publication-ready outputs in one governed workspace.</w:t>
      </w:r>
    </w:p>
    <w:p>
      <w:pPr>
        <w:pStyle w:val="Heading1"/>
      </w:pPr>
      <w:r>
        <w:t>Getting Started</w:t>
      </w:r>
    </w:p>
    <w:p>
      <w:pPr>
        <w:ind w:left="720" w:hanging="360"/>
      </w:pPr>
      <w:r>
        <w:t>- Open the application at http://localhost:3000.</w:t>
      </w:r>
    </w:p>
    <w:p>
      <w:pPr>
        <w:ind w:left="720" w:hanging="360"/>
      </w:pPr>
      <w:r>
        <w:t>- Sign in with your assigned account. Administrators see additional governance and system tools.</w:t>
      </w:r>
    </w:p>
    <w:p>
      <w:pPr>
        <w:ind w:left="720" w:hanging="360"/>
      </w:pPr>
      <w:r>
        <w:t>- Use the left navigation to move through Workspace, Data Management, Data Preparation, Research Studio, Analytics and AI, Outputs, Governance, and System areas.</w:t>
      </w:r>
    </w:p>
    <w:p>
      <w:pPr>
        <w:pStyle w:val="Heading1"/>
      </w:pPr>
      <w:r>
        <w:t>Using Workspaces</w:t>
      </w:r>
    </w:p>
    <w:p>
      <w:r>
        <w:t>Workspaces organize datasets, analyses, jobs, reports, and collaborators for one study or project. Open a workspace to review its datasets, launch analysis pipelines, inspect results, and manage reports.</w:t>
      </w:r>
    </w:p>
    <w:p>
      <w:pPr>
        <w:pStyle w:val="Heading1"/>
      </w:pPr>
      <w:r>
        <w:t>Uploading Data</w:t>
      </w:r>
    </w:p>
    <w:p>
      <w:pPr>
        <w:ind w:left="720" w:hanging="360"/>
      </w:pPr>
      <w:r>
        <w:t>- Go to Dataset Registry or Raw File Library and choose Upload Dataset.</w:t>
      </w:r>
    </w:p>
    <w:p>
      <w:pPr>
        <w:ind w:left="720" w:hanging="360"/>
      </w:pPr>
      <w:r>
        <w:t>- Select a file, ZIP, or folder-style upload when available. Add a dataset name, description, workspace, and visibility.</w:t>
      </w:r>
    </w:p>
    <w:p>
      <w:pPr>
        <w:ind w:left="720" w:hanging="360"/>
      </w:pPr>
      <w:r>
        <w:t>- After upload, the platform should scan the file, extract ZIP packages, parse supported formats, create metadata, and make the dataset available in the selected workspace.</w:t>
      </w:r>
    </w:p>
    <w:p>
      <w:pPr>
        <w:pStyle w:val="Heading1"/>
      </w:pPr>
      <w:r>
        <w:t>Using Database Studio</w:t>
      </w:r>
    </w:p>
    <w:p>
      <w:r>
        <w:t>Database Studio is where users connect databases, browse tables, run SQL, preview data, and create datasets from query results. Typical workflow: select a connection, browse tables, write or generate SQL, run query, review results, create dataset, build cohort, and send to analytics.</w:t>
      </w:r>
    </w:p>
    <w:p>
      <w:pPr>
        <w:pStyle w:val="Heading1"/>
      </w:pPr>
      <w:r>
        <w:t>Using SDOH Intelligence</w:t>
      </w:r>
    </w:p>
    <w:p>
      <w:r>
        <w:t>The SDOH Research Studio guides users through Data, Cohort, Analytics, Visualization, Causal AI, Copilot, Publication, and Export steps. Use it to study social determinants of health, clinical outcomes, precision medicine, and population health relationships.</w:t>
      </w:r>
    </w:p>
    <w:p>
      <w:pPr>
        <w:pStyle w:val="Heading1"/>
      </w:pPr>
      <w:r>
        <w:t>Running Analyses</w:t>
      </w:r>
    </w:p>
    <w:p>
      <w:pPr>
        <w:ind w:left="720" w:hanging="360"/>
      </w:pPr>
      <w:r>
        <w:t>- Open Analysis Studio or Job Queue.</w:t>
      </w:r>
    </w:p>
    <w:p>
      <w:pPr>
        <w:ind w:left="720" w:hanging="360"/>
      </w:pPr>
      <w:r>
        <w:t>- Select the dataset or cohort.</w:t>
      </w:r>
    </w:p>
    <w:p>
      <w:pPr>
        <w:ind w:left="720" w:hanging="360"/>
      </w:pPr>
      <w:r>
        <w:t>- Choose the analysis type, such as descriptive statistics, regression, classification, survival, SEM, clustering, causal analysis, geographic analysis, or health equity analysis.</w:t>
      </w:r>
    </w:p>
    <w:p>
      <w:pPr>
        <w:ind w:left="720" w:hanging="360"/>
      </w:pPr>
      <w:r>
        <w:t>- Start the job and monitor progress. Completed jobs send outputs to Results, Visualizations, Reports, and Publication Center.</w:t>
      </w:r>
    </w:p>
    <w:p>
      <w:pPr>
        <w:pStyle w:val="Heading1"/>
      </w:pPr>
      <w:r>
        <w:t>Viewing Results and Visualizations</w:t>
      </w:r>
    </w:p>
    <w:p>
      <w:r>
        <w:t>Use Results to inspect metrics, summaries, and output artifacts. Use Visualization Studio to create charts such as line charts, area charts, histograms, radar charts, funnel charts, donut charts, heat maps, geographic maps, Sankey diagrams, waterfall charts, and bubble charts.</w:t>
      </w:r>
    </w:p>
    <w:p>
      <w:pPr>
        <w:pStyle w:val="Heading1"/>
      </w:pPr>
      <w:r>
        <w:t>Publication Center</w:t>
      </w:r>
    </w:p>
    <w:p>
      <w:r>
        <w:t>Publication Center turns analysis results into publication outputs such as Table 1, regression tables, manuscript summaries, methods text, results narratives, figures, appendices, and export packages.</w:t>
      </w:r>
    </w:p>
    <w:p>
      <w:pPr>
        <w:pStyle w:val="Heading1"/>
      </w:pPr>
      <w:r>
        <w:t>Admin Console</w:t>
      </w:r>
    </w:p>
    <w:p>
      <w:r>
        <w:t>Administrators manage users, roles, governance policies, approvals, system monitoring, audit logs, operations, and support workflows. Admins should check queue health, API health, worker status, failed jobs, storage, and database connection health.</w:t>
      </w:r>
    </w:p>
    <w:p>
      <w:pPr>
        <w:pStyle w:val="Heading1"/>
      </w:pPr>
      <w:r>
        <w:t>Common Issues</w:t>
      </w:r>
    </w:p>
    <w:p>
      <w:pPr>
        <w:ind w:left="720" w:hanging="360"/>
      </w:pPr>
      <w:r>
        <w:t>- If the page says the API cannot be reached, confirm the backend is running on localhost:3001.</w:t>
      </w:r>
    </w:p>
    <w:p>
      <w:pPr>
        <w:ind w:left="720" w:hanging="360"/>
      </w:pPr>
      <w:r>
        <w:t>- If a dataset stays queued, confirm the worker service is running and the parser can read the file format.</w:t>
      </w:r>
    </w:p>
    <w:p>
      <w:pPr>
        <w:ind w:left="720" w:hanging="360"/>
      </w:pPr>
      <w:r>
        <w:t>- If download returns null, the file may not have been stored correctly or the download endpoint may not be linked to the stored file path.</w:t>
      </w:r>
    </w:p>
    <w:p>
      <w:pPr>
        <w:ind w:left="720" w:hanging="360"/>
      </w:pPr>
      <w:r>
        <w:t>- If an old page appears, clear the browser cache and confirm old duplicate route files were removed.</w:t>
      </w:r>
    </w:p>
    <w:p>
      <w:pPr>
        <w:pStyle w:val="Heading1"/>
      </w:pPr>
      <w:r>
        <w:t>Best Practices</w:t>
      </w:r>
    </w:p>
    <w:p>
      <w:pPr>
        <w:ind w:left="720" w:hanging="360"/>
      </w:pPr>
      <w:r>
        <w:t>- Use clear dataset names and descriptions.</w:t>
      </w:r>
    </w:p>
    <w:p>
      <w:pPr>
        <w:ind w:left="720" w:hanging="360"/>
      </w:pPr>
      <w:r>
        <w:t>- Assign datasets to the correct workspace during upload.</w:t>
      </w:r>
    </w:p>
    <w:p>
      <w:pPr>
        <w:ind w:left="720" w:hanging="360"/>
      </w:pPr>
      <w:r>
        <w:t>- Review data quality before analysis.</w:t>
      </w:r>
    </w:p>
    <w:p>
      <w:pPr>
        <w:ind w:left="720" w:hanging="360"/>
      </w:pPr>
      <w:r>
        <w:t>- Use governance approvals before sharing or exporting sensitive outputs.</w:t>
      </w:r>
    </w:p>
    <w:p>
      <w:pPr>
        <w:ind w:left="720" w:hanging="360"/>
      </w:pPr>
      <w:r>
        <w:t>- Keep reports and visualizations connected to their source datasets for traceability.</w:t>
      </w:r>
    </w:p>
    <w:p>
      <w:pPr>
        <w:pStyle w:val="Heading1"/>
      </w:pPr>
      <w:r>
        <w:t>Summary</w:t>
      </w:r>
    </w:p>
    <w:p>
      <w:r>
        <w:t>For non-technical users, the main journey is simple: upload or connect data, create a workspace, prepare the dataset, build a cohort, run analysis, review visualizations, generate a report, and export publication-ready materials.</w:t>
      </w:r>
    </w:p>
    <w:sectPr>
      <w:pgSz w:w="12240" w:h="15840"/>
      <w:pgMar w:top="1008" w:right="1008" w:bottom="1008" w:left="1008"/>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Title">
    <w:name w:val="Title"/>
    <w:rPr>
      <w:b/>
      <w:rFonts w:ascii="Arial" w:hAnsi="Arial"/>
      <w:sz w:val="36"/>
    </w:rPr>
  </w:style>
  <w:style w:type="paragraph" w:styleId="Heading1">
    <w:name w:val="heading 1"/>
    <w:rPr>
      <w:b/>
      <w:rFonts w:ascii="Arial" w:hAnsi="Arial"/>
      <w:sz w:val="28"/>
    </w:rPr>
  </w:style>
  <w:style w:type="paragraph" w:styleId="Heading2">
    <w:name w:val="heading 2"/>
    <w:rPr>
      <w:b/>
      <w:rFonts w:ascii="Arial" w:hAnsi="Arial"/>
      <w:sz w:val="24"/>
    </w:rPr>
  </w:style>
</w:styles>
</file>

<file path=word/_rels/document.xml.rels><?xml version="1.0" encoding="UTF-8" standalone="yes"?><Relationships xmlns="http://schemas.openxmlformats.org/package/2006/relationships"/>
</file>