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0"/>
        <w:ind/>
        <w:rPr/>
      </w:pPr>
      <w:r/>
      <w:r/>
    </w:p>
    <w:p>
      <w:pPr>
        <w:pBdr/>
        <w:spacing w:after="200"/>
        <w:ind/>
        <w:jc w:val="center"/>
        <w:rPr/>
      </w:pPr>
      <w:r>
        <w:rPr>
          <w:rFonts w:ascii="Cambria" w:hAnsi="Cambria" w:eastAsia="Cambria" w:cs="Cambria"/>
          <w:color w:val="366091"/>
          <w:sz w:val="52"/>
          <w:szCs w:val="52"/>
        </w:rPr>
        <w:t xml:space="preserve">Acta constitutiva del proyecto</w:t>
      </w:r>
      <w:r/>
    </w:p>
    <w:p>
      <w:pPr>
        <w:pBdr/>
        <w:spacing w:after="800"/>
        <w:ind/>
        <w:jc w:val="center"/>
        <w:rPr/>
      </w:pPr>
      <w:r>
        <w:rPr>
          <w:rFonts w:ascii="Cambria" w:hAnsi="Cambria" w:eastAsia="Cambria" w:cs="Cambria"/>
          <w:b/>
          <w:bCs/>
          <w:color w:val="4f81bd"/>
          <w:sz w:val="30"/>
          <w:szCs w:val="30"/>
        </w:rPr>
        <w:t xml:space="preserve">Generador pedagógico de pruebas unitarias (IA Beta)</w:t>
      </w:r>
      <w:r/>
    </w:p>
    <w:p>
      <w:pPr>
        <w:pStyle w:val="894"/>
        <w:pBdr/>
        <w:spacing w:after="120" w:before="300"/>
        <w:ind/>
        <w:rPr/>
      </w:pPr>
      <w:r>
        <w:t xml:space="preserve">Control del documento</w:t>
      </w:r>
      <w:r/>
    </w:p>
    <w:p>
      <w:pPr>
        <w:pBdr/>
        <w:spacing w:after="200" w:line="276" w:lineRule="auto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Información del documento</w:t>
      </w:r>
      <w:r/>
    </w:p>
    <w:tbl>
      <w:tblPr>
        <w:tblW w:w="86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322"/>
        <w:gridCol w:w="4322"/>
      </w:tblGrid>
      <w:tr>
        <w:trPr/>
        <w:tc>
          <w:tcPr>
            <w:shd w:val="clear" w:color="auto" w:fill="d9e2f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32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Identificación del documento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32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Acta constitutiva del proyecto</w:t>
            </w:r>
            <w:r/>
          </w:p>
        </w:tc>
      </w:tr>
      <w:tr>
        <w:trPr/>
        <w:tc>
          <w:tcPr>
            <w:shd w:val="clear" w:color="auto" w:fill="d9e2f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32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Responsable del documento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32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Equipo del proyecto — Generador pedagógico de pruebas unitarias</w:t>
            </w:r>
            <w:r/>
          </w:p>
        </w:tc>
      </w:tr>
      <w:tr>
        <w:trPr/>
        <w:tc>
          <w:tcPr>
            <w:shd w:val="clear" w:color="auto" w:fill="d9e2f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32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Fecha de emisión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32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19/agosto/2026</w:t>
            </w:r>
            <w:r/>
          </w:p>
        </w:tc>
      </w:tr>
      <w:tr>
        <w:trPr/>
        <w:tc>
          <w:tcPr>
            <w:shd w:val="clear" w:color="auto" w:fill="d9e2f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32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Fecha de última modificación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3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21/agosto/2026</w:t>
            </w:r>
            <w:r/>
          </w:p>
        </w:tc>
      </w:tr>
      <w:tr>
        <w:trPr/>
        <w:tc>
          <w:tcPr>
            <w:shd w:val="clear" w:color="auto" w:fill="d9e2f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32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Nombre del archivo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32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acta-constitutiva.docx</w:t>
            </w:r>
            <w:r/>
          </w:p>
        </w:tc>
      </w:tr>
    </w:tbl>
    <w:p>
      <w:pPr>
        <w:pBdr/>
        <w:spacing w:after="300"/>
        <w:ind/>
        <w:rPr/>
      </w:pPr>
      <w:r/>
      <w:r/>
    </w:p>
    <w:p>
      <w:pPr>
        <w:pBdr/>
        <w:spacing w:after="200" w:line="276" w:lineRule="auto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Historia del documento</w:t>
      </w:r>
      <w:r/>
    </w:p>
    <w:tbl>
      <w:tblPr>
        <w:tblW w:w="86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00"/>
        <w:gridCol w:w="2000"/>
        <w:gridCol w:w="5144"/>
      </w:tblGrid>
      <w:tr>
        <w:trPr/>
        <w:tc>
          <w:tcPr>
            <w:shd w:val="clear" w:color="auto" w:fill="d9e2f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Versión</w:t>
            </w:r>
            <w:r/>
          </w:p>
        </w:tc>
        <w:tc>
          <w:tcPr>
            <w:shd w:val="clear" w:color="auto" w:fill="d9e2f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Fecha de versión</w:t>
            </w:r>
            <w:r/>
          </w:p>
        </w:tc>
        <w:tc>
          <w:tcPr>
            <w:shd w:val="clear" w:color="auto" w:fill="d9e2f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14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Modificaciones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0.1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19/agosto/2026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14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Primera entrega: portada, índice y definición del proyecto (visión, objetivos, alcance, entregables)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0.2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19/agosto/2026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14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Se agrega detección heurística de pruebas tautológicas (RF-24) al alcance dentro del MVP</w:t>
            </w:r>
            <w:r/>
          </w:p>
        </w:tc>
      </w:tr>
      <w:tr>
        <w:trPr/>
        <w:tc>
          <w:tcPr>
            <w:tcBorders/>
            <w:tcW w:w="1500" w:type="dxa"/>
          </w:tcPr>
          <w:p>
            <w:pPr>
              <w:pBdr/>
              <w:spacing/>
              <w:ind/>
              <w:rPr/>
            </w:pPr>
            <w:r>
              <w:t xml:space="preserve">0.3</w:t>
            </w:r>
            <w:r/>
          </w:p>
        </w:tc>
        <w:tc>
          <w:tcPr>
            <w:tcBorders/>
            <w:tcW w:w="2000" w:type="dxa"/>
          </w:tcPr>
          <w:p>
            <w:pPr>
              <w:pBdr/>
              <w:spacing/>
              <w:ind/>
              <w:rPr/>
            </w:pPr>
            <w:r>
              <w:t xml:space="preserve">21/agosto/2026</w:t>
            </w:r>
            <w:r/>
          </w:p>
        </w:tc>
        <w:tc>
          <w:tcPr>
            <w:tcBorders/>
            <w:tcW w:w="5144" w:type="dxa"/>
          </w:tcPr>
          <w:p>
            <w:pPr>
              <w:pBdr/>
              <w:spacing/>
              <w:ind/>
              <w:rPr/>
            </w:pPr>
            <w:r>
              <w:t xml:space="preserve">Se agrega sección 3. Plan de implementación (3.1 Cronograma), con fechas por fase</w:t>
            </w:r>
            <w:r/>
          </w:p>
        </w:tc>
      </w:tr>
    </w:tbl>
    <w:p>
      <w:pPr>
        <w:pBdr/>
        <w:spacing w:after="300"/>
        <w:ind/>
        <w:rPr/>
      </w:pPr>
      <w:r/>
      <w:r/>
    </w:p>
    <w:p>
      <w:pPr>
        <w:pBdr/>
        <w:spacing w:after="200" w:line="276" w:lineRule="auto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Aprobaciones</w:t>
      </w:r>
      <w:r/>
    </w:p>
    <w:tbl>
      <w:tblPr>
        <w:tblW w:w="86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  <w:gridCol w:w="1922"/>
        <w:gridCol w:w="1922"/>
      </w:tblGrid>
      <w:tr>
        <w:trPr/>
        <w:tc>
          <w:tcPr>
            <w:shd w:val="clear" w:color="auto" w:fill="d9e2f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Rol</w:t>
            </w:r>
            <w:r/>
          </w:p>
        </w:tc>
        <w:tc>
          <w:tcPr>
            <w:shd w:val="clear" w:color="auto" w:fill="d9e2f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Nombre</w:t>
            </w:r>
            <w:r/>
          </w:p>
        </w:tc>
        <w:tc>
          <w:tcPr>
            <w:shd w:val="clear" w:color="auto" w:fill="d9e2f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92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Firma</w:t>
            </w:r>
            <w:r/>
          </w:p>
        </w:tc>
        <w:tc>
          <w:tcPr>
            <w:shd w:val="clear" w:color="auto" w:fill="d9e2f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92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Fecha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Director de proyecto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Por asignar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92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92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Coordinador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Por asignar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92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92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Gerente del proyecto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Por asignar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92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92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r>
            <w:r/>
          </w:p>
        </w:tc>
      </w:tr>
    </w:tbl>
    <w:p>
      <w:pPr>
        <w:pBdr/>
        <w:bidi w:val="false"/>
        <w:spacing/>
        <w:ind/>
        <w:rPr/>
      </w:pPr>
      <w:r>
        <w:br w:type="page" w:clear="all"/>
      </w:r>
      <w:r/>
    </w:p>
    <w:p>
      <w:pPr>
        <w:pStyle w:val="893"/>
        <w:pBdr/>
        <w:spacing w:after="120" w:before="480"/>
        <w:ind/>
        <w:rPr/>
      </w:pPr>
      <w:r>
        <w:t xml:space="preserve">Tabla de contenido</w:t>
      </w:r>
      <w:r/>
    </w:p>
    <w:p>
      <w:pPr>
        <w:pBdr/>
        <w:spacing w:after="200" w:line="276" w:lineRule="auto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1. Resumen ejecutivo</w:t>
      </w:r>
      <w:r/>
    </w:p>
    <w:p>
      <w:pPr>
        <w:pBdr/>
        <w:spacing w:after="200" w:line="276" w:lineRule="auto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2. Definición del Proyecto</w:t>
      </w:r>
      <w:r/>
    </w:p>
    <w:p>
      <w:pPr>
        <w:pBdr/>
        <w:spacing w:after="100"/>
        <w:ind w:left="400"/>
        <w:rPr/>
      </w:pPr>
      <w:r>
        <w:rPr>
          <w:rFonts w:ascii="Calibri" w:hAnsi="Calibri" w:eastAsia="Calibri" w:cs="Calibri"/>
          <w:sz w:val="22"/>
          <w:szCs w:val="22"/>
        </w:rPr>
        <w:t xml:space="preserve">2.1 Visión</w:t>
      </w:r>
      <w:r/>
    </w:p>
    <w:p>
      <w:pPr>
        <w:pBdr/>
        <w:spacing w:after="100"/>
        <w:ind w:left="400"/>
        <w:rPr/>
      </w:pPr>
      <w:r>
        <w:rPr>
          <w:rFonts w:ascii="Calibri" w:hAnsi="Calibri" w:eastAsia="Calibri" w:cs="Calibri"/>
          <w:sz w:val="22"/>
          <w:szCs w:val="22"/>
        </w:rPr>
        <w:t xml:space="preserve">2.2 Objetivos</w:t>
      </w:r>
      <w:r/>
    </w:p>
    <w:p>
      <w:pPr>
        <w:pBdr/>
        <w:spacing w:after="100"/>
        <w:ind w:left="400"/>
        <w:rPr/>
      </w:pPr>
      <w:r>
        <w:rPr>
          <w:rFonts w:ascii="Calibri" w:hAnsi="Calibri" w:eastAsia="Calibri" w:cs="Calibri"/>
          <w:sz w:val="22"/>
          <w:szCs w:val="22"/>
        </w:rPr>
        <w:t xml:space="preserve">2.3 Alcance</w:t>
      </w:r>
      <w:r/>
    </w:p>
    <w:p>
      <w:pPr>
        <w:pBdr/>
        <w:spacing w:after="300"/>
        <w:ind w:left="400"/>
        <w:rPr/>
      </w:pPr>
      <w:r>
        <w:rPr>
          <w:rFonts w:ascii="Calibri" w:hAnsi="Calibri" w:eastAsia="Calibri" w:cs="Calibri"/>
          <w:sz w:val="22"/>
          <w:szCs w:val="22"/>
        </w:rPr>
        <w:t xml:space="preserve">2.4 Entregables</w:t>
      </w:r>
      <w:r/>
    </w:p>
    <w:p>
      <w:pPr>
        <w:pBdr/>
        <w:spacing/>
        <w:ind/>
        <w:rPr/>
      </w:pPr>
      <w:r>
        <w:t xml:space="preserve">3. Plan de implementación</w:t>
      </w:r>
      <w:r/>
    </w:p>
    <w:p>
      <w:pPr>
        <w:pBdr/>
        <w:spacing/>
        <w:ind/>
        <w:rPr/>
      </w:pPr>
      <w:r>
        <w:t xml:space="preserve">3.1 Cronograma</w:t>
      </w:r>
      <w:r/>
      <w:r/>
      <w:r/>
      <w:r/>
      <w:r/>
      <w:r/>
      <w:r>
        <w:br w:type="page" w:clear="all"/>
      </w:r>
      <w:r/>
      <w:r/>
      <w:r/>
      <w:r/>
    </w:p>
    <w:p w14:paraId="1AD074F4">
      <w:pPr>
        <w:pStyle w:val="893"/>
        <w:pBdr/>
        <w:spacing w:after="120" w:before="480"/>
        <w:ind/>
        <w:rPr/>
      </w:pPr>
      <w:r>
        <w:t xml:space="preserve">1. Resumen ejecutivo</w:t>
      </w:r>
      <w:r/>
      <w:r/>
    </w:p>
    <w:p>
      <w:pPr>
        <w:pBdr/>
        <w:spacing w:after="200" w:line="276" w:lineRule="auto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El proyecto “Generador pedagógico de pruebas unitarias (IA Beta)” desarrolla una plataforma web que recibe un fragmento de código</w:t>
      </w:r>
      <w:r>
        <w:rPr>
          <w:rFonts w:ascii="Calibri" w:hAnsi="Calibri" w:eastAsia="Calibri" w:cs="Calibri"/>
          <w:sz w:val="22"/>
          <w:szCs w:val="22"/>
        </w:rPr>
        <w:t xml:space="preserve"> en Python o JavaScript/TypeScript, genera pruebas unitarias mediante un modelo de lenguaje y explica el criterio con el que se eligió cada caso, con el fin de que el estudiante aprenda a escribir sus propias pruebas en lugar de depender de la herramienta.</w:t>
      </w:r>
      <w:r/>
    </w:p>
    <w:p>
      <w:pPr>
        <w:pBdr/>
        <w:spacing w:after="200" w:line="276" w:lineRule="auto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A diferencia de un generador de pruebas convencional, el producto trata la explicación del </w:t>
      </w:r>
      <w:r>
        <w:rPr>
          <w:rFonts w:ascii="Calibri" w:hAnsi="Calibri" w:eastAsia="Calibri" w:cs="Calibri"/>
          <w:sz w:val="22"/>
          <w:szCs w:val="22"/>
        </w:rPr>
        <w:t xml:space="preserve">razonamiento como parte central de la entrega, no como un adorno: cada caso de prueba indica qué cubre y por qué se eligió. El proyecto contempla generación sin necesidad de cuenta (con cuota limitada por IP) y cuentas opcionales con historial persistente.</w:t>
      </w:r>
      <w:r/>
    </w:p>
    <w:p>
      <w:pPr>
        <w:pBdr/>
        <w:spacing w:after="200" w:line="276" w:lineRule="auto"/>
        <w:ind/>
        <w:rPr/>
      </w:pPr>
      <w:r>
        <w:t xml:space="preserve">El proyecto se ejecuta bajo metodología Scrum, en sprints de dos semanas, con fecha límite fijada al 1 de diciembre de 2026. Este documento formaliza el inicio del proyecto y establece su visión, objetivos, alcance, entregables y cronograma.</w:t>
      </w:r>
      <w:r/>
    </w:p>
    <w:p>
      <w:pPr>
        <w:pStyle w:val="893"/>
        <w:pBdr/>
        <w:spacing w:after="120" w:before="480"/>
        <w:ind/>
        <w:rPr/>
      </w:pPr>
      <w:r>
        <w:t xml:space="preserve">2. Definición del Proyecto</w:t>
      </w:r>
      <w:r/>
    </w:p>
    <w:p>
      <w:pPr>
        <w:pStyle w:val="894"/>
        <w:pBdr/>
        <w:spacing w:after="120" w:before="300"/>
        <w:ind/>
        <w:rPr/>
      </w:pPr>
      <w:r>
        <w:t xml:space="preserve">2.1 Visión</w:t>
      </w:r>
      <w:r/>
    </w:p>
    <w:p>
      <w:pPr>
        <w:pBdr/>
        <w:spacing w:after="200" w:line="276" w:lineRule="auto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Ofrecer a estudiantes de programación de</w:t>
      </w:r>
      <w:r>
        <w:rPr>
          <w:rFonts w:ascii="Calibri" w:hAnsi="Calibri" w:eastAsia="Calibri" w:cs="Calibri"/>
          <w:sz w:val="22"/>
          <w:szCs w:val="22"/>
        </w:rPr>
        <w:t xml:space="preserve"> nivel introductorio a intermedio una herramienta que no solo genere pruebas unitarias para su código, sino que les enseñe a razonar qué casos vale la pena probar y por qué, de modo que dejen de depender de la herramienta para escribir sus propias pruebas.</w:t>
      </w:r>
      <w:r/>
    </w:p>
    <w:p>
      <w:pPr>
        <w:pStyle w:val="894"/>
        <w:pBdr/>
        <w:spacing w:after="120" w:before="300"/>
        <w:ind/>
        <w:rPr/>
      </w:pPr>
      <w:r>
        <w:t xml:space="preserve">2.2 Objetivos</w:t>
      </w:r>
      <w:r/>
    </w:p>
    <w:p>
      <w:pPr>
        <w:pBdr/>
        <w:spacing w:after="200" w:line="276" w:lineRule="auto"/>
        <w:ind/>
        <w:rPr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Objetivo general:</w:t>
      </w:r>
      <w:r/>
    </w:p>
    <w:p>
      <w:pPr>
        <w:pBdr/>
        <w:spacing w:after="200" w:line="276" w:lineRule="auto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Desarro</w:t>
      </w:r>
      <w:r>
        <w:rPr>
          <w:rFonts w:ascii="Calibri" w:hAnsi="Calibri" w:eastAsia="Calibri" w:cs="Calibri"/>
          <w:sz w:val="22"/>
          <w:szCs w:val="22"/>
        </w:rPr>
        <w:t xml:space="preserve">llar una plataforma web que reciba un fragmento de código, genere pruebas unitarias para él mediante un modelo de lenguaje, y explique el criterio de selección de cada caso, de modo que el estudiante desarrolle la capacidad de escribir sus propias pruebas.</w:t>
      </w:r>
      <w:r/>
    </w:p>
    <w:p>
      <w:pPr>
        <w:pBdr/>
        <w:spacing w:after="200" w:line="276" w:lineRule="auto"/>
        <w:ind/>
        <w:rPr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Objetivos específicos:</w:t>
      </w:r>
      <w:r/>
    </w:p>
    <w:p>
      <w:pPr>
        <w:pStyle w:val="885"/>
        <w:numPr>
          <w:ilvl w:val="0"/>
          <w:numId w:val="2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Permitir el envío de código en Python y JavaScript/TypeScript. Java y C/C++ quedan fuera del MVP.</w:t>
      </w:r>
      <w:r/>
    </w:p>
    <w:p>
      <w:pPr>
        <w:pStyle w:val="885"/>
        <w:numPr>
          <w:ilvl w:val="0"/>
          <w:numId w:val="2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Generar un archivo de pruebas listo para copiar, en el framework convencional de cada lenguaje (pytest, Vitest).</w:t>
      </w:r>
      <w:r/>
    </w:p>
    <w:p>
      <w:pPr>
        <w:pStyle w:val="885"/>
        <w:numPr>
          <w:ilvl w:val="0"/>
          <w:numId w:val="2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Acompañar cada caso de prueba con la explicación de qué cubre y por qué se eligió.</w:t>
      </w:r>
      <w:r/>
    </w:p>
    <w:p>
      <w:pPr>
        <w:pStyle w:val="885"/>
        <w:numPr>
          <w:ilvl w:val="0"/>
          <w:numId w:val="2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Permitir copiar o descargar el archivo generado.</w:t>
      </w:r>
      <w:r/>
    </w:p>
    <w:p>
      <w:pPr>
        <w:pStyle w:val="885"/>
        <w:numPr>
          <w:ilvl w:val="0"/>
          <w:numId w:val="2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Implementar autenticación y persistencia del historial por usuario.</w:t>
      </w:r>
      <w:r/>
    </w:p>
    <w:p>
      <w:pPr>
        <w:pStyle w:val="885"/>
        <w:numPr>
          <w:ilvl w:val="0"/>
          <w:numId w:val="2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Controlar el costo operativo mediante límites de uso por usuario y por IP.</w:t>
      </w:r>
      <w:r/>
    </w:p>
    <w:p>
      <w:pPr>
        <w:pStyle w:val="885"/>
        <w:numPr>
          <w:ilvl w:val="0"/>
          <w:numId w:val="2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Documentar arquitectura, decisiones técnicas y resultados.</w:t>
      </w:r>
      <w:r/>
    </w:p>
    <w:p>
      <w:pPr>
        <w:pStyle w:val="894"/>
        <w:pBdr/>
        <w:spacing w:after="120" w:before="300"/>
        <w:ind/>
        <w:rPr/>
      </w:pPr>
      <w:r>
        <w:t xml:space="preserve">2.3 Alcance</w:t>
      </w:r>
      <w:r/>
    </w:p>
    <w:p>
      <w:pPr>
        <w:pBdr/>
        <w:spacing w:after="200" w:line="276" w:lineRule="auto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El alcance define el marco formal del proyecto: qué cambia en la experiencia del estudiante y qué queda deliberadamente fuera del MVP para que el proyecto sea viable en un semestre.</w:t>
      </w:r>
      <w:r/>
    </w:p>
    <w:p>
      <w:pPr>
        <w:pBdr/>
        <w:spacing w:after="200" w:line="276" w:lineRule="auto"/>
        <w:ind/>
        <w:rPr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Dentro del MVP:</w:t>
      </w:r>
      <w:r/>
    </w:p>
    <w:p>
      <w:pPr>
        <w:pStyle w:val="88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Landing pública con teoría breve de pruebas unitarias, ejemplos y llamada a probar la plataforma.</w:t>
      </w:r>
      <w:r/>
    </w:p>
    <w:p>
      <w:pPr>
        <w:pStyle w:val="88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Generación sin necesidad de cuenta, con cuota reducida por IP y protección anti-bot (Cloudflare Turnstile).</w:t>
      </w:r>
      <w:r/>
    </w:p>
    <w:p>
      <w:pPr>
        <w:pStyle w:val="88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Cuenta opcional sin contraseña (magic link) para subir la cuota y guardar historial.</w:t>
      </w:r>
      <w:r/>
    </w:p>
    <w:p>
      <w:pPr>
        <w:pStyle w:val="88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Editor de código con selección de lenguaje (Python, JavaScript/TypeScript) y framework (pytest/unittest, Vitest/Jest).</w:t>
      </w:r>
      <w:r/>
    </w:p>
    <w:p>
      <w:pPr>
        <w:pStyle w:val="88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Generación del archivo de pruebas junto con la explicación de cada caso.</w:t>
      </w:r>
      <w:r/>
    </w:p>
    <w:p>
      <w:pPr>
        <w:pStyle w:val="88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Validación por reglas de framework antes de mostrar el resultado como válido.</w:t>
      </w:r>
      <w:r/>
    </w:p>
    <w:p>
      <w:pPr>
        <w:pStyle w:val="88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Detección heurística de pruebas tautológicas (assert True, aserciones triviales, mocks amañados) antes de mostrar el resultado, sin ejecutar código.</w:t>
      </w:r>
      <w:r/>
    </w:p>
    <w:p>
      <w:pPr>
        <w:pStyle w:val="88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Copiar y descargar el archivo generado; historial personal consultable (solo con cuenta).</w:t>
      </w:r>
      <w:r/>
    </w:p>
    <w:p>
      <w:pPr>
        <w:pStyle w:val="88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Límite de generaciones por periodo, distinto para usuarios anónimos y autenticados.</w:t>
      </w:r>
      <w:r/>
    </w:p>
    <w:p>
      <w:pPr>
        <w:pBdr/>
        <w:spacing w:after="200" w:line="276" w:lineRule="auto"/>
        <w:ind/>
        <w:rPr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Fuera del MVP:</w:t>
      </w:r>
      <w:r/>
    </w:p>
    <w:p>
      <w:pPr>
        <w:pStyle w:val="88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Soporte de Java (JUnit 5) y C/C++ (GoogleTest, Catch2).</w:t>
      </w:r>
      <w:r/>
    </w:p>
    <w:p>
      <w:pPr>
        <w:pStyle w:val="88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Ejecución de las pruebas generadas y reporte de cobertura.</w:t>
      </w:r>
      <w:r/>
    </w:p>
    <w:p>
      <w:pPr>
        <w:pStyle w:val="88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Detección de errores o análisis de estilo del código de entrada.</w:t>
      </w:r>
      <w:r/>
    </w:p>
    <w:p>
      <w:pPr>
        <w:pStyle w:val="88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Cuentas de profesor, grupos o reportes agregados.</w:t>
      </w:r>
      <w:r/>
    </w:p>
    <w:p>
      <w:pPr>
        <w:pStyle w:val="88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Chat de seguimiento sobre un resultado, análisis de repositorios completos y aplicación móvil nativa.</w:t>
      </w:r>
      <w:r/>
    </w:p>
    <w:p>
      <w:pPr>
        <w:pStyle w:val="894"/>
        <w:pBdr/>
        <w:spacing w:after="120" w:before="300"/>
        <w:ind/>
        <w:rPr/>
      </w:pPr>
      <w:r>
        <w:t xml:space="preserve">2.4 Entregables</w:t>
      </w:r>
      <w:r/>
    </w:p>
    <w:p>
      <w:pPr>
        <w:pBdr/>
        <w:spacing w:after="200" w:line="276" w:lineRule="auto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Habiendo definido el alcance del proyecto, se listan los productos principales a entregar:</w:t>
      </w:r>
      <w:r/>
    </w:p>
    <w:tbl>
      <w:tblPr>
        <w:tblW w:w="86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6444"/>
      </w:tblGrid>
      <w:tr>
        <w:trPr/>
        <w:tc>
          <w:tcPr>
            <w:shd w:val="clear" w:color="auto" w:fill="d9e2f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Entregable</w:t>
            </w:r>
            <w:r/>
          </w:p>
        </w:tc>
        <w:tc>
          <w:tcPr>
            <w:shd w:val="clear" w:color="auto" w:fill="d9e2f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644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Descripción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Plataforma web funcional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644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Astro (SSR) + React + Tailwind en Cloudflare Workers: landing, editor de código y despliegue del resultado en streaming.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Integración con la API del modelo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644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Módulo de generación (lib/llm/), prompt de sistema y producción del archivo de pruebas.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Explicación por caso de prueba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644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Parte del mismo flujo de generación: qué cubre cada caso y por qué se eligió.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Cuentas opcionales y persistencia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644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Better Auth (magic link) y Turso; historial de generaciones por usuario.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Repositorio de código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644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Control de versiones y gestión del proyecto.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Documentación del proyecto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644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Carpeta docs/: PRD, arquitectura, costos, plan, metodología, límites.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Presentación final del prototipo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644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Presentación de cierre del proyecto ante el equipo docente.</w:t>
            </w:r>
            <w:r/>
          </w:p>
        </w:tc>
      </w:tr>
    </w:tbl>
    <w:p>
      <w:pPr>
        <w:pStyle w:val="893"/>
        <w:pBdr/>
        <w:spacing/>
        <w:ind/>
        <w:rPr/>
      </w:pPr>
      <w:r>
        <w:t xml:space="preserve">3. Plan de implementación</w:t>
      </w:r>
      <w:r/>
    </w:p>
    <w:p>
      <w:pPr>
        <w:pBdr/>
        <w:spacing/>
        <w:ind/>
        <w:rPr/>
      </w:pPr>
      <w:r>
        <w:t xml:space="preserve">El proyecto se desarrolla bajo metodología Scrum, en sprints de dos semanas, con fecha límite fijada al 1 de diciembre de 2026. El calendario por fase se estableció al inicio del Sprint 1, el 19 de agosto de 2026.</w:t>
      </w:r>
      <w:r/>
    </w:p>
    <w:p>
      <w:pPr>
        <w:pStyle w:val="894"/>
        <w:pBdr/>
        <w:spacing/>
        <w:ind/>
        <w:rPr/>
      </w:pPr>
      <w:r>
        <w:t xml:space="preserve">3.1 Cronograma</w:t>
      </w:r>
      <w:r/>
    </w:p>
    <w:p>
      <w:pPr>
        <w:pBdr/>
        <w:spacing/>
        <w:ind/>
        <w:rPr>
          <w:highlight w:val="none"/>
        </w:rPr>
      </w:pPr>
      <w:r>
        <w:t xml:space="preserve">La tabla si</w:t>
      </w:r>
      <w:r>
        <w:t xml:space="preserve">guiente presenta las fases del proyecto, su duración estimada y las fechas correspondientes. Ante un eventual retraso, el ajuste de alcance se aplica primero sobre la Fase 4 (interfaz), preservando la Fase 2 (calibración) y la Fase 5 (prueba con usuarios).</w:t>
      </w:r>
      <w:r/>
    </w:p>
    <w:p w14:paraId="752EC478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W w:w="86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rPr/>
        <w:tc>
          <w:tcPr>
            <w:shd w:val="clear" w:color="auto" w:fill="d9e2f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/>
                <w:sz w:val="20"/>
              </w:rPr>
              <w:t xml:space="preserve">Fase</w:t>
            </w:r>
            <w:r>
              <w:rPr>
                <w:rFonts w:ascii="Calibri" w:hAnsi="Calibri"/>
                <w:b/>
                <w:sz w:val="20"/>
              </w:rPr>
            </w:r>
            <w:r/>
          </w:p>
        </w:tc>
        <w:tc>
          <w:tcPr>
            <w:shd w:val="clear" w:color="auto" w:fill="d9e2f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/>
                <w:sz w:val="20"/>
              </w:rPr>
              <w:t xml:space="preserve">Duración</w:t>
            </w:r>
            <w:r>
              <w:rPr>
                <w:rFonts w:ascii="Calibri" w:hAnsi="Calibri"/>
                <w:b/>
                <w:sz w:val="20"/>
              </w:rPr>
            </w:r>
            <w:r/>
          </w:p>
        </w:tc>
        <w:tc>
          <w:tcPr>
            <w:shd w:val="clear" w:color="auto" w:fill="d9e2f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4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/>
                <w:sz w:val="20"/>
              </w:rPr>
              <w:t xml:space="preserve">Fechas</w:t>
            </w:r>
            <w:r>
              <w:rPr>
                <w:rFonts w:ascii="Calibri" w:hAnsi="Calibri"/>
                <w:b/>
                <w:sz w:val="20"/>
              </w:rPr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sz w:val="20"/>
              </w:rPr>
              <w:t xml:space="preserve">Fase 0 — Preparación</w:t>
            </w:r>
            <w:r>
              <w:rPr>
                <w:rFonts w:ascii="Calibri" w:hAnsi="Calibri"/>
                <w:sz w:val="20"/>
              </w:rPr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sz w:val="20"/>
              </w:rPr>
              <w:t xml:space="preserve">1 sprint</w:t>
            </w:r>
            <w:r>
              <w:rPr>
                <w:rFonts w:ascii="Calibri" w:hAnsi="Calibri"/>
                <w:sz w:val="20"/>
              </w:rPr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4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sz w:val="20"/>
              </w:rPr>
              <w:t xml:space="preserve">2026-08-19 → 2026-09-01</w:t>
            </w:r>
            <w:r>
              <w:rPr>
                <w:rFonts w:ascii="Calibri" w:hAnsi="Calibri"/>
                <w:sz w:val="20"/>
              </w:rPr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sz w:val="20"/>
              </w:rPr>
              <w:t xml:space="preserve">Fase 1 — Núcleo de la generación</w:t>
            </w:r>
            <w:r>
              <w:rPr>
                <w:rFonts w:ascii="Calibri" w:hAnsi="Calibri"/>
                <w:sz w:val="20"/>
              </w:rPr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sz w:val="20"/>
              </w:rPr>
              <w:t xml:space="preserve">2 sprints</w:t>
            </w:r>
            <w:r>
              <w:rPr>
                <w:rFonts w:ascii="Calibri" w:hAnsi="Calibri"/>
                <w:sz w:val="20"/>
              </w:rPr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4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sz w:val="20"/>
              </w:rPr>
              <w:t xml:space="preserve">2026-09-02 → 2026-09-29</w:t>
            </w:r>
            <w:r>
              <w:rPr>
                <w:rFonts w:ascii="Calibri" w:hAnsi="Calibri"/>
                <w:sz w:val="20"/>
              </w:rPr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sz w:val="20"/>
              </w:rPr>
              <w:t xml:space="preserve">Fase 2 — Calibración</w:t>
            </w:r>
            <w:r>
              <w:rPr>
                <w:rFonts w:ascii="Calibri" w:hAnsi="Calibri"/>
                <w:sz w:val="20"/>
              </w:rPr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sz w:val="20"/>
              </w:rPr>
              <w:t xml:space="preserve">1 sprint</w:t>
            </w:r>
            <w:r>
              <w:rPr>
                <w:rFonts w:ascii="Calibri" w:hAnsi="Calibri"/>
                <w:sz w:val="20"/>
              </w:rPr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4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sz w:val="20"/>
              </w:rPr>
              <w:t xml:space="preserve">2026-09-30 → 2026-10-13</w:t>
            </w:r>
            <w:r>
              <w:rPr>
                <w:rFonts w:ascii="Calibri" w:hAnsi="Calibri"/>
                <w:sz w:val="20"/>
              </w:rPr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sz w:val="20"/>
              </w:rPr>
              <w:t xml:space="preserve">Fase 3 — Cuentas opcionales y persistencia</w:t>
            </w:r>
            <w:r>
              <w:rPr>
                <w:rFonts w:ascii="Calibri" w:hAnsi="Calibri"/>
                <w:sz w:val="20"/>
              </w:rPr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sz w:val="20"/>
              </w:rPr>
              <w:t xml:space="preserve">1 sprint</w:t>
            </w:r>
            <w:r>
              <w:rPr>
                <w:rFonts w:ascii="Calibri" w:hAnsi="Calibri"/>
                <w:sz w:val="20"/>
              </w:rPr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4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sz w:val="20"/>
              </w:rPr>
              <w:t xml:space="preserve">2026-10-14 → 2026-10-27</w:t>
            </w:r>
            <w:r>
              <w:rPr>
                <w:rFonts w:ascii="Calibri" w:hAnsi="Calibri"/>
                <w:sz w:val="20"/>
              </w:rPr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sz w:val="20"/>
              </w:rPr>
              <w:t xml:space="preserve">Fase 4 — Interfaz</w:t>
            </w:r>
            <w:r>
              <w:rPr>
                <w:rFonts w:ascii="Calibri" w:hAnsi="Calibri"/>
                <w:sz w:val="20"/>
              </w:rPr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sz w:val="20"/>
              </w:rPr>
              <w:t xml:space="preserve">1 sprint</w:t>
            </w:r>
            <w:r>
              <w:rPr>
                <w:rFonts w:ascii="Calibri" w:hAnsi="Calibri"/>
                <w:sz w:val="20"/>
              </w:rPr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4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sz w:val="20"/>
              </w:rPr>
              <w:t xml:space="preserve">2026-10-28 → 2026-11-10</w:t>
            </w:r>
            <w:r>
              <w:rPr>
                <w:rFonts w:ascii="Calibri" w:hAnsi="Calibri"/>
                <w:sz w:val="20"/>
              </w:rPr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sz w:val="20"/>
              </w:rPr>
              <w:t xml:space="preserve">Fase 5 — Prueba con usuarios y cierre</w:t>
            </w:r>
            <w:r>
              <w:rPr>
                <w:rFonts w:ascii="Calibri" w:hAnsi="Calibri"/>
                <w:sz w:val="20"/>
              </w:rPr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sz w:val="20"/>
              </w:rPr>
              <w:t xml:space="preserve">1 sprint</w:t>
            </w:r>
            <w:r>
              <w:rPr>
                <w:rFonts w:ascii="Calibri" w:hAnsi="Calibri"/>
                <w:sz w:val="20"/>
              </w:rPr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4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sz w:val="20"/>
              </w:rPr>
              <w:t xml:space="preserve">2026-11-11 → 2026-11-24</w:t>
            </w:r>
            <w:r>
              <w:rPr>
                <w:rFonts w:ascii="Calibri" w:hAnsi="Calibri"/>
                <w:sz w:val="20"/>
              </w:rPr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sz w:val="20"/>
              </w:rPr>
              <w:t xml:space="preserve">Colchón (sin sprint asignado)</w:t>
            </w:r>
            <w:r>
              <w:rPr>
                <w:rFonts w:ascii="Calibri" w:hAnsi="Calibri"/>
                <w:sz w:val="20"/>
              </w:rPr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sz w:val="20"/>
              </w:rPr>
              <w:t xml:space="preserve">—</w:t>
            </w:r>
            <w:r>
              <w:rPr>
                <w:rFonts w:ascii="Calibri" w:hAnsi="Calibri"/>
                <w:sz w:val="20"/>
              </w:rPr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4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sz w:val="20"/>
              </w:rPr>
              <w:t xml:space="preserve">2026-11-25 → 2026-12-01</w:t>
            </w:r>
            <w:r>
              <w:rPr>
                <w:rFonts w:ascii="Calibri" w:hAnsi="Calibri"/>
                <w:sz w:val="20"/>
              </w:rPr>
            </w:r>
            <w:r/>
          </w:p>
        </w:tc>
      </w:tr>
    </w:tbl>
    <w:p w14:paraId="54836576">
      <w:pPr>
        <w:pBdr/>
        <w:spacing/>
        <w:ind/>
        <w:rPr/>
      </w:pPr>
      <w:r/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260" w:left="4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Table Grid Light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1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2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1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2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3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4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5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6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1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2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3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4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5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6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1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2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3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4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5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6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2" w:default="1">
    <w:name w:val="Normal"/>
    <w:qFormat/>
    <w:pPr>
      <w:pBdr/>
      <w:spacing/>
      <w:ind/>
    </w:pPr>
  </w:style>
  <w:style w:type="paragraph" w:styleId="833">
    <w:name w:val="Heading 7"/>
    <w:basedOn w:val="832"/>
    <w:next w:val="832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32"/>
    <w:next w:val="832"/>
    <w:link w:val="84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32"/>
    <w:next w:val="832"/>
    <w:link w:val="8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numbering" w:styleId="837" w:default="1">
    <w:name w:val="No List"/>
    <w:uiPriority w:val="99"/>
    <w:semiHidden/>
    <w:unhideWhenUsed/>
    <w:pPr>
      <w:pBdr/>
      <w:spacing/>
      <w:ind/>
    </w:pPr>
  </w:style>
  <w:style w:type="character" w:styleId="838">
    <w:name w:val="Heading 1 Char"/>
    <w:basedOn w:val="836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9">
    <w:name w:val="Heading 2 Char"/>
    <w:basedOn w:val="836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0">
    <w:name w:val="Heading 3 Char"/>
    <w:basedOn w:val="836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1">
    <w:name w:val="Heading 4 Char"/>
    <w:basedOn w:val="836"/>
    <w:link w:val="88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2">
    <w:name w:val="Heading 5 Char"/>
    <w:basedOn w:val="836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3">
    <w:name w:val="Heading 6 Char"/>
    <w:basedOn w:val="836"/>
    <w:link w:val="8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4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5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6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Title Char"/>
    <w:basedOn w:val="836"/>
    <w:link w:val="8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32"/>
    <w:next w:val="832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32"/>
    <w:next w:val="832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32"/>
    <w:next w:val="832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32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32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32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32"/>
    <w:next w:val="83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66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7">
    <w:name w:val="toc 1"/>
    <w:basedOn w:val="832"/>
    <w:next w:val="832"/>
    <w:uiPriority w:val="39"/>
    <w:unhideWhenUsed/>
    <w:pPr>
      <w:pBdr/>
      <w:spacing w:after="100"/>
      <w:ind/>
    </w:pPr>
  </w:style>
  <w:style w:type="paragraph" w:styleId="868">
    <w:name w:val="toc 2"/>
    <w:basedOn w:val="832"/>
    <w:next w:val="832"/>
    <w:uiPriority w:val="39"/>
    <w:unhideWhenUsed/>
    <w:pPr>
      <w:pBdr/>
      <w:spacing w:after="100"/>
      <w:ind w:left="220"/>
    </w:pPr>
  </w:style>
  <w:style w:type="paragraph" w:styleId="869">
    <w:name w:val="toc 3"/>
    <w:basedOn w:val="832"/>
    <w:next w:val="832"/>
    <w:uiPriority w:val="39"/>
    <w:unhideWhenUsed/>
    <w:pPr>
      <w:pBdr/>
      <w:spacing w:after="100"/>
      <w:ind w:left="440"/>
    </w:pPr>
  </w:style>
  <w:style w:type="paragraph" w:styleId="870">
    <w:name w:val="toc 4"/>
    <w:basedOn w:val="832"/>
    <w:next w:val="832"/>
    <w:uiPriority w:val="39"/>
    <w:unhideWhenUsed/>
    <w:pPr>
      <w:pBdr/>
      <w:spacing w:after="100"/>
      <w:ind w:left="660"/>
    </w:pPr>
  </w:style>
  <w:style w:type="paragraph" w:styleId="871">
    <w:name w:val="toc 5"/>
    <w:basedOn w:val="832"/>
    <w:next w:val="832"/>
    <w:uiPriority w:val="39"/>
    <w:unhideWhenUsed/>
    <w:pPr>
      <w:pBdr/>
      <w:spacing w:after="100"/>
      <w:ind w:left="880"/>
    </w:pPr>
  </w:style>
  <w:style w:type="paragraph" w:styleId="872">
    <w:name w:val="toc 6"/>
    <w:basedOn w:val="832"/>
    <w:next w:val="832"/>
    <w:uiPriority w:val="39"/>
    <w:unhideWhenUsed/>
    <w:pPr>
      <w:pBdr/>
      <w:spacing w:after="100"/>
      <w:ind w:left="1100"/>
    </w:pPr>
  </w:style>
  <w:style w:type="paragraph" w:styleId="873">
    <w:name w:val="toc 7"/>
    <w:basedOn w:val="832"/>
    <w:next w:val="832"/>
    <w:uiPriority w:val="39"/>
    <w:unhideWhenUsed/>
    <w:pPr>
      <w:pBdr/>
      <w:spacing w:after="100"/>
      <w:ind w:left="1320"/>
    </w:pPr>
  </w:style>
  <w:style w:type="paragraph" w:styleId="874">
    <w:name w:val="toc 8"/>
    <w:basedOn w:val="832"/>
    <w:next w:val="832"/>
    <w:uiPriority w:val="39"/>
    <w:unhideWhenUsed/>
    <w:pPr>
      <w:pBdr/>
      <w:spacing w:after="100"/>
      <w:ind w:left="1540"/>
    </w:pPr>
  </w:style>
  <w:style w:type="paragraph" w:styleId="875">
    <w:name w:val="toc 9"/>
    <w:basedOn w:val="832"/>
    <w:next w:val="832"/>
    <w:uiPriority w:val="39"/>
    <w:unhideWhenUsed/>
    <w:pPr>
      <w:pBdr/>
      <w:spacing w:after="100"/>
      <w:ind w:left="1760"/>
    </w:pPr>
  </w:style>
  <w:style w:type="character" w:styleId="876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77">
    <w:name w:val="TOC Heading"/>
    <w:uiPriority w:val="39"/>
    <w:unhideWhenUsed/>
    <w:pPr>
      <w:pBdr/>
      <w:spacing/>
      <w:ind/>
    </w:pPr>
  </w:style>
  <w:style w:type="paragraph" w:styleId="878">
    <w:name w:val="table of figures"/>
    <w:basedOn w:val="832"/>
    <w:next w:val="832"/>
    <w:uiPriority w:val="99"/>
    <w:unhideWhenUsed/>
    <w:pPr>
      <w:pBdr/>
      <w:spacing w:after="0" w:afterAutospacing="0"/>
      <w:ind/>
    </w:pPr>
  </w:style>
  <w:style w:type="paragraph" w:styleId="879">
    <w:name w:val="Title"/>
    <w:qFormat/>
    <w:pPr>
      <w:pBdr/>
      <w:spacing/>
      <w:ind/>
    </w:pPr>
    <w:rPr>
      <w:sz w:val="56"/>
      <w:szCs w:val="56"/>
    </w:rPr>
  </w:style>
  <w:style w:type="paragraph" w:styleId="88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81">
    <w:name w:val="Heading 4"/>
    <w:qFormat/>
    <w:pPr>
      <w:pBdr/>
      <w:spacing/>
      <w:ind/>
    </w:pPr>
    <w:rPr>
      <w:i/>
      <w:iCs/>
      <w:color w:val="2e74b5"/>
    </w:rPr>
  </w:style>
  <w:style w:type="paragraph" w:styleId="882">
    <w:name w:val="Heading 5"/>
    <w:qFormat/>
    <w:pPr>
      <w:pBdr/>
      <w:spacing/>
      <w:ind/>
    </w:pPr>
    <w:rPr>
      <w:color w:val="2e74b5"/>
    </w:rPr>
  </w:style>
  <w:style w:type="paragraph" w:styleId="883">
    <w:name w:val="Heading 6"/>
    <w:qFormat/>
    <w:pPr>
      <w:pBdr/>
      <w:spacing/>
      <w:ind/>
    </w:pPr>
    <w:rPr>
      <w:color w:val="1f4d78"/>
    </w:rPr>
  </w:style>
  <w:style w:type="paragraph" w:styleId="884">
    <w:name w:val="Strong"/>
    <w:qFormat/>
    <w:pPr>
      <w:pBdr/>
      <w:spacing/>
      <w:ind/>
    </w:pPr>
    <w:rPr>
      <w:b/>
      <w:bCs/>
    </w:rPr>
  </w:style>
  <w:style w:type="paragraph" w:styleId="885">
    <w:name w:val="List Paragraph"/>
    <w:qFormat/>
    <w:pPr>
      <w:pBdr/>
      <w:spacing/>
      <w:ind/>
    </w:pPr>
  </w:style>
  <w:style w:type="character" w:styleId="88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8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88">
    <w:name w:val="footnote text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Footnote Text Char"/>
    <w:link w:val="88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9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1">
    <w:name w:val="endnote text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Endnote Text Char"/>
    <w:link w:val="891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893">
    <w:name w:val="Heading 1"/>
    <w:qFormat/>
    <w:pPr>
      <w:pBdr/>
      <w:spacing w:after="120" w:before="480"/>
      <w:ind/>
    </w:pPr>
    <w:rPr>
      <w:rFonts w:ascii="Cambria" w:hAnsi="Cambria" w:eastAsia="Cambria" w:cs="Cambria"/>
      <w:b/>
      <w:bCs/>
      <w:color w:val="366091"/>
      <w:sz w:val="32"/>
      <w:szCs w:val="32"/>
    </w:rPr>
  </w:style>
  <w:style w:type="paragraph" w:styleId="894">
    <w:name w:val="Heading 2"/>
    <w:qFormat/>
    <w:pPr>
      <w:pBdr/>
      <w:spacing w:after="120" w:before="300"/>
      <w:ind/>
    </w:pPr>
    <w:rPr>
      <w:rFonts w:ascii="Cambria" w:hAnsi="Cambria" w:eastAsia="Cambria" w:cs="Cambria"/>
      <w:b/>
      <w:bCs/>
      <w:color w:val="4f81bd"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3</cp:revision>
  <dcterms:created xsi:type="dcterms:W3CDTF">2026-08-19T15:25:12Z</dcterms:created>
  <dcterms:modified xsi:type="dcterms:W3CDTF">2026-08-21T15:59:35Z</dcterms:modified>
</cp:coreProperties>
</file>