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CARTA PATROCINADORA (PROJECT CHARTER)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Generador pedagógico de pruebas unitarias (IA Beta)</w:t>
      </w:r>
    </w:p>
    <w:p>
      <w:pPr>
        <w:spacing w:after="120"/>
      </w:pPr>
      <w:r>
        <w:rPr>
          <w:b/>
          <w:bCs/>
        </w:rPr>
        <w:t xml:space="preserve">Fecha: 19/08/2026</w:t>
      </w:r>
    </w:p>
    <w:p>
      <w:pPr>
        <w:spacing w:after="120"/>
      </w:pPr>
      <w:r>
        <w:rPr>
          <w:b/>
          <w:bCs/>
        </w:rPr>
        <w:t xml:space="preserve">Versión: 0.2</w:t>
      </w:r>
    </w:p>
    <w:p>
      <w:pPr>
        <w:pStyle w:val="Heading1"/>
        <w:spacing w:after="150" w:before="300"/>
      </w:pPr>
      <w:r>
        <w:t xml:space="preserve">Título del proyecto</w:t>
      </w:r>
    </w:p>
    <w:p>
      <w:pPr>
        <w:spacing w:after="120"/>
      </w:pPr>
      <w:r>
        <w:t xml:space="preserve">GENERADOR PEDAGÓGICO DE PRUEBAS UNITARIAS (IA BETA)</w:t>
      </w:r>
    </w:p>
    <w:p>
      <w:pPr>
        <w:pStyle w:val="Heading1"/>
        <w:spacing w:after="150" w:before="300"/>
      </w:pPr>
      <w:r>
        <w:t xml:space="preserve">Identificación del beneficio del proyecto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Acompañamiento y razonamiento pedagógico: a diferencia de un generador comercial, ayuda al estudiante a comprender el criterio con el que se eligen los casos de prueba, no solo a recibir un archivo de pruebas.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Cobertura integral de casos: identifica y explica caso feliz, valores límite, entradas inválidas y manejo de errores, evitando que el estudiante pruebe solo el camino feliz.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Honestidad frente a pruebas de mentira: a diferencia de pegar el código directo a un asistente genérico, el sistema aplica una heurística (RF-24) que detecta y marca pruebas tautológicas (assert True y similares) antes de entregarlas, sin necesidad de ejecutar código.</w:t>
      </w:r>
    </w:p>
    <w:p>
      <w:pPr>
        <w:pStyle w:val="Heading1"/>
        <w:spacing w:after="150" w:before="300"/>
      </w:pPr>
      <w:r>
        <w:t xml:space="preserve">Lista de documentos o productos esperados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Plataforma web funcional (Astro + React, Cloudflare Workers): landing, editor para pegar código y despliegue del resultado en streaming.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Integración con la API del modelo (Sonnet 5): lib/llm/, prompt de sistema y generación del archivo de pruebas.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Explicación por caso de prueba: parte del mismo flujo de generación — qué cubre cada caso y por qué se eligió.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Cuentas opcionales y persistencia: Better Auth (magic link) + Turso, historial de generaciones.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Repositorio de código: control de versiones y gestión del proyecto.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Documentación del proyecto: PRD, arquitectura, costos, plan, metodología, límites.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Presentación final del prototipo.</w:t>
      </w:r>
    </w:p>
    <w:p>
      <w:pPr>
        <w:pStyle w:val="Heading1"/>
        <w:spacing w:after="150" w:before="300"/>
      </w:pPr>
      <w:r>
        <w:t xml:space="preserve">Identificación de medidas clave de éxito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Generación correcta: el endpoint /api/generar procesa el código y devuelve pruebas ejecutables en el framework elegido.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Cobertura de casos: sobre 20 funciones del conjunto de evaluación, cubre caso feliz, borde y error en al menos 15.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Validez: al menos 17 de esas 20 corren sin errores de sintaxis, import o nombre.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Cero pruebas tautológicas en la muestra evaluada.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Usabilidad sin fricción: el estudiante genera y descarga sin gestionar la API directamente.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Cumplimiento iterativo en Scrum: entregas revisadas al cierre de cada sprint, dentro de la fecha límite.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Uso real: al menos 10 estudiantes ajenos al equipo generan al menos una vez.</w:t>
      </w:r>
    </w:p>
    <w:p>
      <w:pPr>
        <w:pStyle w:val="Heading1"/>
        <w:spacing w:after="150" w:before="300"/>
      </w:pPr>
      <w:r>
        <w:t xml:space="preserve">Prioridad en relación a otros proyectos</w:t>
      </w:r>
    </w:p>
    <w:p>
      <w:pPr>
        <w:spacing w:after="120"/>
      </w:pPr>
      <w:r>
        <w:t xml:space="preserve">Prioridad alta. Proyecto central del periodo académico actual, con fecha límite fija. Su ejecución tiene precedencia sobre otros compromisos del equipo dentro del semestre.</w:t>
      </w:r>
    </w:p>
    <w:p>
      <w:pPr>
        <w:pStyle w:val="Heading1"/>
        <w:spacing w:after="150" w:before="300"/>
      </w:pPr>
      <w:r>
        <w:t xml:space="preserve">Fechas de inicio, fin y momentos clave</w:t>
      </w:r>
    </w:p>
    <w:p>
      <w:pPr>
        <w:spacing w:after="120"/>
      </w:pPr>
      <w:r>
        <w:t xml:space="preserve">Fecha límite: 2026-12-01, sin excepción. Desde el inicio (2026-08-18) son ~15 semanas, ~7 sprints de 2 semanas para las 6 fases siguientes. El reparto exacto de sprints por fase se confirma en Sprint Planning, no está fijado de antemano.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800"/>
        <w:gridCol w:w="1600"/>
      </w:tblGrid>
      <w:tr>
        <w:tc>
          <w:tcPr>
            <w:tcW w:type="dxa" w:w="3200"/>
            <w:shd w:fill="D9E2F3" w:val="clear"/>
          </w:tcPr>
          <w:p>
            <w:r>
              <w:rPr>
                <w:b/>
                <w:bCs/>
              </w:rPr>
              <w:t xml:space="preserve">Fase</w:t>
            </w:r>
          </w:p>
        </w:tc>
        <w:tc>
          <w:tcPr>
            <w:tcW w:type="dxa" w:w="4800"/>
            <w:shd w:fill="D9E2F3" w:val="clear"/>
          </w:tcPr>
          <w:p>
            <w:r>
              <w:rPr>
                <w:b/>
                <w:bCs/>
              </w:rPr>
              <w:t xml:space="preserve">Contenido</w:t>
            </w:r>
          </w:p>
        </w:tc>
        <w:tc>
          <w:tcPr>
            <w:tcW w:type="dxa" w:w="1600"/>
            <w:shd w:fill="D9E2F3" w:val="clear"/>
          </w:tcPr>
          <w:p>
            <w:r>
              <w:rPr>
                <w:b/>
                <w:bCs/>
              </w:rPr>
              <w:t xml:space="preserve">Estimado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Fase 0 — Preparación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Equipo, presupuesto, conjunto de evaluación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1 sprint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Fase 1 — Núcleo de la generación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Endpoint /api/generar, streaming, protección desde el día uno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2 sprints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Fase 2 — Calibración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Medir effort sobre Sonnet 5, validar contra el conjunto de evaluación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1 sprint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Fase 3 — Cuentas opcionales y persistencia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Better Auth, Turso, historial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1 sprint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Fase 4 — Interfaz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Tokens de diseño, landing, pantallas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1 sprint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Fase 5 — Prueba con usuarios y cierre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</w:rPr>
              <w:t xml:space="preserve">Prueba con 10+ estudiantes, documentación final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1 sprint</w:t>
            </w:r>
          </w:p>
        </w:tc>
      </w:tr>
    </w:tbl>
    <w:p>
      <w:pPr>
        <w:spacing w:after="120"/>
      </w:pPr>
      <w:r>
        <w:rPr>
          <w:i/>
          <w:iCs/>
        </w:rPr>
        <w:t xml:space="preserve">Si el ritmo no alcanza, se recorta la Fase 4 antes que la Fase 2 o la Fase 5.</w:t>
      </w:r>
    </w:p>
    <w:p>
      <w:pPr>
        <w:pStyle w:val="Heading1"/>
        <w:spacing w:after="150" w:before="300"/>
      </w:pPr>
      <w:r>
        <w:t xml:space="preserve">Administrador</w:t>
      </w:r>
    </w:p>
    <w:p>
      <w:pPr>
        <w:spacing w:after="120"/>
      </w:pPr>
      <w:r>
        <w:rPr>
          <w:b/>
          <w:bCs/>
        </w:rPr>
        <w:t xml:space="preserve">Pendiente de asignar. Roles Scrum definidos, sin persona asignada todavía: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200"/>
        <w:gridCol w:w="1600"/>
      </w:tblGrid>
      <w:tr>
        <w:tc>
          <w:tcPr>
            <w:tcW w:type="dxa" w:w="2800"/>
            <w:shd w:fill="D9E2F3" w:val="clear"/>
          </w:tcPr>
          <w:p>
            <w:r>
              <w:rPr>
                <w:b/>
                <w:bCs/>
              </w:rPr>
              <w:t xml:space="preserve">Rol</w:t>
            </w:r>
          </w:p>
        </w:tc>
        <w:tc>
          <w:tcPr>
            <w:tcW w:type="dxa" w:w="5200"/>
            <w:shd w:fill="D9E2F3" w:val="clear"/>
          </w:tcPr>
          <w:p>
            <w:r>
              <w:rPr>
                <w:b/>
                <w:bCs/>
              </w:rPr>
              <w:t xml:space="preserve">Responsabilidad</w:t>
            </w:r>
          </w:p>
        </w:tc>
        <w:tc>
          <w:tcPr>
            <w:tcW w:type="dxa" w:w="1600"/>
            <w:shd w:fill="D9E2F3" w:val="clear"/>
          </w:tcPr>
          <w:p>
            <w:r>
              <w:rPr>
                <w:b/>
                <w:bCs/>
              </w:rPr>
              <w:t xml:space="preserve">Quién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Product Owner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</w:rPr>
              <w:t xml:space="preserve">Prioriza el backlog contra el PRD, decide qué entra a cada sprint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Por asignar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Scrum Master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</w:rPr>
              <w:t xml:space="preserve">Facilita ceremonias, quita bloqueos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Por asignar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Equipo de desarrollo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</w:rPr>
              <w:t xml:space="preserve">Implementa el sprint backlog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Los demás</w:t>
            </w:r>
          </w:p>
        </w:tc>
      </w:tr>
    </w:tbl>
    <w:p>
      <w:pPr>
        <w:spacing w:after="120"/>
      </w:pPr>
      <w:r>
        <w:rPr>
          <w:i/>
          <w:iCs/>
        </w:rPr>
        <w:t xml:space="preserve">En equipo de 6, PO y Scrum Master también pueden tomar tareas de desarrollo.</w:t>
      </w:r>
    </w:p>
    <w:p>
      <w:pPr>
        <w:pStyle w:val="Heading1"/>
        <w:spacing w:after="150" w:before="300"/>
      </w:pPr>
      <w:r>
        <w:t xml:space="preserve">Miembros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3000"/>
      </w:tblGrid>
      <w:tr>
        <w:tc>
          <w:tcPr>
            <w:tcW w:type="dxa" w:w="6600"/>
            <w:shd w:fill="D9E2F3" w:val="clear"/>
          </w:tcPr>
          <w:p>
            <w:r>
              <w:rPr>
                <w:b/>
                <w:bCs/>
              </w:rPr>
              <w:t xml:space="preserve">Nombre</w:t>
            </w:r>
          </w:p>
        </w:tc>
        <w:tc>
          <w:tcPr>
            <w:tcW w:type="dxa" w:w="3000"/>
            <w:shd w:fill="D9E2F3" w:val="clear"/>
          </w:tcPr>
          <w:p>
            <w:r>
              <w:rPr>
                <w:b/>
                <w:bCs/>
              </w:rPr>
              <w:t xml:space="preserve">Matrícula</w:t>
            </w:r>
          </w:p>
        </w:tc>
      </w:tr>
      <w:tr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Dante Mauricio Calderón Barboza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2021203</w:t>
            </w:r>
          </w:p>
        </w:tc>
      </w:tr>
      <w:tr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Alonso David de León Rodarte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2173878</w:t>
            </w:r>
          </w:p>
        </w:tc>
      </w:tr>
      <w:tr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Perla Rubí Leal Leal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2039055</w:t>
            </w:r>
          </w:p>
        </w:tc>
      </w:tr>
      <w:tr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Ángel Alberto Isaac Meza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2064850</w:t>
            </w:r>
          </w:p>
        </w:tc>
      </w:tr>
      <w:tr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Osmar Emilio Solís Olivares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2044259</w:t>
            </w:r>
          </w:p>
        </w:tc>
      </w:tr>
      <w:tr>
        <w:tc>
          <w:tcPr>
            <w:tcW w:type="dxa" w:w="6600"/>
          </w:tcPr>
          <w:p>
            <w:r>
              <w:rPr>
                <w:b w:val="false"/>
                <w:bCs w:val="false"/>
              </w:rPr>
              <w:t xml:space="preserve">Isela Esmeralda Guerrero Martínez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2018532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2026-08-19T14:42:47.976Z</dcterms:created>
  <dcterms:modified xsi:type="dcterms:W3CDTF">2026-08-19T14:42:47.976Z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