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7365D"/>
          <w:sz w:val="56"/>
        </w:rPr>
        <w:t>CREDIT RISK MODEL</w:t>
        <w:br/>
        <w:t>VALIDATION PLATFORM</w:t>
      </w:r>
    </w:p>
    <w:p>
      <w:pPr>
        <w:jc w:val="center"/>
      </w:pPr>
      <w:r>
        <w:rPr>
          <w:color w:val="287271"/>
          <w:sz w:val="30"/>
        </w:rPr>
        <w:t>Complete Project Guide — Updated to the Current GitHub Repository</w:t>
      </w:r>
    </w:p>
    <w:p>
      <w:pPr>
        <w:spacing w:before="440"/>
        <w:jc w:val="center"/>
      </w:pPr>
      <w:r>
        <w:rPr>
          <w:sz w:val="20"/>
        </w:rPr>
        <w:t>Architecture • Modelling • Validation • API • Governance • Audit • Monitoring • CI/CD</w:t>
      </w:r>
    </w:p>
    <w:p>
      <w:pPr>
        <w:spacing w:before="800"/>
        <w:jc w:val="center"/>
      </w:pPr>
      <w:r>
        <w:rPr>
          <w:sz w:val="19"/>
        </w:rPr>
        <w:t>Repository: DataDynamoShweta/Credit_Risk_Model</w:t>
        <w:br/>
        <w:t>README snapshot reference: 33e95050f161cbd9a09f0aeea440e446cab4a6ac</w:t>
        <w:br/>
        <w:t>Guide revision: 23 October 2026</w:t>
      </w:r>
    </w:p>
    <w:p>
      <w:r>
        <w:br w:type="page"/>
      </w:r>
    </w:p>
    <w:p>
      <w:pPr>
        <w:pStyle w:val="Heading1"/>
      </w:pPr>
      <w:r>
        <w:t>How to use this guide</w:t>
      </w:r>
    </w:p>
    <w:p>
      <w:r>
        <w:t>This edition describes the updated GitHub repository, not the earlier ZIP scaffold. It is a reading companion for data scientists, validators, engineers and model-risk stakeholders. It was prepared from the current README and selected source/documentation files; it is not a line-by-line commentary on every source line. CI/CD was not executed while preparing this document.</w:t>
      </w:r>
    </w:p>
    <w:p>
      <w:pPr>
        <w:pStyle w:val="ListBullet"/>
        <w:spacing w:after="40"/>
      </w:pPr>
      <w:r>
        <w:t>Read Sections 1–3 for the system architecture and file layout.</w:t>
      </w:r>
    </w:p>
    <w:p>
      <w:pPr>
        <w:pStyle w:val="ListBullet"/>
        <w:spacing w:after="40"/>
      </w:pPr>
      <w:r>
        <w:t>Read Sections 4–8 for data, modelling, validation and monitoring.</w:t>
      </w:r>
    </w:p>
    <w:p>
      <w:pPr>
        <w:pStyle w:val="ListBullet"/>
        <w:spacing w:after="40"/>
      </w:pPr>
      <w:r>
        <w:t>Read Sections 9–12 for API, governance, audit and reports.</w:t>
      </w:r>
    </w:p>
    <w:p>
      <w:pPr>
        <w:pStyle w:val="ListBullet"/>
        <w:spacing w:after="40"/>
      </w:pPr>
      <w:r>
        <w:t>Use Sections 13–17 for setup, deployment, gaps and suggested reading order.</w:t>
      </w:r>
    </w:p>
    <w:p>
      <w:pPr>
        <w:pStyle w:val="Heading1"/>
      </w:pPr>
      <w:r>
        <w:t>1. Executive summary</w:t>
      </w:r>
    </w:p>
    <w:p>
      <w:r>
        <w:t>The project is an end-to-end engineering demonstration for probability-of-default (PD) modelling and model-validation evidence. It combines a logistic-regression champion, tree-based challenger, leakage-aware splits, validation metrics, FastAPI inference, inventory-controlled model serving, a post-model adjustment (PMA) register, hash-chained audit logs, drift/performance monitoring, Markdown/PDF report generation, automated tests and GitHub Actions.</w:t>
      </w:r>
    </w:p>
    <w:tbl>
      <w:tblPr>
        <w:tblStyle w:val="TableGrid"/>
        <w:tblW w:type="auto" w:w="0"/>
        <w:tblLook w:firstColumn="1" w:firstRow="1" w:lastColumn="0" w:lastRow="0" w:noHBand="0" w:noVBand="1" w:val="04A0"/>
      </w:tblPr>
      <w:tblGrid>
        <w:gridCol w:w="5083"/>
        <w:gridCol w:w="5083"/>
      </w:tblGrid>
      <w:tr>
        <w:tc>
          <w:tcPr>
            <w:tcW w:type="dxa" w:w="1800"/>
            <w:shd w:fill="CFE2F3"/>
          </w:tcPr>
          <w:p>
            <w:r>
              <w:rPr>
                <w:b/>
                <w:sz w:val="16"/>
              </w:rPr>
              <w:t>Capability</w:t>
            </w:r>
          </w:p>
        </w:tc>
        <w:tc>
          <w:tcPr>
            <w:tcW w:type="dxa" w:w="8424"/>
            <w:shd w:fill="CFE2F3"/>
          </w:tcPr>
          <w:p>
            <w:r>
              <w:rPr>
                <w:b/>
                <w:sz w:val="16"/>
              </w:rPr>
              <w:t>What the current repository provides</w:t>
            </w:r>
          </w:p>
        </w:tc>
      </w:tr>
      <w:tr>
        <w:tc>
          <w:tcPr>
            <w:tcW w:type="dxa" w:w="1800"/>
          </w:tcPr>
          <w:p>
            <w:pPr>
              <w:spacing w:after="20"/>
            </w:pPr>
            <w:r>
              <w:rPr>
                <w:rFonts w:ascii="Aptos" w:hAnsi="Aptos"/>
                <w:sz w:val="16"/>
              </w:rPr>
              <w:t>Champion</w:t>
            </w:r>
          </w:p>
        </w:tc>
        <w:tc>
          <w:tcPr>
            <w:tcW w:type="dxa" w:w="8424"/>
          </w:tcPr>
          <w:p>
            <w:pPr>
              <w:spacing w:after="20"/>
            </w:pPr>
            <w:r>
              <w:rPr>
                <w:rFonts w:ascii="Aptos" w:hAnsi="Aptos"/>
                <w:sz w:val="16"/>
              </w:rPr>
              <w:t>Logistic regression with numeric/categorical preprocessing and PDO score scaling; unweighted by default.</w:t>
            </w:r>
          </w:p>
        </w:tc>
      </w:tr>
      <w:tr>
        <w:tc>
          <w:tcPr>
            <w:tcW w:type="dxa" w:w="1800"/>
            <w:shd w:fill="F6F8FA"/>
          </w:tcPr>
          <w:p>
            <w:pPr>
              <w:spacing w:after="20"/>
            </w:pPr>
            <w:r>
              <w:rPr>
                <w:rFonts w:ascii="Aptos" w:hAnsi="Aptos"/>
                <w:sz w:val="16"/>
              </w:rPr>
              <w:t>Challenger</w:t>
            </w:r>
          </w:p>
        </w:tc>
        <w:tc>
          <w:tcPr>
            <w:tcW w:type="dxa" w:w="8424"/>
            <w:shd w:fill="F6F8FA"/>
          </w:tcPr>
          <w:p>
            <w:pPr>
              <w:spacing w:after="20"/>
            </w:pPr>
            <w:r>
              <w:rPr>
                <w:rFonts w:ascii="Aptos" w:hAnsi="Aptos"/>
                <w:sz w:val="16"/>
              </w:rPr>
              <w:t>HistGradientBoosting by default; Random Forest, XGBoost and LightGBM are selectable.</w:t>
            </w:r>
          </w:p>
        </w:tc>
      </w:tr>
      <w:tr>
        <w:tc>
          <w:tcPr>
            <w:tcW w:type="dxa" w:w="1800"/>
          </w:tcPr>
          <w:p>
            <w:pPr>
              <w:spacing w:after="20"/>
            </w:pPr>
            <w:r>
              <w:rPr>
                <w:rFonts w:ascii="Aptos" w:hAnsi="Aptos"/>
                <w:sz w:val="16"/>
              </w:rPr>
              <w:t>Validation</w:t>
            </w:r>
          </w:p>
        </w:tc>
        <w:tc>
          <w:tcPr>
            <w:tcW w:type="dxa" w:w="8424"/>
          </w:tcPr>
          <w:p>
            <w:pPr>
              <w:spacing w:after="20"/>
            </w:pPr>
            <w:r>
              <w:rPr>
                <w:rFonts w:ascii="Aptos" w:hAnsi="Aptos"/>
                <w:sz w:val="16"/>
              </w:rPr>
              <w:t>Held-out test and OOT samples; discrimination, calibration, PSI/CSI, vintage, challenger, sensitivity and WoE/IV review.</w:t>
            </w:r>
          </w:p>
        </w:tc>
      </w:tr>
      <w:tr>
        <w:tc>
          <w:tcPr>
            <w:tcW w:type="dxa" w:w="1800"/>
            <w:shd w:fill="F6F8FA"/>
          </w:tcPr>
          <w:p>
            <w:pPr>
              <w:spacing w:after="20"/>
            </w:pPr>
            <w:r>
              <w:rPr>
                <w:rFonts w:ascii="Aptos" w:hAnsi="Aptos"/>
                <w:sz w:val="16"/>
              </w:rPr>
              <w:t>Serving</w:t>
            </w:r>
          </w:p>
        </w:tc>
        <w:tc>
          <w:tcPr>
            <w:tcW w:type="dxa" w:w="8424"/>
            <w:shd w:fill="F6F8FA"/>
          </w:tcPr>
          <w:p>
            <w:pPr>
              <w:spacing w:after="20"/>
            </w:pPr>
            <w:r>
              <w:rPr>
                <w:rFonts w:ascii="Aptos" w:hAnsi="Aptos"/>
                <w:sz w:val="16"/>
              </w:rPr>
              <w:t>FastAPI with strict feature contract; inventory status/review-date gate; version and optional SHA-256 checks.</w:t>
            </w:r>
          </w:p>
        </w:tc>
      </w:tr>
      <w:tr>
        <w:tc>
          <w:tcPr>
            <w:tcW w:type="dxa" w:w="1800"/>
          </w:tcPr>
          <w:p>
            <w:pPr>
              <w:spacing w:after="20"/>
            </w:pPr>
            <w:r>
              <w:rPr>
                <w:rFonts w:ascii="Aptos" w:hAnsi="Aptos"/>
                <w:sz w:val="16"/>
              </w:rPr>
              <w:t>Governance</w:t>
            </w:r>
          </w:p>
        </w:tc>
        <w:tc>
          <w:tcPr>
            <w:tcW w:type="dxa" w:w="8424"/>
          </w:tcPr>
          <w:p>
            <w:pPr>
              <w:spacing w:after="20"/>
            </w:pPr>
            <w:r>
              <w:rPr>
                <w:rFonts w:ascii="Aptos" w:hAnsi="Aptos"/>
                <w:sz w:val="16"/>
              </w:rPr>
              <w:t>Strict YAML inventory, findings/remediation fields, PMA register and CODEOWNERS review design.</w:t>
            </w:r>
          </w:p>
        </w:tc>
      </w:tr>
      <w:tr>
        <w:tc>
          <w:tcPr>
            <w:tcW w:type="dxa" w:w="1800"/>
            <w:shd w:fill="F6F8FA"/>
          </w:tcPr>
          <w:p>
            <w:pPr>
              <w:spacing w:after="20"/>
            </w:pPr>
            <w:r>
              <w:rPr>
                <w:rFonts w:ascii="Aptos" w:hAnsi="Aptos"/>
                <w:sz w:val="16"/>
              </w:rPr>
              <w:t>Audit</w:t>
            </w:r>
          </w:p>
        </w:tc>
        <w:tc>
          <w:tcPr>
            <w:tcW w:type="dxa" w:w="8424"/>
            <w:shd w:fill="F6F8FA"/>
          </w:tcPr>
          <w:p>
            <w:pPr>
              <w:spacing w:after="20"/>
            </w:pPr>
            <w:r>
              <w:rPr>
                <w:rFonts w:ascii="Aptos" w:hAnsi="Aptos"/>
                <w:sz w:val="16"/>
              </w:rPr>
              <w:t>Daily JSONL decision/change/monitoring records with SHA-256 hash chaining and verification.</w:t>
            </w:r>
          </w:p>
        </w:tc>
      </w:tr>
      <w:tr>
        <w:tc>
          <w:tcPr>
            <w:tcW w:type="dxa" w:w="1800"/>
          </w:tcPr>
          <w:p>
            <w:pPr>
              <w:spacing w:after="20"/>
            </w:pPr>
            <w:r>
              <w:rPr>
                <w:rFonts w:ascii="Aptos" w:hAnsi="Aptos"/>
                <w:sz w:val="16"/>
              </w:rPr>
              <w:t>Monitoring</w:t>
            </w:r>
          </w:p>
        </w:tc>
        <w:tc>
          <w:tcPr>
            <w:tcW w:type="dxa" w:w="8424"/>
          </w:tcPr>
          <w:p>
            <w:pPr>
              <w:spacing w:after="20"/>
            </w:pPr>
            <w:r>
              <w:rPr>
                <w:rFonts w:ascii="Aptos" w:hAnsi="Aptos"/>
                <w:sz w:val="16"/>
              </w:rPr>
              <w:t>Feature CSI, predicted-PD PSI and performance drift; severity exit codes and nightly workflow.</w:t>
            </w:r>
          </w:p>
        </w:tc>
      </w:tr>
      <w:tr>
        <w:tc>
          <w:tcPr>
            <w:tcW w:type="dxa" w:w="1800"/>
            <w:shd w:fill="F6F8FA"/>
          </w:tcPr>
          <w:p>
            <w:pPr>
              <w:spacing w:after="20"/>
            </w:pPr>
            <w:r>
              <w:rPr>
                <w:rFonts w:ascii="Aptos" w:hAnsi="Aptos"/>
                <w:sz w:val="16"/>
              </w:rPr>
              <w:t>Delivery</w:t>
            </w:r>
          </w:p>
        </w:tc>
        <w:tc>
          <w:tcPr>
            <w:tcW w:type="dxa" w:w="8424"/>
            <w:shd w:fill="F6F8FA"/>
          </w:tcPr>
          <w:p>
            <w:pPr>
              <w:spacing w:after="20"/>
            </w:pPr>
            <w:r>
              <w:rPr>
                <w:rFonts w:ascii="Aptos" w:hAnsi="Aptos"/>
                <w:sz w:val="16"/>
              </w:rPr>
              <w:t>Docker, CI/CD definitions, smoke tests and GHCR publishing workflow.</w:t>
            </w:r>
          </w:p>
        </w:tc>
      </w:tr>
    </w:tbl>
    <w:p/>
    <w:p>
      <w:r>
        <w:t>Important distinction: implemented software controls are not the same as a completed model-risk process. The repository can produce repeatable evidence, but it does not itself establish independent validation, business approval, fairness, IFRS 9 suitability, IRB compliance or production readiness.</w:t>
      </w:r>
    </w:p>
    <w:p>
      <w:pPr>
        <w:pStyle w:val="Heading1"/>
      </w:pPr>
      <w:r>
        <w:t>2. Architecture at a glance</w:t>
      </w:r>
    </w:p>
    <w:p>
      <w:pPr>
        <w:spacing w:after="120"/>
        <w:ind w:left="216"/>
        <w:shd w:fill="F2F4F7"/>
      </w:pPr>
      <w:r>
        <w:rPr>
          <w:rFonts w:ascii="Consolas" w:hAnsi="Consolas"/>
          <w:sz w:val="15"/>
        </w:rPr>
        <w:t>DATA SOURCES</w:t>
      </w:r>
      <w:r>
        <w:br/>
      </w:r>
      <w:r>
        <w:rPr>
          <w:rFonts w:ascii="Consolas" w:hAnsi="Consolas"/>
          <w:sz w:val="15"/>
        </w:rPr>
        <w:t xml:space="preserve">  synthetic generator | generic CSV | LendingClub 2015 adapter (Git LFS)</w:t>
      </w:r>
      <w:r>
        <w:br/>
      </w:r>
      <w:r>
        <w:rPr>
          <w:rFonts w:ascii="Consolas" w:hAnsi="Consolas"/>
          <w:sz w:val="15"/>
        </w:rPr>
        <w:t xml:space="preserve">                           |</w:t>
      </w:r>
      <w:r>
        <w:br/>
      </w:r>
      <w:r>
        <w:rPr>
          <w:rFonts w:ascii="Consolas" w:hAnsi="Consolas"/>
          <w:sz w:val="15"/>
        </w:rPr>
        <w:t xml:space="preserve">                           v</w:t>
      </w:r>
      <w:r>
        <w:br/>
      </w:r>
      <w:r>
        <w:rPr>
          <w:rFonts w:ascii="Consolas" w:hAnsi="Consolas"/>
          <w:sz w:val="15"/>
        </w:rPr>
        <w:t>DATA CONTRACTS + SPLITS</w:t>
      </w:r>
      <w:r>
        <w:br/>
      </w:r>
      <w:r>
        <w:rPr>
          <w:rFonts w:ascii="Consolas" w:hAnsi="Consolas"/>
          <w:sz w:val="15"/>
        </w:rPr>
        <w:t xml:space="preserve">  target/date handling, feature allow-list, fingerprint, metadata</w:t>
      </w:r>
      <w:r>
        <w:br/>
      </w:r>
      <w:r>
        <w:rPr>
          <w:rFonts w:ascii="Consolas" w:hAnsi="Consolas"/>
          <w:sz w:val="15"/>
        </w:rPr>
        <w:t xml:space="preserve">  train / held-out test / out-of-time (OOT)</w:t>
      </w:r>
      <w:r>
        <w:br/>
      </w:r>
      <w:r>
        <w:rPr>
          <w:rFonts w:ascii="Consolas" w:hAnsi="Consolas"/>
          <w:sz w:val="15"/>
        </w:rPr>
        <w:t xml:space="preserve">                           |</w:t>
      </w:r>
      <w:r>
        <w:br/>
      </w:r>
      <w:r>
        <w:rPr>
          <w:rFonts w:ascii="Consolas" w:hAnsi="Consolas"/>
          <w:sz w:val="15"/>
        </w:rPr>
        <w:t xml:space="preserve">                           v</w:t>
      </w:r>
      <w:r>
        <w:br/>
      </w:r>
      <w:r>
        <w:rPr>
          <w:rFonts w:ascii="Consolas" w:hAnsi="Consolas"/>
          <w:sz w:val="15"/>
        </w:rPr>
        <w:t>MODEL DEVELOPMENT</w:t>
      </w:r>
      <w:r>
        <w:br/>
      </w:r>
      <w:r>
        <w:rPr>
          <w:rFonts w:ascii="Consolas" w:hAnsi="Consolas"/>
          <w:sz w:val="15"/>
        </w:rPr>
        <w:t xml:space="preserve">  champion: logistic regression + preprocessing pipeline</w:t>
      </w:r>
      <w:r>
        <w:br/>
      </w:r>
      <w:r>
        <w:rPr>
          <w:rFonts w:ascii="Consolas" w:hAnsi="Consolas"/>
          <w:sz w:val="15"/>
        </w:rPr>
        <w:t xml:space="preserve">  challenger: HistGradientBoosting / Random Forest / XGBoost / LightGBM</w:t>
      </w:r>
      <w:r>
        <w:br/>
      </w:r>
      <w:r>
        <w:rPr>
          <w:rFonts w:ascii="Consolas" w:hAnsi="Consolas"/>
          <w:sz w:val="15"/>
        </w:rPr>
        <w:t xml:space="preserve">  outputs: model artefacts, feature list, metadata, training metrics</w:t>
      </w:r>
      <w:r>
        <w:br/>
      </w:r>
      <w:r>
        <w:rPr>
          <w:rFonts w:ascii="Consolas" w:hAnsi="Consolas"/>
          <w:sz w:val="15"/>
        </w:rPr>
        <w:t xml:space="preserve">               |                               |</w:t>
      </w:r>
      <w:r>
        <w:br/>
      </w:r>
      <w:r>
        <w:rPr>
          <w:rFonts w:ascii="Consolas" w:hAnsi="Consolas"/>
          <w:sz w:val="15"/>
        </w:rPr>
        <w:t xml:space="preserve">               v                               v</w:t>
      </w:r>
      <w:r>
        <w:br/>
      </w:r>
      <w:r>
        <w:rPr>
          <w:rFonts w:ascii="Consolas" w:hAnsi="Consolas"/>
          <w:sz w:val="15"/>
        </w:rPr>
        <w:t>VALIDATION PIPELINE                    FASTAPI SERVING</w:t>
      </w:r>
      <w:r>
        <w:br/>
      </w:r>
      <w:r>
        <w:rPr>
          <w:rFonts w:ascii="Consolas" w:hAnsi="Consolas"/>
          <w:sz w:val="15"/>
        </w:rPr>
        <w:t xml:space="preserve">  data review                           strict feature contract</w:t>
      </w:r>
      <w:r>
        <w:br/>
      </w:r>
      <w:r>
        <w:rPr>
          <w:rFonts w:ascii="Consolas" w:hAnsi="Consolas"/>
          <w:sz w:val="15"/>
        </w:rPr>
        <w:t xml:space="preserve">  AUROC / Gini / KS                     inventory-gated model loader</w:t>
      </w:r>
      <w:r>
        <w:br/>
      </w:r>
      <w:r>
        <w:rPr>
          <w:rFonts w:ascii="Consolas" w:hAnsi="Consolas"/>
          <w:sz w:val="15"/>
        </w:rPr>
        <w:t xml:space="preserve">  calibration                           optional bearer tokens</w:t>
      </w:r>
      <w:r>
        <w:br/>
      </w:r>
      <w:r>
        <w:rPr>
          <w:rFonts w:ascii="Consolas" w:hAnsi="Consolas"/>
          <w:sz w:val="15"/>
        </w:rPr>
        <w:t xml:space="preserve">  PSI / CSI / OOT / vintage              PD + score + request ID</w:t>
      </w:r>
      <w:r>
        <w:br/>
      </w:r>
      <w:r>
        <w:rPr>
          <w:rFonts w:ascii="Consolas" w:hAnsi="Consolas"/>
          <w:sz w:val="15"/>
        </w:rPr>
        <w:t xml:space="preserve">  challenger / sensitivity               prediction audit event</w:t>
      </w:r>
      <w:r>
        <w:br/>
      </w:r>
      <w:r>
        <w:rPr>
          <w:rFonts w:ascii="Consolas" w:hAnsi="Consolas"/>
          <w:sz w:val="15"/>
        </w:rPr>
        <w:t xml:space="preserve">  WoE / IV / automated findings</w:t>
      </w:r>
      <w:r>
        <w:br/>
      </w:r>
      <w:r>
        <w:rPr>
          <w:rFonts w:ascii="Consolas" w:hAnsi="Consolas"/>
          <w:sz w:val="15"/>
        </w:rPr>
        <w:t xml:space="preserve">               |</w:t>
      </w:r>
      <w:r>
        <w:br/>
      </w:r>
      <w:r>
        <w:rPr>
          <w:rFonts w:ascii="Consolas" w:hAnsi="Consolas"/>
          <w:sz w:val="15"/>
        </w:rPr>
        <w:t xml:space="preserve">               v</w:t>
      </w:r>
      <w:r>
        <w:br/>
      </w:r>
      <w:r>
        <w:rPr>
          <w:rFonts w:ascii="Consolas" w:hAnsi="Consolas"/>
          <w:sz w:val="15"/>
        </w:rPr>
        <w:t>REPORT + GOVERNANCE</w:t>
      </w:r>
      <w:r>
        <w:br/>
      </w:r>
      <w:r>
        <w:rPr>
          <w:rFonts w:ascii="Consolas" w:hAnsi="Consolas"/>
          <w:sz w:val="15"/>
        </w:rPr>
        <w:t xml:space="preserve">  Jinja2 Markdown/PDF, findings, review dates, PMA register</w:t>
      </w:r>
      <w:r>
        <w:br/>
      </w:r>
      <w:r>
        <w:rPr>
          <w:rFonts w:ascii="Consolas" w:hAnsi="Consolas"/>
          <w:sz w:val="15"/>
        </w:rPr>
      </w:r>
      <w:r>
        <w:br/>
      </w:r>
      <w:r>
        <w:rPr>
          <w:rFonts w:ascii="Consolas" w:hAnsi="Consolas"/>
          <w:sz w:val="15"/>
        </w:rPr>
        <w:t>REFERENCE + CURRENT POPULATION</w:t>
      </w:r>
      <w:r>
        <w:br/>
      </w:r>
      <w:r>
        <w:rPr>
          <w:rFonts w:ascii="Consolas" w:hAnsi="Consolas"/>
          <w:sz w:val="15"/>
        </w:rPr>
        <w:t xml:space="preserve">  feature CSI + predicted-PD PSI + labelled performance drift</w:t>
      </w:r>
      <w:r>
        <w:br/>
      </w:r>
      <w:r>
        <w:rPr>
          <w:rFonts w:ascii="Consolas" w:hAnsi="Consolas"/>
          <w:sz w:val="15"/>
        </w:rPr>
        <w:t xml:space="preserve">  -&gt; monitoring reports, audit events, exit code, nightly workflow</w:t>
      </w:r>
    </w:p>
    <w:p>
      <w:r>
        <w:t>The model inventory is central to the serving design: the existence of a model file is not sufficient to serve it. The loader checks inventory status and review date, model version and optionally the SHA-256 hash.</w:t>
      </w:r>
    </w:p>
    <w:p>
      <w:pPr>
        <w:pStyle w:val="Heading1"/>
      </w:pPr>
      <w:r>
        <w:t>3. Repository map</w:t>
      </w:r>
    </w:p>
    <w:tbl>
      <w:tblPr>
        <w:tblStyle w:val="TableGrid"/>
        <w:tblW w:type="auto" w:w="0"/>
        <w:tblLook w:firstColumn="1" w:firstRow="1" w:lastColumn="0" w:lastRow="0" w:noHBand="0" w:noVBand="1" w:val="04A0"/>
      </w:tblPr>
      <w:tblGrid>
        <w:gridCol w:w="5083"/>
        <w:gridCol w:w="5083"/>
      </w:tblGrid>
      <w:tr>
        <w:tc>
          <w:tcPr>
            <w:tcW w:type="dxa" w:w="3384"/>
            <w:shd w:fill="CFE2F3"/>
          </w:tcPr>
          <w:p>
            <w:r>
              <w:rPr>
                <w:b/>
                <w:sz w:val="15"/>
              </w:rPr>
              <w:t>Path</w:t>
            </w:r>
          </w:p>
        </w:tc>
        <w:tc>
          <w:tcPr>
            <w:tcW w:type="dxa" w:w="6840"/>
            <w:shd w:fill="CFE2F3"/>
          </w:tcPr>
          <w:p>
            <w:r>
              <w:rPr>
                <w:b/>
                <w:sz w:val="15"/>
              </w:rPr>
              <w:t>Responsibility</w:t>
            </w:r>
          </w:p>
        </w:tc>
      </w:tr>
      <w:tr>
        <w:tc>
          <w:tcPr>
            <w:tcW w:type="dxa" w:w="3384"/>
          </w:tcPr>
          <w:p>
            <w:pPr>
              <w:spacing w:after="20"/>
            </w:pPr>
            <w:r>
              <w:rPr>
                <w:rFonts w:ascii="Aptos" w:hAnsi="Aptos"/>
                <w:sz w:val="15"/>
              </w:rPr>
              <w:t>src/credit_risk_model/config.py</w:t>
            </w:r>
          </w:p>
        </w:tc>
        <w:tc>
          <w:tcPr>
            <w:tcW w:type="dxa" w:w="6840"/>
          </w:tcPr>
          <w:p>
            <w:pPr>
              <w:spacing w:after="20"/>
            </w:pPr>
            <w:r>
              <w:rPr>
                <w:rFonts w:ascii="Aptos" w:hAnsi="Aptos"/>
                <w:sz w:val="15"/>
              </w:rPr>
              <w:t>Environment settings, paths, monitoring thresholds and runtime configuration.</w:t>
            </w:r>
          </w:p>
        </w:tc>
      </w:tr>
      <w:tr>
        <w:tc>
          <w:tcPr>
            <w:tcW w:type="dxa" w:w="3384"/>
            <w:shd w:fill="F6F8FA"/>
          </w:tcPr>
          <w:p>
            <w:pPr>
              <w:spacing w:after="20"/>
            </w:pPr>
            <w:r>
              <w:rPr>
                <w:rFonts w:ascii="Aptos" w:hAnsi="Aptos"/>
                <w:sz w:val="15"/>
              </w:rPr>
              <w:t>src/credit_risk_model/data/</w:t>
            </w:r>
          </w:p>
        </w:tc>
        <w:tc>
          <w:tcPr>
            <w:tcW w:type="dxa" w:w="6840"/>
            <w:shd w:fill="F6F8FA"/>
          </w:tcPr>
          <w:p>
            <w:pPr>
              <w:spacing w:after="20"/>
            </w:pPr>
            <w:r>
              <w:rPr>
                <w:rFonts w:ascii="Aptos" w:hAnsi="Aptos"/>
                <w:sz w:val="15"/>
              </w:rPr>
              <w:t>Synthetic generator, CSV loader, source registry and LendingClub adapter.</w:t>
            </w:r>
          </w:p>
        </w:tc>
      </w:tr>
      <w:tr>
        <w:tc>
          <w:tcPr>
            <w:tcW w:type="dxa" w:w="3384"/>
          </w:tcPr>
          <w:p>
            <w:pPr>
              <w:spacing w:after="20"/>
            </w:pPr>
            <w:r>
              <w:rPr>
                <w:rFonts w:ascii="Aptos" w:hAnsi="Aptos"/>
                <w:sz w:val="15"/>
              </w:rPr>
              <w:t>src/credit_risk_model/features/</w:t>
            </w:r>
          </w:p>
        </w:tc>
        <w:tc>
          <w:tcPr>
            <w:tcW w:type="dxa" w:w="6840"/>
          </w:tcPr>
          <w:p>
            <w:pPr>
              <w:spacing w:after="20"/>
            </w:pPr>
            <w:r>
              <w:rPr>
                <w:rFonts w:ascii="Aptos" w:hAnsi="Aptos"/>
                <w:sz w:val="15"/>
              </w:rPr>
              <w:t>PD-to-score PDO scaling; WoE/IV utilities.</w:t>
            </w:r>
          </w:p>
        </w:tc>
      </w:tr>
      <w:tr>
        <w:tc>
          <w:tcPr>
            <w:tcW w:type="dxa" w:w="3384"/>
            <w:shd w:fill="F6F8FA"/>
          </w:tcPr>
          <w:p>
            <w:pPr>
              <w:spacing w:after="20"/>
            </w:pPr>
            <w:r>
              <w:rPr>
                <w:rFonts w:ascii="Aptos" w:hAnsi="Aptos"/>
                <w:sz w:val="15"/>
              </w:rPr>
              <w:t>src/credit_risk_model/models/</w:t>
            </w:r>
          </w:p>
        </w:tc>
        <w:tc>
          <w:tcPr>
            <w:tcW w:type="dxa" w:w="6840"/>
            <w:shd w:fill="F6F8FA"/>
          </w:tcPr>
          <w:p>
            <w:pPr>
              <w:spacing w:after="20"/>
            </w:pPr>
            <w:r>
              <w:rPr>
                <w:rFonts w:ascii="Aptos" w:hAnsi="Aptos"/>
                <w:sz w:val="15"/>
              </w:rPr>
              <w:t>Champion, challenger, strict feature contract and optional MLflow alias adapter.</w:t>
            </w:r>
          </w:p>
        </w:tc>
      </w:tr>
      <w:tr>
        <w:tc>
          <w:tcPr>
            <w:tcW w:type="dxa" w:w="3384"/>
          </w:tcPr>
          <w:p>
            <w:pPr>
              <w:spacing w:after="20"/>
            </w:pPr>
            <w:r>
              <w:rPr>
                <w:rFonts w:ascii="Aptos" w:hAnsi="Aptos"/>
                <w:sz w:val="15"/>
              </w:rPr>
              <w:t>src/credit_risk_model/validation/</w:t>
            </w:r>
          </w:p>
        </w:tc>
        <w:tc>
          <w:tcPr>
            <w:tcW w:type="dxa" w:w="6840"/>
          </w:tcPr>
          <w:p>
            <w:pPr>
              <w:spacing w:after="20"/>
            </w:pPr>
            <w:r>
              <w:rPr>
                <w:rFonts w:ascii="Aptos" w:hAnsi="Aptos"/>
                <w:sz w:val="15"/>
              </w:rPr>
              <w:t>Discrimination, calibration, stability, OOT, vintage, challenger comparison and validation suite.</w:t>
            </w:r>
          </w:p>
        </w:tc>
      </w:tr>
      <w:tr>
        <w:tc>
          <w:tcPr>
            <w:tcW w:type="dxa" w:w="3384"/>
            <w:shd w:fill="F6F8FA"/>
          </w:tcPr>
          <w:p>
            <w:pPr>
              <w:spacing w:after="20"/>
            </w:pPr>
            <w:r>
              <w:rPr>
                <w:rFonts w:ascii="Aptos" w:hAnsi="Aptos"/>
                <w:sz w:val="15"/>
              </w:rPr>
              <w:t>src/credit_risk_model/monitoring/</w:t>
            </w:r>
          </w:p>
        </w:tc>
        <w:tc>
          <w:tcPr>
            <w:tcW w:type="dxa" w:w="6840"/>
            <w:shd w:fill="F6F8FA"/>
          </w:tcPr>
          <w:p>
            <w:pPr>
              <w:spacing w:after="20"/>
            </w:pPr>
            <w:r>
              <w:rPr>
                <w:rFonts w:ascii="Aptos" w:hAnsi="Aptos"/>
                <w:sz w:val="15"/>
              </w:rPr>
              <w:t>Drift thresholds, alert construction and monitoring summaries/reports.</w:t>
            </w:r>
          </w:p>
        </w:tc>
      </w:tr>
      <w:tr>
        <w:tc>
          <w:tcPr>
            <w:tcW w:type="dxa" w:w="3384"/>
          </w:tcPr>
          <w:p>
            <w:pPr>
              <w:spacing w:after="20"/>
            </w:pPr>
            <w:r>
              <w:rPr>
                <w:rFonts w:ascii="Aptos" w:hAnsi="Aptos"/>
                <w:sz w:val="15"/>
              </w:rPr>
              <w:t>src/credit_risk_model/governance/</w:t>
            </w:r>
          </w:p>
        </w:tc>
        <w:tc>
          <w:tcPr>
            <w:tcW w:type="dxa" w:w="6840"/>
          </w:tcPr>
          <w:p>
            <w:pPr>
              <w:spacing w:after="20"/>
            </w:pPr>
            <w:r>
              <w:rPr>
                <w:rFonts w:ascii="Aptos" w:hAnsi="Aptos"/>
                <w:sz w:val="15"/>
              </w:rPr>
              <w:t>Inventory schema, PMA register, audit store, report builder and PDF support.</w:t>
            </w:r>
          </w:p>
        </w:tc>
      </w:tr>
      <w:tr>
        <w:tc>
          <w:tcPr>
            <w:tcW w:type="dxa" w:w="3384"/>
            <w:shd w:fill="F6F8FA"/>
          </w:tcPr>
          <w:p>
            <w:pPr>
              <w:spacing w:after="20"/>
            </w:pPr>
            <w:r>
              <w:rPr>
                <w:rFonts w:ascii="Aptos" w:hAnsi="Aptos"/>
                <w:sz w:val="15"/>
              </w:rPr>
              <w:t>src/credit_risk_model/explainability/</w:t>
            </w:r>
          </w:p>
        </w:tc>
        <w:tc>
          <w:tcPr>
            <w:tcW w:type="dxa" w:w="6840"/>
            <w:shd w:fill="F6F8FA"/>
          </w:tcPr>
          <w:p>
            <w:pPr>
              <w:spacing w:after="20"/>
            </w:pPr>
            <w:r>
              <w:rPr>
                <w:rFonts w:ascii="Aptos" w:hAnsi="Aptos"/>
                <w:sz w:val="15"/>
              </w:rPr>
              <w:t>Optional SHAP helpers; explanations are not automatically lending reason codes.</w:t>
            </w:r>
          </w:p>
        </w:tc>
      </w:tr>
      <w:tr>
        <w:tc>
          <w:tcPr>
            <w:tcW w:type="dxa" w:w="3384"/>
          </w:tcPr>
          <w:p>
            <w:pPr>
              <w:spacing w:after="20"/>
            </w:pPr>
            <w:r>
              <w:rPr>
                <w:rFonts w:ascii="Aptos" w:hAnsi="Aptos"/>
                <w:sz w:val="15"/>
              </w:rPr>
              <w:t>api/</w:t>
            </w:r>
          </w:p>
        </w:tc>
        <w:tc>
          <w:tcPr>
            <w:tcW w:type="dxa" w:w="6840"/>
          </w:tcPr>
          <w:p>
            <w:pPr>
              <w:spacing w:after="20"/>
            </w:pPr>
            <w:r>
              <w:rPr>
                <w:rFonts w:ascii="Aptos" w:hAnsi="Aptos"/>
                <w:sz w:val="15"/>
              </w:rPr>
              <w:t>FastAPI app, schemas, security helpers, model loader, middleware and audit router.</w:t>
            </w:r>
          </w:p>
        </w:tc>
      </w:tr>
      <w:tr>
        <w:tc>
          <w:tcPr>
            <w:tcW w:type="dxa" w:w="3384"/>
            <w:shd w:fill="F6F8FA"/>
          </w:tcPr>
          <w:p>
            <w:pPr>
              <w:spacing w:after="20"/>
            </w:pPr>
            <w:r>
              <w:rPr>
                <w:rFonts w:ascii="Aptos" w:hAnsi="Aptos"/>
                <w:sz w:val="15"/>
              </w:rPr>
              <w:t>pipelines/</w:t>
            </w:r>
          </w:p>
        </w:tc>
        <w:tc>
          <w:tcPr>
            <w:tcW w:type="dxa" w:w="6840"/>
            <w:shd w:fill="F6F8FA"/>
          </w:tcPr>
          <w:p>
            <w:pPr>
              <w:spacing w:after="20"/>
            </w:pPr>
            <w:r>
              <w:rPr>
                <w:rFonts w:ascii="Aptos" w:hAnsi="Aptos"/>
                <w:sz w:val="15"/>
              </w:rPr>
              <w:t>train.py, validate.py and monitor.py.</w:t>
            </w:r>
          </w:p>
        </w:tc>
      </w:tr>
      <w:tr>
        <w:tc>
          <w:tcPr>
            <w:tcW w:type="dxa" w:w="3384"/>
          </w:tcPr>
          <w:p>
            <w:pPr>
              <w:spacing w:after="20"/>
            </w:pPr>
            <w:r>
              <w:rPr>
                <w:rFonts w:ascii="Aptos" w:hAnsi="Aptos"/>
                <w:sz w:val="15"/>
              </w:rPr>
              <w:t>governance/</w:t>
            </w:r>
          </w:p>
        </w:tc>
        <w:tc>
          <w:tcPr>
            <w:tcW w:type="dxa" w:w="6840"/>
          </w:tcPr>
          <w:p>
            <w:pPr>
              <w:spacing w:after="20"/>
            </w:pPr>
            <w:r>
              <w:rPr>
                <w:rFonts w:ascii="Aptos" w:hAnsi="Aptos"/>
                <w:sz w:val="15"/>
              </w:rPr>
              <w:t>model_inventory.yaml, pma_log.csv and runtime audit-trail folders.</w:t>
            </w:r>
          </w:p>
        </w:tc>
      </w:tr>
      <w:tr>
        <w:tc>
          <w:tcPr>
            <w:tcW w:type="dxa" w:w="3384"/>
            <w:shd w:fill="F6F8FA"/>
          </w:tcPr>
          <w:p>
            <w:pPr>
              <w:spacing w:after="20"/>
            </w:pPr>
            <w:r>
              <w:rPr>
                <w:rFonts w:ascii="Aptos" w:hAnsi="Aptos"/>
                <w:sz w:val="15"/>
              </w:rPr>
              <w:t>reports/templates/</w:t>
            </w:r>
          </w:p>
        </w:tc>
        <w:tc>
          <w:tcPr>
            <w:tcW w:type="dxa" w:w="6840"/>
            <w:shd w:fill="F6F8FA"/>
          </w:tcPr>
          <w:p>
            <w:pPr>
              <w:spacing w:after="20"/>
            </w:pPr>
            <w:r>
              <w:rPr>
                <w:rFonts w:ascii="Aptos" w:hAnsi="Aptos"/>
                <w:sz w:val="15"/>
              </w:rPr>
              <w:t>Jinja2 validation-report template; generated reports are runtime outputs.</w:t>
            </w:r>
          </w:p>
        </w:tc>
      </w:tr>
      <w:tr>
        <w:tc>
          <w:tcPr>
            <w:tcW w:type="dxa" w:w="3384"/>
          </w:tcPr>
          <w:p>
            <w:pPr>
              <w:spacing w:after="20"/>
            </w:pPr>
            <w:r>
              <w:rPr>
                <w:rFonts w:ascii="Aptos" w:hAnsi="Aptos"/>
                <w:sz w:val="15"/>
              </w:rPr>
              <w:t>docs/</w:t>
            </w:r>
          </w:p>
        </w:tc>
        <w:tc>
          <w:tcPr>
            <w:tcW w:type="dxa" w:w="6840"/>
          </w:tcPr>
          <w:p>
            <w:pPr>
              <w:spacing w:after="20"/>
            </w:pPr>
            <w:r>
              <w:rPr>
                <w:rFonts w:ascii="Aptos" w:hAnsi="Aptos"/>
                <w:sz w:val="15"/>
              </w:rPr>
              <w:t>Governance, audit, monitoring, CI/CD and data documentation.</w:t>
            </w:r>
          </w:p>
        </w:tc>
      </w:tr>
      <w:tr>
        <w:tc>
          <w:tcPr>
            <w:tcW w:type="dxa" w:w="3384"/>
            <w:shd w:fill="F6F8FA"/>
          </w:tcPr>
          <w:p>
            <w:pPr>
              <w:spacing w:after="20"/>
            </w:pPr>
            <w:r>
              <w:rPr>
                <w:rFonts w:ascii="Aptos" w:hAnsi="Aptos"/>
                <w:sz w:val="15"/>
              </w:rPr>
              <w:t>scripts/</w:t>
            </w:r>
          </w:p>
        </w:tc>
        <w:tc>
          <w:tcPr>
            <w:tcW w:type="dxa" w:w="6840"/>
            <w:shd w:fill="F6F8FA"/>
          </w:tcPr>
          <w:p>
            <w:pPr>
              <w:spacing w:after="20"/>
            </w:pPr>
            <w:r>
              <w:rPr>
                <w:rFonts w:ascii="Aptos" w:hAnsi="Aptos"/>
                <w:sz w:val="15"/>
              </w:rPr>
              <w:t>Synthetic CSV generation and API smoke tests.</w:t>
            </w:r>
          </w:p>
        </w:tc>
      </w:tr>
      <w:tr>
        <w:tc>
          <w:tcPr>
            <w:tcW w:type="dxa" w:w="3384"/>
          </w:tcPr>
          <w:p>
            <w:pPr>
              <w:spacing w:after="20"/>
            </w:pPr>
            <w:r>
              <w:rPr>
                <w:rFonts w:ascii="Aptos" w:hAnsi="Aptos"/>
                <w:sz w:val="15"/>
              </w:rPr>
              <w:t>notebooks/Final.ipynb</w:t>
            </w:r>
          </w:p>
        </w:tc>
        <w:tc>
          <w:tcPr>
            <w:tcW w:type="dxa" w:w="6840"/>
          </w:tcPr>
          <w:p>
            <w:pPr>
              <w:spacing w:after="20"/>
            </w:pPr>
            <w:r>
              <w:rPr>
                <w:rFonts w:ascii="Aptos" w:hAnsi="Aptos"/>
                <w:sz w:val="15"/>
              </w:rPr>
              <w:t>Original exploratory notebook, retained for reference; its methodology is explicitly discouraged.</w:t>
            </w:r>
          </w:p>
        </w:tc>
      </w:tr>
      <w:tr>
        <w:tc>
          <w:tcPr>
            <w:tcW w:type="dxa" w:w="3384"/>
            <w:shd w:fill="F6F8FA"/>
          </w:tcPr>
          <w:p>
            <w:pPr>
              <w:spacing w:after="20"/>
            </w:pPr>
            <w:r>
              <w:rPr>
                <w:rFonts w:ascii="Aptos" w:hAnsi="Aptos"/>
                <w:sz w:val="15"/>
              </w:rPr>
              <w:t>notebooks/README.md</w:t>
            </w:r>
          </w:p>
        </w:tc>
        <w:tc>
          <w:tcPr>
            <w:tcW w:type="dxa" w:w="6840"/>
            <w:shd w:fill="F6F8FA"/>
          </w:tcPr>
          <w:p>
            <w:pPr>
              <w:spacing w:after="20"/>
            </w:pPr>
            <w:r>
              <w:rPr>
                <w:rFonts w:ascii="Aptos" w:hAnsi="Aptos"/>
                <w:sz w:val="15"/>
              </w:rPr>
              <w:t>Lists notebook defects and package mitigations.</w:t>
            </w:r>
          </w:p>
        </w:tc>
      </w:tr>
      <w:tr>
        <w:tc>
          <w:tcPr>
            <w:tcW w:type="dxa" w:w="3384"/>
          </w:tcPr>
          <w:p>
            <w:pPr>
              <w:spacing w:after="20"/>
            </w:pPr>
            <w:r>
              <w:rPr>
                <w:rFonts w:ascii="Aptos" w:hAnsi="Aptos"/>
                <w:sz w:val="15"/>
              </w:rPr>
              <w:t>tests/</w:t>
            </w:r>
          </w:p>
        </w:tc>
        <w:tc>
          <w:tcPr>
            <w:tcW w:type="dxa" w:w="6840"/>
          </w:tcPr>
          <w:p>
            <w:pPr>
              <w:spacing w:after="20"/>
            </w:pPr>
            <w:r>
              <w:rPr>
                <w:rFonts w:ascii="Aptos" w:hAnsi="Aptos"/>
                <w:sz w:val="15"/>
              </w:rPr>
              <w:t>Unit, API contract, governance, audit and end-to-end tests.</w:t>
            </w:r>
          </w:p>
        </w:tc>
      </w:tr>
      <w:tr>
        <w:tc>
          <w:tcPr>
            <w:tcW w:type="dxa" w:w="3384"/>
            <w:shd w:fill="F6F8FA"/>
          </w:tcPr>
          <w:p>
            <w:pPr>
              <w:spacing w:after="20"/>
            </w:pPr>
            <w:r>
              <w:rPr>
                <w:rFonts w:ascii="Aptos" w:hAnsi="Aptos"/>
                <w:sz w:val="15"/>
              </w:rPr>
              <w:t>.github/workflows/</w:t>
            </w:r>
          </w:p>
        </w:tc>
        <w:tc>
          <w:tcPr>
            <w:tcW w:type="dxa" w:w="6840"/>
            <w:shd w:fill="F6F8FA"/>
          </w:tcPr>
          <w:p>
            <w:pPr>
              <w:spacing w:after="20"/>
            </w:pPr>
            <w:r>
              <w:rPr>
                <w:rFonts w:ascii="Aptos" w:hAnsi="Aptos"/>
                <w:sz w:val="15"/>
              </w:rPr>
              <w:t>CI, CD, nightly monitoring; CODEOWNERS.</w:t>
            </w:r>
          </w:p>
        </w:tc>
      </w:tr>
      <w:tr>
        <w:tc>
          <w:tcPr>
            <w:tcW w:type="dxa" w:w="3384"/>
          </w:tcPr>
          <w:p>
            <w:pPr>
              <w:spacing w:after="20"/>
            </w:pPr>
            <w:r>
              <w:rPr>
                <w:rFonts w:ascii="Aptos" w:hAnsi="Aptos"/>
                <w:sz w:val="15"/>
              </w:rPr>
              <w:t>loan_data_2015.csv</w:t>
            </w:r>
          </w:p>
        </w:tc>
        <w:tc>
          <w:tcPr>
            <w:tcW w:type="dxa" w:w="6840"/>
          </w:tcPr>
          <w:p>
            <w:pPr>
              <w:spacing w:after="20"/>
            </w:pPr>
            <w:r>
              <w:rPr>
                <w:rFonts w:ascii="Aptos" w:hAnsi="Aptos"/>
                <w:sz w:val="15"/>
              </w:rPr>
              <w:t>LendingClub 2015 dataset managed with Git LFS (~175 MB).</w:t>
            </w:r>
          </w:p>
        </w:tc>
      </w:tr>
      <w:tr>
        <w:tc>
          <w:tcPr>
            <w:tcW w:type="dxa" w:w="3384"/>
            <w:shd w:fill="F6F8FA"/>
          </w:tcPr>
          <w:p>
            <w:pPr>
              <w:spacing w:after="20"/>
            </w:pPr>
            <w:r>
              <w:rPr>
                <w:rFonts w:ascii="Aptos" w:hAnsi="Aptos"/>
                <w:sz w:val="15"/>
              </w:rPr>
              <w:t>Dockerfile / docker-compose.yml</w:t>
            </w:r>
          </w:p>
        </w:tc>
        <w:tc>
          <w:tcPr>
            <w:tcW w:type="dxa" w:w="6840"/>
            <w:shd w:fill="F6F8FA"/>
          </w:tcPr>
          <w:p>
            <w:pPr>
              <w:spacing w:after="20"/>
            </w:pPr>
            <w:r>
              <w:rPr>
                <w:rFonts w:ascii="Aptos" w:hAnsi="Aptos"/>
                <w:sz w:val="15"/>
              </w:rPr>
              <w:t>Container image and local composition.</w:t>
            </w:r>
          </w:p>
        </w:tc>
      </w:tr>
      <w:tr>
        <w:tc>
          <w:tcPr>
            <w:tcW w:type="dxa" w:w="3384"/>
          </w:tcPr>
          <w:p>
            <w:pPr>
              <w:spacing w:after="20"/>
            </w:pPr>
            <w:r>
              <w:rPr>
                <w:rFonts w:ascii="Aptos" w:hAnsi="Aptos"/>
                <w:sz w:val="15"/>
              </w:rPr>
              <w:t>setup_and_run.bat / .env.example</w:t>
            </w:r>
          </w:p>
        </w:tc>
        <w:tc>
          <w:tcPr>
            <w:tcW w:type="dxa" w:w="6840"/>
          </w:tcPr>
          <w:p>
            <w:pPr>
              <w:spacing w:after="20"/>
            </w:pPr>
            <w:r>
              <w:rPr>
                <w:rFonts w:ascii="Aptos" w:hAnsi="Aptos"/>
                <w:sz w:val="15"/>
              </w:rPr>
              <w:t>Windows launcher and example settings.</w:t>
            </w:r>
          </w:p>
        </w:tc>
      </w:tr>
      <w:tr>
        <w:tc>
          <w:tcPr>
            <w:tcW w:type="dxa" w:w="3384"/>
            <w:shd w:fill="F6F8FA"/>
          </w:tcPr>
          <w:p>
            <w:pPr>
              <w:spacing w:after="20"/>
            </w:pPr>
            <w:r>
              <w:rPr>
                <w:rFonts w:ascii="Aptos" w:hAnsi="Aptos"/>
                <w:sz w:val="15"/>
              </w:rPr>
              <w:t>pyproject.toml / requirements.txt</w:t>
            </w:r>
          </w:p>
        </w:tc>
        <w:tc>
          <w:tcPr>
            <w:tcW w:type="dxa" w:w="6840"/>
            <w:shd w:fill="F6F8FA"/>
          </w:tcPr>
          <w:p>
            <w:pPr>
              <w:spacing w:after="20"/>
            </w:pPr>
            <w:r>
              <w:rPr>
                <w:rFonts w:ascii="Aptos" w:hAnsi="Aptos"/>
                <w:sz w:val="15"/>
              </w:rPr>
              <w:t>Package metadata and dependencies.</w:t>
            </w:r>
          </w:p>
        </w:tc>
      </w:tr>
    </w:tbl>
    <w:p/>
    <w:p>
      <w:r>
        <w:t>Generated artefacts, reports, runtime data and audit JSONL are generally git-ignored; they are not expected to be committed as source files.</w:t>
      </w:r>
    </w:p>
    <w:p>
      <w:pPr>
        <w:pStyle w:val="Heading1"/>
      </w:pPr>
      <w:r>
        <w:t>4. Data, target definition and leakage</w:t>
      </w:r>
    </w:p>
    <w:p>
      <w:pPr>
        <w:pStyle w:val="Heading2"/>
      </w:pPr>
      <w:r>
        <w:t>4.1 Synthetic dataset</w:t>
      </w:r>
    </w:p>
    <w:p>
      <w:r>
        <w:t>The canonical generator in src/credit_risk_model/data/synthetic.py creates applications with application_date, loan_amnt, int_rate, annual_inc, dti, emp_length, home_ownership and binary target. The documented target rate is about 5%. A drift option changes selected feature distributions. Synthetic data exercises the software; it is not evidence of real portfolio performance.</w:t>
      </w:r>
    </w:p>
    <w:p>
      <w:pPr>
        <w:pStyle w:val="Heading2"/>
      </w:pPr>
      <w:r>
        <w:t>4.2 LendingClub adapter</w:t>
      </w:r>
    </w:p>
    <w:tbl>
      <w:tblPr>
        <w:tblStyle w:val="TableGrid"/>
        <w:tblW w:type="auto" w:w="0"/>
        <w:tblLook w:firstColumn="1" w:firstRow="1" w:lastColumn="0" w:lastRow="0" w:noHBand="0" w:noVBand="1" w:val="04A0"/>
      </w:tblPr>
      <w:tblGrid>
        <w:gridCol w:w="5083"/>
        <w:gridCol w:w="5083"/>
      </w:tblGrid>
      <w:tr>
        <w:tc>
          <w:tcPr>
            <w:tcW w:type="dxa" w:w="2016"/>
            <w:shd w:fill="CFE2F3"/>
          </w:tcPr>
          <w:p>
            <w:r>
              <w:rPr>
                <w:b/>
                <w:sz w:val="16"/>
              </w:rPr>
              <w:t>Item</w:t>
            </w:r>
          </w:p>
        </w:tc>
        <w:tc>
          <w:tcPr>
            <w:tcW w:type="dxa" w:w="8208"/>
            <w:shd w:fill="CFE2F3"/>
          </w:tcPr>
          <w:p>
            <w:r>
              <w:rPr>
                <w:b/>
                <w:sz w:val="16"/>
              </w:rPr>
              <w:t>Documented behaviour</w:t>
            </w:r>
          </w:p>
        </w:tc>
      </w:tr>
      <w:tr>
        <w:tc>
          <w:tcPr>
            <w:tcW w:type="dxa" w:w="2016"/>
          </w:tcPr>
          <w:p>
            <w:pPr>
              <w:spacing w:after="20"/>
            </w:pPr>
            <w:r>
              <w:rPr>
                <w:rFonts w:ascii="Aptos" w:hAnsi="Aptos"/>
                <w:sz w:val="16"/>
              </w:rPr>
              <w:t>Target</w:t>
            </w:r>
          </w:p>
        </w:tc>
        <w:tc>
          <w:tcPr>
            <w:tcW w:type="dxa" w:w="8208"/>
          </w:tcPr>
          <w:p>
            <w:pPr>
              <w:spacing w:after="20"/>
            </w:pPr>
            <w:r>
              <w:rPr>
                <w:rFonts w:ascii="Aptos" w:hAnsi="Aptos"/>
                <w:sz w:val="16"/>
              </w:rPr>
              <w:t>Bad = Charged Off / Default; good = Fully Paid; other statuses excluded and counted.</w:t>
            </w:r>
          </w:p>
        </w:tc>
      </w:tr>
      <w:tr>
        <w:tc>
          <w:tcPr>
            <w:tcW w:type="dxa" w:w="2016"/>
            <w:shd w:fill="F6F8FA"/>
          </w:tcPr>
          <w:p>
            <w:pPr>
              <w:spacing w:after="20"/>
            </w:pPr>
            <w:r>
              <w:rPr>
                <w:rFonts w:ascii="Aptos" w:hAnsi="Aptos"/>
                <w:sz w:val="16"/>
              </w:rPr>
              <w:t>Date</w:t>
            </w:r>
          </w:p>
        </w:tc>
        <w:tc>
          <w:tcPr>
            <w:tcW w:type="dxa" w:w="8208"/>
            <w:shd w:fill="F6F8FA"/>
          </w:tcPr>
          <w:p>
            <w:pPr>
              <w:spacing w:after="20"/>
            </w:pPr>
            <w:r>
              <w:rPr>
                <w:rFonts w:ascii="Aptos" w:hAnsi="Aptos"/>
                <w:sz w:val="16"/>
              </w:rPr>
              <w:t>issue_d, such as Sep-15, is converted to application_date.</w:t>
            </w:r>
          </w:p>
        </w:tc>
      </w:tr>
      <w:tr>
        <w:tc>
          <w:tcPr>
            <w:tcW w:type="dxa" w:w="2016"/>
          </w:tcPr>
          <w:p>
            <w:pPr>
              <w:spacing w:after="20"/>
            </w:pPr>
            <w:r>
              <w:rPr>
                <w:rFonts w:ascii="Aptos" w:hAnsi="Aptos"/>
                <w:sz w:val="16"/>
              </w:rPr>
              <w:t>Feature safety</w:t>
            </w:r>
          </w:p>
        </w:tc>
        <w:tc>
          <w:tcPr>
            <w:tcW w:type="dxa" w:w="8208"/>
          </w:tcPr>
          <w:p>
            <w:pPr>
              <w:spacing w:after="20"/>
            </w:pPr>
            <w:r>
              <w:rPr>
                <w:rFonts w:ascii="Aptos" w:hAnsi="Aptos"/>
                <w:sz w:val="16"/>
              </w:rPr>
              <w:t>Origination-time allow-list checked against a deny-list of post-origination fields and identifiers.</w:t>
            </w:r>
          </w:p>
        </w:tc>
      </w:tr>
      <w:tr>
        <w:tc>
          <w:tcPr>
            <w:tcW w:type="dxa" w:w="2016"/>
            <w:shd w:fill="F6F8FA"/>
          </w:tcPr>
          <w:p>
            <w:pPr>
              <w:spacing w:after="20"/>
            </w:pPr>
            <w:r>
              <w:rPr>
                <w:rFonts w:ascii="Aptos" w:hAnsi="Aptos"/>
                <w:sz w:val="16"/>
              </w:rPr>
              <w:t>Leakage examples</w:t>
            </w:r>
          </w:p>
        </w:tc>
        <w:tc>
          <w:tcPr>
            <w:tcW w:type="dxa" w:w="8208"/>
            <w:shd w:fill="F6F8FA"/>
          </w:tcPr>
          <w:p>
            <w:pPr>
              <w:spacing w:after="20"/>
            </w:pPr>
            <w:r>
              <w:rPr>
                <w:rFonts w:ascii="Aptos" w:hAnsi="Aptos"/>
                <w:sz w:val="16"/>
              </w:rPr>
              <w:t>total_pymnt, recoveries, last_pymnt_amnt and out_prncp must not be predictors.</w:t>
            </w:r>
          </w:p>
        </w:tc>
      </w:tr>
      <w:tr>
        <w:tc>
          <w:tcPr>
            <w:tcW w:type="dxa" w:w="2016"/>
          </w:tcPr>
          <w:p>
            <w:pPr>
              <w:spacing w:after="20"/>
            </w:pPr>
            <w:r>
              <w:rPr>
                <w:rFonts w:ascii="Aptos" w:hAnsi="Aptos"/>
                <w:sz w:val="16"/>
              </w:rPr>
              <w:t>Data caveat</w:t>
            </w:r>
          </w:p>
        </w:tc>
        <w:tc>
          <w:tcPr>
            <w:tcW w:type="dxa" w:w="8208"/>
          </w:tcPr>
          <w:p>
            <w:pPr>
              <w:spacing w:after="20"/>
            </w:pPr>
            <w:r>
              <w:rPr>
                <w:rFonts w:ascii="Aptos" w:hAnsi="Aptos"/>
                <w:sz w:val="16"/>
              </w:rPr>
              <w:t>Resolved-only 2015 loans are a biased subset; data dictionary, licensing and lineage review are not complete.</w:t>
            </w:r>
          </w:p>
        </w:tc>
      </w:tr>
    </w:tbl>
    <w:p/>
    <w:p>
      <w:r>
        <w:t>The README/docs report an illustrative run on 26,144 resolved loans, 3,160 bad outcomes (12.1%), held-out AUROC around 0.73, calibration ratio around 1.02 and OOT AUROC around 0.68. These values are repository-reported, not independently reproduced here. Documentation notes that only around 6% of loans in the snapshot have final outcomes, creating selection and vintage-maturity bias; results must not be generalised to the full 2015 book.</w:t>
      </w:r>
    </w:p>
    <w:p>
      <w:pPr>
        <w:pStyle w:val="Heading2"/>
      </w:pPr>
      <w:r>
        <w:t>4.3 Original notebook defects</w:t>
      </w:r>
    </w:p>
    <w:tbl>
      <w:tblPr>
        <w:tblStyle w:val="TableGrid"/>
        <w:tblW w:type="auto" w:w="0"/>
        <w:tblLook w:firstColumn="1" w:firstRow="1" w:lastColumn="0" w:lastRow="0" w:noHBand="0" w:noVBand="1" w:val="04A0"/>
      </w:tblPr>
      <w:tblGrid>
        <w:gridCol w:w="3389"/>
        <w:gridCol w:w="3389"/>
        <w:gridCol w:w="3389"/>
      </w:tblGrid>
      <w:tr>
        <w:tc>
          <w:tcPr>
            <w:tcW w:type="dxa" w:w="2592"/>
            <w:shd w:fill="CFE2F3"/>
          </w:tcPr>
          <w:p>
            <w:r>
              <w:rPr>
                <w:b/>
                <w:sz w:val="14"/>
              </w:rPr>
              <w:t>Defect</w:t>
            </w:r>
          </w:p>
        </w:tc>
        <w:tc>
          <w:tcPr>
            <w:tcW w:type="dxa" w:w="3672"/>
            <w:shd w:fill="CFE2F3"/>
          </w:tcPr>
          <w:p>
            <w:r>
              <w:rPr>
                <w:b/>
                <w:sz w:val="14"/>
              </w:rPr>
              <w:t>Risk</w:t>
            </w:r>
          </w:p>
        </w:tc>
        <w:tc>
          <w:tcPr>
            <w:tcW w:type="dxa" w:w="3960"/>
            <w:shd w:fill="CFE2F3"/>
          </w:tcPr>
          <w:p>
            <w:r>
              <w:rPr>
                <w:b/>
                <w:sz w:val="14"/>
              </w:rPr>
              <w:t>Package mitigation</w:t>
            </w:r>
          </w:p>
        </w:tc>
      </w:tr>
      <w:tr>
        <w:tc>
          <w:tcPr>
            <w:tcW w:type="dxa" w:w="2592"/>
          </w:tcPr>
          <w:p>
            <w:pPr>
              <w:spacing w:after="20"/>
            </w:pPr>
            <w:r>
              <w:rPr>
                <w:rFonts w:ascii="Aptos" w:hAnsi="Aptos"/>
                <w:sz w:val="14"/>
              </w:rPr>
              <w:t>Imputation, dummies and scaling fitted before split</w:t>
            </w:r>
          </w:p>
        </w:tc>
        <w:tc>
          <w:tcPr>
            <w:tcW w:type="dxa" w:w="3672"/>
          </w:tcPr>
          <w:p>
            <w:pPr>
              <w:spacing w:after="20"/>
            </w:pPr>
            <w:r>
              <w:rPr>
                <w:rFonts w:ascii="Aptos" w:hAnsi="Aptos"/>
                <w:sz w:val="14"/>
              </w:rPr>
              <w:t>Test data influences transformations; optimistic results.</w:t>
            </w:r>
          </w:p>
        </w:tc>
        <w:tc>
          <w:tcPr>
            <w:tcW w:type="dxa" w:w="3960"/>
          </w:tcPr>
          <w:p>
            <w:pPr>
              <w:spacing w:after="20"/>
            </w:pPr>
            <w:r>
              <w:rPr>
                <w:rFonts w:ascii="Aptos" w:hAnsi="Aptos"/>
                <w:sz w:val="14"/>
              </w:rPr>
              <w:t>Preprocessing is inside a pipeline fitted on training data.</w:t>
            </w:r>
          </w:p>
        </w:tc>
      </w:tr>
      <w:tr>
        <w:tc>
          <w:tcPr>
            <w:tcW w:type="dxa" w:w="2592"/>
            <w:shd w:fill="F6F8FA"/>
          </w:tcPr>
          <w:p>
            <w:pPr>
              <w:spacing w:after="20"/>
            </w:pPr>
            <w:r>
              <w:rPr>
                <w:rFonts w:ascii="Aptos" w:hAnsi="Aptos"/>
                <w:sz w:val="14"/>
              </w:rPr>
              <w:t>CV performed after full-data scaling</w:t>
            </w:r>
          </w:p>
        </w:tc>
        <w:tc>
          <w:tcPr>
            <w:tcW w:type="dxa" w:w="3672"/>
            <w:shd w:fill="F6F8FA"/>
          </w:tcPr>
          <w:p>
            <w:pPr>
              <w:spacing w:after="20"/>
            </w:pPr>
            <w:r>
              <w:rPr>
                <w:rFonts w:ascii="Aptos" w:hAnsi="Aptos"/>
                <w:sz w:val="14"/>
              </w:rPr>
              <w:t>Validation folds are contaminated.</w:t>
            </w:r>
          </w:p>
        </w:tc>
        <w:tc>
          <w:tcPr>
            <w:tcW w:type="dxa" w:w="3960"/>
            <w:shd w:fill="F6F8FA"/>
          </w:tcPr>
          <w:p>
            <w:pPr>
              <w:spacing w:after="20"/>
            </w:pPr>
            <w:r>
              <w:rPr>
                <w:rFonts w:ascii="Aptos" w:hAnsi="Aptos"/>
                <w:sz w:val="14"/>
              </w:rPr>
              <w:t>Held-out test and OOT samples are used.</w:t>
            </w:r>
          </w:p>
        </w:tc>
      </w:tr>
      <w:tr>
        <w:tc>
          <w:tcPr>
            <w:tcW w:type="dxa" w:w="2592"/>
          </w:tcPr>
          <w:p>
            <w:pPr>
              <w:spacing w:after="20"/>
            </w:pPr>
            <w:r>
              <w:rPr>
                <w:rFonts w:ascii="Aptos" w:hAnsi="Aptos"/>
                <w:sz w:val="14"/>
              </w:rPr>
              <w:t>All statuses except Charged Off treated as good</w:t>
            </w:r>
          </w:p>
        </w:tc>
        <w:tc>
          <w:tcPr>
            <w:tcW w:type="dxa" w:w="3672"/>
          </w:tcPr>
          <w:p>
            <w:pPr>
              <w:spacing w:after="20"/>
            </w:pPr>
            <w:r>
              <w:rPr>
                <w:rFonts w:ascii="Aptos" w:hAnsi="Aptos"/>
                <w:sz w:val="14"/>
              </w:rPr>
              <w:t>Current/late/immature loans are mislabelled.</w:t>
            </w:r>
          </w:p>
        </w:tc>
        <w:tc>
          <w:tcPr>
            <w:tcW w:type="dxa" w:w="3960"/>
          </w:tcPr>
          <w:p>
            <w:pPr>
              <w:spacing w:after="20"/>
            </w:pPr>
            <w:r>
              <w:rPr>
                <w:rFonts w:ascii="Aptos" w:hAnsi="Aptos"/>
                <w:sz w:val="14"/>
              </w:rPr>
              <w:t>Explicit good/bad definition; other statuses excluded.</w:t>
            </w:r>
          </w:p>
        </w:tc>
      </w:tr>
      <w:tr>
        <w:tc>
          <w:tcPr>
            <w:tcW w:type="dxa" w:w="2592"/>
            <w:shd w:fill="F6F8FA"/>
          </w:tcPr>
          <w:p>
            <w:pPr>
              <w:spacing w:after="20"/>
            </w:pPr>
            <w:r>
              <w:rPr>
                <w:rFonts w:ascii="Aptos" w:hAnsi="Aptos"/>
                <w:sz w:val="14"/>
              </w:rPr>
              <w:t>Post-origination variables retained</w:t>
            </w:r>
          </w:p>
        </w:tc>
        <w:tc>
          <w:tcPr>
            <w:tcW w:type="dxa" w:w="3672"/>
            <w:shd w:fill="F6F8FA"/>
          </w:tcPr>
          <w:p>
            <w:pPr>
              <w:spacing w:after="20"/>
            </w:pPr>
            <w:r>
              <w:rPr>
                <w:rFonts w:ascii="Aptos" w:hAnsi="Aptos"/>
                <w:sz w:val="14"/>
              </w:rPr>
              <w:t>Outcome leakage inflates performance.</w:t>
            </w:r>
          </w:p>
        </w:tc>
        <w:tc>
          <w:tcPr>
            <w:tcW w:type="dxa" w:w="3960"/>
            <w:shd w:fill="F6F8FA"/>
          </w:tcPr>
          <w:p>
            <w:pPr>
              <w:spacing w:after="20"/>
            </w:pPr>
            <w:r>
              <w:rPr>
                <w:rFonts w:ascii="Aptos" w:hAnsi="Aptos"/>
                <w:sz w:val="14"/>
              </w:rPr>
              <w:t>Origination allow-list plus post-origination deny-list.</w:t>
            </w:r>
          </w:p>
        </w:tc>
      </w:tr>
      <w:tr>
        <w:tc>
          <w:tcPr>
            <w:tcW w:type="dxa" w:w="2592"/>
          </w:tcPr>
          <w:p>
            <w:pPr>
              <w:spacing w:after="20"/>
            </w:pPr>
            <w:r>
              <w:rPr>
                <w:rFonts w:ascii="Aptos" w:hAnsi="Aptos"/>
                <w:sz w:val="14"/>
              </w:rPr>
              <w:t>Score rises with default probability</w:t>
            </w:r>
          </w:p>
        </w:tc>
        <w:tc>
          <w:tcPr>
            <w:tcW w:type="dxa" w:w="3672"/>
          </w:tcPr>
          <w:p>
            <w:pPr>
              <w:spacing w:after="20"/>
            </w:pPr>
            <w:r>
              <w:rPr>
                <w:rFonts w:ascii="Aptos" w:hAnsi="Aptos"/>
                <w:sz w:val="14"/>
              </w:rPr>
              <w:t>Reversed score direction; scaled AUC is meaningless.</w:t>
            </w:r>
          </w:p>
        </w:tc>
        <w:tc>
          <w:tcPr>
            <w:tcW w:type="dxa" w:w="3960"/>
          </w:tcPr>
          <w:p>
            <w:pPr>
              <w:spacing w:after="20"/>
            </w:pPr>
            <w:r>
              <w:rPr>
                <w:rFonts w:ascii="Aptos" w:hAnsi="Aptos"/>
                <w:sz w:val="14"/>
              </w:rPr>
              <w:t>PDO score convention: higher PD means lower score.</w:t>
            </w:r>
          </w:p>
        </w:tc>
      </w:tr>
      <w:tr>
        <w:tc>
          <w:tcPr>
            <w:tcW w:type="dxa" w:w="2592"/>
            <w:shd w:fill="F6F8FA"/>
          </w:tcPr>
          <w:p>
            <w:pPr>
              <w:spacing w:after="20"/>
            </w:pPr>
            <w:r>
              <w:rPr>
                <w:rFonts w:ascii="Aptos" w:hAnsi="Aptos"/>
                <w:sz w:val="14"/>
              </w:rPr>
              <w:t>No stratification</w:t>
            </w:r>
          </w:p>
        </w:tc>
        <w:tc>
          <w:tcPr>
            <w:tcW w:type="dxa" w:w="3672"/>
            <w:shd w:fill="F6F8FA"/>
          </w:tcPr>
          <w:p>
            <w:pPr>
              <w:spacing w:after="20"/>
            </w:pPr>
            <w:r>
              <w:rPr>
                <w:rFonts w:ascii="Aptos" w:hAnsi="Aptos"/>
                <w:sz w:val="14"/>
              </w:rPr>
              <w:t>Default rate may vary across splits.</w:t>
            </w:r>
          </w:p>
        </w:tc>
        <w:tc>
          <w:tcPr>
            <w:tcW w:type="dxa" w:w="3960"/>
            <w:shd w:fill="F6F8FA"/>
          </w:tcPr>
          <w:p>
            <w:pPr>
              <w:spacing w:after="20"/>
            </w:pPr>
            <w:r>
              <w:rPr>
                <w:rFonts w:ascii="Aptos" w:hAnsi="Aptos"/>
                <w:sz w:val="14"/>
              </w:rPr>
              <w:t>Stratified train/test split.</w:t>
            </w:r>
          </w:p>
        </w:tc>
      </w:tr>
      <w:tr>
        <w:tc>
          <w:tcPr>
            <w:tcW w:type="dxa" w:w="2592"/>
          </w:tcPr>
          <w:p>
            <w:pPr>
              <w:spacing w:after="20"/>
            </w:pPr>
            <w:r>
              <w:rPr>
                <w:rFonts w:ascii="Aptos" w:hAnsi="Aptos"/>
                <w:sz w:val="14"/>
              </w:rPr>
              <w:t>Arbitrary 0.5 confusion-matrix threshold</w:t>
            </w:r>
          </w:p>
        </w:tc>
        <w:tc>
          <w:tcPr>
            <w:tcW w:type="dxa" w:w="3672"/>
          </w:tcPr>
          <w:p>
            <w:pPr>
              <w:spacing w:after="20"/>
            </w:pPr>
            <w:r>
              <w:rPr>
                <w:rFonts w:ascii="Aptos" w:hAnsi="Aptos"/>
                <w:sz w:val="14"/>
              </w:rPr>
              <w:t>Not a credit policy, especially at low default rates.</w:t>
            </w:r>
          </w:p>
        </w:tc>
        <w:tc>
          <w:tcPr>
            <w:tcW w:type="dxa" w:w="3960"/>
          </w:tcPr>
          <w:p>
            <w:pPr>
              <w:spacing w:after="20"/>
            </w:pPr>
            <w:r>
              <w:rPr>
                <w:rFonts w:ascii="Aptos" w:hAnsi="Aptos"/>
                <w:sz w:val="14"/>
              </w:rPr>
              <w:t>No approve/decline decision or threshold is defined.</w:t>
            </w:r>
          </w:p>
        </w:tc>
      </w:tr>
      <w:tr>
        <w:tc>
          <w:tcPr>
            <w:tcW w:type="dxa" w:w="2592"/>
            <w:shd w:fill="F6F8FA"/>
          </w:tcPr>
          <w:p>
            <w:pPr>
              <w:spacing w:after="20"/>
            </w:pPr>
            <w:r>
              <w:rPr>
                <w:rFonts w:ascii="Aptos" w:hAnsi="Aptos"/>
                <w:sz w:val="14"/>
              </w:rPr>
              <w:t>Predictions on training rows tied to IDs</w:t>
            </w:r>
          </w:p>
        </w:tc>
        <w:tc>
          <w:tcPr>
            <w:tcW w:type="dxa" w:w="3672"/>
            <w:shd w:fill="F6F8FA"/>
          </w:tcPr>
          <w:p>
            <w:pPr>
              <w:spacing w:after="20"/>
            </w:pPr>
            <w:r>
              <w:rPr>
                <w:rFonts w:ascii="Aptos" w:hAnsi="Aptos"/>
                <w:sz w:val="14"/>
              </w:rPr>
              <w:t>In-sample scores overstate performance and expose identifiers.</w:t>
            </w:r>
          </w:p>
        </w:tc>
        <w:tc>
          <w:tcPr>
            <w:tcW w:type="dxa" w:w="3960"/>
            <w:shd w:fill="F6F8FA"/>
          </w:tcPr>
          <w:p>
            <w:pPr>
              <w:spacing w:after="20"/>
            </w:pPr>
            <w:r>
              <w:rPr>
                <w:rFonts w:ascii="Aptos" w:hAnsi="Aptos"/>
                <w:sz w:val="14"/>
              </w:rPr>
              <w:t>Validate held-out/OOT rows; exclude identifiers.</w:t>
            </w:r>
          </w:p>
        </w:tc>
      </w:tr>
    </w:tbl>
    <w:p/>
    <w:p>
      <w:r>
        <w:t>The original notebook is preserved for provenance, but notebooks/README.md explicitly says not to reuse its method or results.</w:t>
      </w:r>
    </w:p>
    <w:p>
      <w:pPr>
        <w:pStyle w:val="Heading1"/>
      </w:pPr>
      <w:r>
        <w:t>5. Model development</w:t>
      </w:r>
    </w:p>
    <w:p>
      <w:pPr>
        <w:pStyle w:val="Heading2"/>
      </w:pPr>
      <w:r>
        <w:t>5.1 Champion model</w:t>
      </w:r>
    </w:p>
    <w:p>
      <w:r>
        <w:t>src/credit_risk_model/models/champion.py wraps a scikit-learn preprocessing pipeline and logistic regression. Numeric and categorical preprocessing is fitted on training data. class_weight=None is the default so PD estimates remain more interpretable; the CLI can set balanced weighting, but the project warns that this can distort probabilities and should be used only for ranking experiments.</w:t>
      </w:r>
    </w:p>
    <w:p>
      <w:pPr>
        <w:pStyle w:val="ListBullet"/>
        <w:spacing w:after="40"/>
      </w:pPr>
      <w:r>
        <w:t>Training metadata records seed, class weight, row count, training default rate, data fingerprint, feature list, library versions and split parameters.</w:t>
      </w:r>
    </w:p>
    <w:p>
      <w:pPr>
        <w:pStyle w:val="ListBullet"/>
        <w:spacing w:after="40"/>
      </w:pPr>
      <w:r>
        <w:t>joblib is used for artefacts. Treat these as trusted executable inputs and only load models you built or verified.</w:t>
      </w:r>
    </w:p>
    <w:p>
      <w:pPr>
        <w:pStyle w:val="ListBullet"/>
        <w:spacing w:after="40"/>
      </w:pPr>
      <w:r>
        <w:t>The feature contract is inferred from training features and applied at the inference boundary.</w:t>
      </w:r>
    </w:p>
    <w:p>
      <w:pPr>
        <w:pStyle w:val="Heading2"/>
      </w:pPr>
      <w:r>
        <w:t>5.2 Challenger</w:t>
      </w:r>
    </w:p>
    <w:p>
      <w:r>
        <w:t>src/credit_risk_model/models/challenger.py supports HistGradientBoosting (default), Random Forest, XGBoost and LightGBM. The latter two require the challengers optional extra. Missing optional packages trigger a clear error instead of silently substituting a different model. Compare models on the same held-out cohort and assess calibration, stability, explainability and operational complexity—not AUROC alone.</w:t>
      </w:r>
    </w:p>
    <w:p>
      <w:pPr>
        <w:pStyle w:val="Heading2"/>
      </w:pPr>
      <w:r>
        <w:t>5.3 Strict feature contract</w:t>
      </w:r>
    </w:p>
    <w:p>
      <w:r>
        <w:t>src/credit_risk_model/models/contract.py defines FeatureSpec and validators. Single-record scoring rejects missing required features, unexpected features by default, wrong types, non-finite numeric values, blank categories and empty payloads. Error messages identify feature names but do not echo submitted values. Batch frames can include target/date columns, which are removed after required features are checked.</w:t>
      </w:r>
    </w:p>
    <w:p>
      <w:r>
        <w:t>This protects against schema drift but does not replace domain checks such as valid ranges, category allow-lists, freshness, plausibility and cross-field rules.</w:t>
      </w:r>
    </w:p>
    <w:p>
      <w:pPr>
        <w:pStyle w:val="Heading2"/>
      </w:pPr>
      <w:r>
        <w:t>5.4 Score scaling, registry and explainability</w:t>
      </w:r>
    </w:p>
    <w:p>
      <w:r>
        <w:t>PDO score scaling converts PD to a score where higher PD means lower score. The score is not an approve/decline decision; the repository contains no approved credit policy or threshold. The optional MLflow adapter integrates with model registry aliases. SHAP helpers can explain model behaviour, but SHAP contributions are not automatically compliant customer-facing reason codes.</w:t>
      </w:r>
    </w:p>
    <w:p>
      <w:pPr>
        <w:pStyle w:val="Heading1"/>
      </w:pPr>
      <w:r>
        <w:t>6. Training pipeline</w:t>
      </w:r>
    </w:p>
    <w:p>
      <w:r>
        <w:t>pipelines/train.py loads data through the source registry, builds the shared train/test/OOT split, fits the champion and optionally a challenger, writes artefacts/metadata, and records a model_trained event in the change audit log. The inventory is consulted to associate a registered model version where available.</w:t>
      </w:r>
    </w:p>
    <w:p>
      <w:pPr>
        <w:spacing w:after="120"/>
        <w:ind w:left="216"/>
        <w:shd w:fill="F2F4F7"/>
      </w:pPr>
      <w:r>
        <w:rPr>
          <w:rFonts w:ascii="Consolas" w:hAnsi="Consolas"/>
          <w:sz w:val="15"/>
        </w:rPr>
        <w:t># Synthetic demo (default: 20,000 rows; seed 42)</w:t>
      </w:r>
      <w:r>
        <w:br/>
      </w:r>
      <w:r>
        <w:rPr>
          <w:rFonts w:ascii="Consolas" w:hAnsi="Consolas"/>
          <w:sz w:val="15"/>
        </w:rPr>
        <w:t>python pipelines/train.py</w:t>
      </w:r>
      <w:r>
        <w:br/>
      </w:r>
      <w:r>
        <w:rPr>
          <w:rFonts w:ascii="Consolas" w:hAnsi="Consolas"/>
          <w:sz w:val="15"/>
        </w:rPr>
      </w:r>
      <w:r>
        <w:br/>
      </w:r>
      <w:r>
        <w:rPr>
          <w:rFonts w:ascii="Consolas" w:hAnsi="Consolas"/>
          <w:sz w:val="15"/>
        </w:rPr>
        <w:t># LendingClub data (after Git LFS download)</w:t>
      </w:r>
      <w:r>
        <w:br/>
      </w:r>
      <w:r>
        <w:rPr>
          <w:rFonts w:ascii="Consolas" w:hAnsi="Consolas"/>
          <w:sz w:val="15"/>
        </w:rPr>
        <w:t>git lfs install</w:t>
      </w:r>
      <w:r>
        <w:br/>
      </w:r>
      <w:r>
        <w:rPr>
          <w:rFonts w:ascii="Consolas" w:hAnsi="Consolas"/>
          <w:sz w:val="15"/>
        </w:rPr>
        <w:t>git lfs pull</w:t>
      </w:r>
      <w:r>
        <w:br/>
      </w:r>
      <w:r>
        <w:rPr>
          <w:rFonts w:ascii="Consolas" w:hAnsi="Consolas"/>
          <w:sz w:val="15"/>
        </w:rPr>
        <w:t>python pipelines/train.py --data loan_data_2015.csv --adapter lending_club</w:t>
      </w:r>
      <w:r>
        <w:br/>
      </w:r>
      <w:r>
        <w:rPr>
          <w:rFonts w:ascii="Consolas" w:hAnsi="Consolas"/>
          <w:sz w:val="15"/>
        </w:rPr>
      </w:r>
      <w:r>
        <w:br/>
      </w:r>
      <w:r>
        <w:rPr>
          <w:rFonts w:ascii="Consolas" w:hAnsi="Consolas"/>
          <w:sz w:val="15"/>
        </w:rPr>
        <w:t># Alternative challenger</w:t>
      </w:r>
      <w:r>
        <w:br/>
      </w:r>
      <w:r>
        <w:rPr>
          <w:rFonts w:ascii="Consolas" w:hAnsi="Consolas"/>
          <w:sz w:val="15"/>
        </w:rPr>
        <w:t>python pipelines/train.py --challenger random_forest --class-weight none</w:t>
      </w:r>
    </w:p>
    <w:tbl>
      <w:tblPr>
        <w:tblStyle w:val="TableGrid"/>
        <w:tblW w:type="auto" w:w="0"/>
        <w:tblLook w:firstColumn="1" w:firstRow="1" w:lastColumn="0" w:lastRow="0" w:noHBand="0" w:noVBand="1" w:val="04A0"/>
      </w:tblPr>
      <w:tblGrid>
        <w:gridCol w:w="5083"/>
        <w:gridCol w:w="5083"/>
      </w:tblGrid>
      <w:tr>
        <w:tc>
          <w:tcPr>
            <w:tcW w:type="dxa" w:w="3600"/>
            <w:shd w:fill="CFE2F3"/>
          </w:tcPr>
          <w:p>
            <w:r>
              <w:rPr>
                <w:b/>
                <w:sz w:val="16"/>
              </w:rPr>
              <w:t>Output</w:t>
            </w:r>
          </w:p>
        </w:tc>
        <w:tc>
          <w:tcPr>
            <w:tcW w:type="dxa" w:w="6624"/>
            <w:shd w:fill="CFE2F3"/>
          </w:tcPr>
          <w:p>
            <w:r>
              <w:rPr>
                <w:b/>
                <w:sz w:val="16"/>
              </w:rPr>
              <w:t>Purpose</w:t>
            </w:r>
          </w:p>
        </w:tc>
      </w:tr>
      <w:tr>
        <w:tc>
          <w:tcPr>
            <w:tcW w:type="dxa" w:w="3600"/>
          </w:tcPr>
          <w:p>
            <w:pPr>
              <w:spacing w:after="20"/>
            </w:pPr>
            <w:r>
              <w:rPr>
                <w:rFonts w:ascii="Aptos" w:hAnsi="Aptos"/>
                <w:sz w:val="16"/>
              </w:rPr>
              <w:t>artifacts/champion.joblib</w:t>
            </w:r>
          </w:p>
        </w:tc>
        <w:tc>
          <w:tcPr>
            <w:tcW w:type="dxa" w:w="6624"/>
          </w:tcPr>
          <w:p>
            <w:pPr>
              <w:spacing w:after="20"/>
            </w:pPr>
            <w:r>
              <w:rPr>
                <w:rFonts w:ascii="Aptos" w:hAnsi="Aptos"/>
                <w:sz w:val="16"/>
              </w:rPr>
              <w:t>Fitted champion.</w:t>
            </w:r>
          </w:p>
        </w:tc>
      </w:tr>
      <w:tr>
        <w:tc>
          <w:tcPr>
            <w:tcW w:type="dxa" w:w="3600"/>
            <w:shd w:fill="F6F8FA"/>
          </w:tcPr>
          <w:p>
            <w:pPr>
              <w:spacing w:after="20"/>
            </w:pPr>
            <w:r>
              <w:rPr>
                <w:rFonts w:ascii="Aptos" w:hAnsi="Aptos"/>
                <w:sz w:val="16"/>
              </w:rPr>
              <w:t>artifacts/challenger.joblib</w:t>
            </w:r>
          </w:p>
        </w:tc>
        <w:tc>
          <w:tcPr>
            <w:tcW w:type="dxa" w:w="6624"/>
            <w:shd w:fill="F6F8FA"/>
          </w:tcPr>
          <w:p>
            <w:pPr>
              <w:spacing w:after="20"/>
            </w:pPr>
            <w:r>
              <w:rPr>
                <w:rFonts w:ascii="Aptos" w:hAnsi="Aptos"/>
                <w:sz w:val="16"/>
              </w:rPr>
              <w:t>Fitted challenger when enabled.</w:t>
            </w:r>
          </w:p>
        </w:tc>
      </w:tr>
      <w:tr>
        <w:tc>
          <w:tcPr>
            <w:tcW w:type="dxa" w:w="3600"/>
          </w:tcPr>
          <w:p>
            <w:pPr>
              <w:spacing w:after="20"/>
            </w:pPr>
            <w:r>
              <w:rPr>
                <w:rFonts w:ascii="Aptos" w:hAnsi="Aptos"/>
                <w:sz w:val="16"/>
              </w:rPr>
              <w:t>artifacts/feature_list.json</w:t>
            </w:r>
          </w:p>
        </w:tc>
        <w:tc>
          <w:tcPr>
            <w:tcW w:type="dxa" w:w="6624"/>
          </w:tcPr>
          <w:p>
            <w:pPr>
              <w:spacing w:after="20"/>
            </w:pPr>
            <w:r>
              <w:rPr>
                <w:rFonts w:ascii="Aptos" w:hAnsi="Aptos"/>
                <w:sz w:val="16"/>
              </w:rPr>
              <w:t>Feature list/contract metadata.</w:t>
            </w:r>
          </w:p>
        </w:tc>
      </w:tr>
      <w:tr>
        <w:tc>
          <w:tcPr>
            <w:tcW w:type="dxa" w:w="3600"/>
            <w:shd w:fill="F6F8FA"/>
          </w:tcPr>
          <w:p>
            <w:pPr>
              <w:spacing w:after="20"/>
            </w:pPr>
            <w:r>
              <w:rPr>
                <w:rFonts w:ascii="Aptos" w:hAnsi="Aptos"/>
                <w:sz w:val="16"/>
              </w:rPr>
              <w:t>artifacts/training_metadata.json</w:t>
            </w:r>
          </w:p>
        </w:tc>
        <w:tc>
          <w:tcPr>
            <w:tcW w:type="dxa" w:w="6624"/>
            <w:shd w:fill="F6F8FA"/>
          </w:tcPr>
          <w:p>
            <w:pPr>
              <w:spacing w:after="20"/>
            </w:pPr>
            <w:r>
              <w:rPr>
                <w:rFonts w:ascii="Aptos" w:hAnsi="Aptos"/>
                <w:sz w:val="16"/>
              </w:rPr>
              <w:t>Source, split, model and reproducibility metadata.</w:t>
            </w:r>
          </w:p>
        </w:tc>
      </w:tr>
      <w:tr>
        <w:tc>
          <w:tcPr>
            <w:tcW w:type="dxa" w:w="3600"/>
          </w:tcPr>
          <w:p>
            <w:pPr>
              <w:spacing w:after="20"/>
            </w:pPr>
            <w:r>
              <w:rPr>
                <w:rFonts w:ascii="Aptos" w:hAnsi="Aptos"/>
                <w:sz w:val="16"/>
              </w:rPr>
              <w:t>artifacts/training_metrics.json</w:t>
            </w:r>
          </w:p>
        </w:tc>
        <w:tc>
          <w:tcPr>
            <w:tcW w:type="dxa" w:w="6624"/>
          </w:tcPr>
          <w:p>
            <w:pPr>
              <w:spacing w:after="20"/>
            </w:pPr>
            <w:r>
              <w:rPr>
                <w:rFonts w:ascii="Aptos" w:hAnsi="Aptos"/>
                <w:sz w:val="16"/>
              </w:rPr>
              <w:t>Training and holdout summary metrics.</w:t>
            </w:r>
          </w:p>
        </w:tc>
      </w:tr>
    </w:tbl>
    <w:p/>
    <w:p>
      <w:r>
        <w:t>Paths can be configured. Inspect the generated metadata for the exact parameters and artefacts from a particular run.</w:t>
      </w:r>
    </w:p>
    <w:p>
      <w:pPr>
        <w:pStyle w:val="Heading1"/>
      </w:pPr>
      <w:r>
        <w:t>7. Validation suite</w:t>
      </w:r>
    </w:p>
    <w:p>
      <w:r>
        <w:t>pipelines/validate.py loads the champion and reconstructs the split. Without --data, a synthetic-trained model's source parameters are reused and the data fingerprint is checked. Only held-out test and OOT samples are scored. For external data, pass --data and the correct adapter; independence from training data is reported as unverified unless the fingerprint matches.</w:t>
      </w:r>
    </w:p>
    <w:p>
      <w:pPr>
        <w:spacing w:after="120"/>
        <w:ind w:left="216"/>
        <w:shd w:fill="F2F4F7"/>
      </w:pPr>
      <w:r>
        <w:rPr>
          <w:rFonts w:ascii="Consolas" w:hAnsi="Consolas"/>
          <w:sz w:val="15"/>
        </w:rPr>
        <w:t>python pipelines/validate.py</w:t>
      </w:r>
      <w:r>
        <w:br/>
      </w:r>
      <w:r>
        <w:rPr>
          <w:rFonts w:ascii="Consolas" w:hAnsi="Consolas"/>
          <w:sz w:val="15"/>
        </w:rPr>
        <w:t>python pipelines/validate.py --data loan_data_2015.csv --adapter lending_club</w:t>
      </w:r>
      <w:r>
        <w:br/>
      </w:r>
      <w:r>
        <w:rPr>
          <w:rFonts w:ascii="Consolas" w:hAnsi="Consolas"/>
          <w:sz w:val="15"/>
        </w:rPr>
        <w:t>python pipelines/validate.py --data loan_data_2015.csv --adapter lending_club \</w:t>
      </w:r>
      <w:r>
        <w:br/>
      </w:r>
      <w:r>
        <w:rPr>
          <w:rFonts w:ascii="Consolas" w:hAnsi="Consolas"/>
          <w:sz w:val="15"/>
        </w:rPr>
        <w:t xml:space="preserve">  --export-pdf reports/validation_report.pdf</w:t>
      </w:r>
    </w:p>
    <w:tbl>
      <w:tblPr>
        <w:tblStyle w:val="TableGrid"/>
        <w:tblW w:type="auto" w:w="0"/>
        <w:tblLook w:firstColumn="1" w:firstRow="1" w:lastColumn="0" w:lastRow="0" w:noHBand="0" w:noVBand="1" w:val="04A0"/>
      </w:tblPr>
      <w:tblGrid>
        <w:gridCol w:w="3389"/>
        <w:gridCol w:w="3389"/>
        <w:gridCol w:w="3389"/>
      </w:tblGrid>
      <w:tr>
        <w:tc>
          <w:tcPr>
            <w:tcW w:type="dxa" w:w="2016"/>
            <w:shd w:fill="CFE2F3"/>
          </w:tcPr>
          <w:p>
            <w:r>
              <w:rPr>
                <w:b/>
                <w:sz w:val="14"/>
              </w:rPr>
              <w:t>Area</w:t>
            </w:r>
          </w:p>
        </w:tc>
        <w:tc>
          <w:tcPr>
            <w:tcW w:type="dxa" w:w="4032"/>
            <w:shd w:fill="CFE2F3"/>
          </w:tcPr>
          <w:p>
            <w:r>
              <w:rPr>
                <w:b/>
                <w:sz w:val="14"/>
              </w:rPr>
              <w:t>What it does</w:t>
            </w:r>
          </w:p>
        </w:tc>
        <w:tc>
          <w:tcPr>
            <w:tcW w:type="dxa" w:w="4176"/>
            <w:shd w:fill="CFE2F3"/>
          </w:tcPr>
          <w:p>
            <w:r>
              <w:rPr>
                <w:b/>
                <w:sz w:val="14"/>
              </w:rPr>
              <w:t>Interpretation / limit</w:t>
            </w:r>
          </w:p>
        </w:tc>
      </w:tr>
      <w:tr>
        <w:tc>
          <w:tcPr>
            <w:tcW w:type="dxa" w:w="2016"/>
          </w:tcPr>
          <w:p>
            <w:pPr>
              <w:spacing w:after="20"/>
            </w:pPr>
            <w:r>
              <w:rPr>
                <w:rFonts w:ascii="Aptos" w:hAnsi="Aptos"/>
                <w:sz w:val="14"/>
              </w:rPr>
              <w:t>Data review</w:t>
            </w:r>
          </w:p>
        </w:tc>
        <w:tc>
          <w:tcPr>
            <w:tcW w:type="dxa" w:w="4032"/>
          </w:tcPr>
          <w:p>
            <w:pPr>
              <w:spacing w:after="20"/>
            </w:pPr>
            <w:r>
              <w:rPr>
                <w:rFonts w:ascii="Aptos" w:hAnsi="Aptos"/>
                <w:sz w:val="14"/>
              </w:rPr>
              <w:t>Rows, defaults/rates, missingness, distinct/constant values, duplicates by split.</w:t>
            </w:r>
          </w:p>
        </w:tc>
        <w:tc>
          <w:tcPr>
            <w:tcW w:type="dxa" w:w="4176"/>
          </w:tcPr>
          <w:p>
            <w:pPr>
              <w:spacing w:after="20"/>
            </w:pPr>
            <w:r>
              <w:rPr>
                <w:rFonts w:ascii="Aptos" w:hAnsi="Aptos"/>
                <w:sz w:val="14"/>
              </w:rPr>
              <w:t>Not full lineage or source-quality certification.</w:t>
            </w:r>
          </w:p>
        </w:tc>
      </w:tr>
      <w:tr>
        <w:tc>
          <w:tcPr>
            <w:tcW w:type="dxa" w:w="2016"/>
            <w:shd w:fill="F6F8FA"/>
          </w:tcPr>
          <w:p>
            <w:pPr>
              <w:spacing w:after="20"/>
            </w:pPr>
            <w:r>
              <w:rPr>
                <w:rFonts w:ascii="Aptos" w:hAnsi="Aptos"/>
                <w:sz w:val="14"/>
              </w:rPr>
              <w:t>Implementation</w:t>
            </w:r>
          </w:p>
        </w:tc>
        <w:tc>
          <w:tcPr>
            <w:tcW w:type="dxa" w:w="4032"/>
            <w:shd w:fill="F6F8FA"/>
          </w:tcPr>
          <w:p>
            <w:pPr>
              <w:spacing w:after="20"/>
            </w:pPr>
            <w:r>
              <w:rPr>
                <w:rFonts w:ascii="Aptos" w:hAnsi="Aptos"/>
                <w:sz w:val="14"/>
              </w:rPr>
              <w:t>Feature contract, PD bounds, determinism, score direction, class weighting and fingerprint.</w:t>
            </w:r>
          </w:p>
        </w:tc>
        <w:tc>
          <w:tcPr>
            <w:tcW w:type="dxa" w:w="4176"/>
            <w:shd w:fill="F6F8FA"/>
          </w:tcPr>
          <w:p>
            <w:pPr>
              <w:spacing w:after="20"/>
            </w:pPr>
            <w:r>
              <w:rPr>
                <w:rFonts w:ascii="Aptos" w:hAnsi="Aptos"/>
                <w:sz w:val="14"/>
              </w:rPr>
              <w:t>Selected implementation checks; not conceptual validation.</w:t>
            </w:r>
          </w:p>
        </w:tc>
      </w:tr>
      <w:tr>
        <w:tc>
          <w:tcPr>
            <w:tcW w:type="dxa" w:w="2016"/>
          </w:tcPr>
          <w:p>
            <w:pPr>
              <w:spacing w:after="20"/>
            </w:pPr>
            <w:r>
              <w:rPr>
                <w:rFonts w:ascii="Aptos" w:hAnsi="Aptos"/>
                <w:sz w:val="14"/>
              </w:rPr>
              <w:t>AUROC / Gini / KS</w:t>
            </w:r>
          </w:p>
        </w:tc>
        <w:tc>
          <w:tcPr>
            <w:tcW w:type="dxa" w:w="4032"/>
          </w:tcPr>
          <w:p>
            <w:pPr>
              <w:spacing w:after="20"/>
            </w:pPr>
            <w:r>
              <w:rPr>
                <w:rFonts w:ascii="Aptos" w:hAnsi="Aptos"/>
                <w:sz w:val="14"/>
              </w:rPr>
              <w:t>Discrimination and ranking metrics.</w:t>
            </w:r>
          </w:p>
        </w:tc>
        <w:tc>
          <w:tcPr>
            <w:tcW w:type="dxa" w:w="4176"/>
          </w:tcPr>
          <w:p>
            <w:pPr>
              <w:spacing w:after="20"/>
            </w:pPr>
            <w:r>
              <w:rPr>
                <w:rFonts w:ascii="Aptos" w:hAnsi="Aptos"/>
                <w:sz w:val="14"/>
              </w:rPr>
              <w:t>Do not establish calibration or economic value.</w:t>
            </w:r>
          </w:p>
        </w:tc>
      </w:tr>
      <w:tr>
        <w:tc>
          <w:tcPr>
            <w:tcW w:type="dxa" w:w="2016"/>
            <w:shd w:fill="F6F8FA"/>
          </w:tcPr>
          <w:p>
            <w:pPr>
              <w:spacing w:after="20"/>
            </w:pPr>
            <w:r>
              <w:rPr>
                <w:rFonts w:ascii="Aptos" w:hAnsi="Aptos"/>
                <w:sz w:val="14"/>
              </w:rPr>
              <w:t>Bootstrap CI</w:t>
            </w:r>
          </w:p>
        </w:tc>
        <w:tc>
          <w:tcPr>
            <w:tcW w:type="dxa" w:w="4032"/>
            <w:shd w:fill="F6F8FA"/>
          </w:tcPr>
          <w:p>
            <w:pPr>
              <w:spacing w:after="20"/>
            </w:pPr>
            <w:r>
              <w:rPr>
                <w:rFonts w:ascii="Aptos" w:hAnsi="Aptos"/>
                <w:sz w:val="14"/>
              </w:rPr>
              <w:t>Confidence interval for AUROC (CLI default 200 resamples).</w:t>
            </w:r>
          </w:p>
        </w:tc>
        <w:tc>
          <w:tcPr>
            <w:tcW w:type="dxa" w:w="4176"/>
            <w:shd w:fill="F6F8FA"/>
          </w:tcPr>
          <w:p>
            <w:pPr>
              <w:spacing w:after="20"/>
            </w:pPr>
            <w:r>
              <w:rPr>
                <w:rFonts w:ascii="Aptos" w:hAnsi="Aptos"/>
                <w:sz w:val="14"/>
              </w:rPr>
              <w:t>Uncertainty depends on sampling design.</w:t>
            </w:r>
          </w:p>
        </w:tc>
      </w:tr>
      <w:tr>
        <w:tc>
          <w:tcPr>
            <w:tcW w:type="dxa" w:w="2016"/>
          </w:tcPr>
          <w:p>
            <w:pPr>
              <w:spacing w:after="20"/>
            </w:pPr>
            <w:r>
              <w:rPr>
                <w:rFonts w:ascii="Aptos" w:hAnsi="Aptos"/>
                <w:sz w:val="14"/>
              </w:rPr>
              <w:t>Calibration</w:t>
            </w:r>
          </w:p>
        </w:tc>
        <w:tc>
          <w:tcPr>
            <w:tcW w:type="dxa" w:w="4032"/>
          </w:tcPr>
          <w:p>
            <w:pPr>
              <w:spacing w:after="20"/>
            </w:pPr>
            <w:r>
              <w:rPr>
                <w:rFonts w:ascii="Aptos" w:hAnsi="Aptos"/>
                <w:sz w:val="14"/>
              </w:rPr>
              <w:t>Brier, log loss, mean PD vs observed rate, reliability table, grouped HL-style statistic.</w:t>
            </w:r>
          </w:p>
        </w:tc>
        <w:tc>
          <w:tcPr>
            <w:tcW w:type="dxa" w:w="4176"/>
          </w:tcPr>
          <w:p>
            <w:pPr>
              <w:spacing w:after="20"/>
            </w:pPr>
            <w:r>
              <w:rPr>
                <w:rFonts w:ascii="Aptos" w:hAnsi="Aptos"/>
                <w:sz w:val="14"/>
              </w:rPr>
              <w:t>Grouped statistic is descriptive and has no p-value.</w:t>
            </w:r>
          </w:p>
        </w:tc>
      </w:tr>
      <w:tr>
        <w:tc>
          <w:tcPr>
            <w:tcW w:type="dxa" w:w="2016"/>
            <w:shd w:fill="F6F8FA"/>
          </w:tcPr>
          <w:p>
            <w:pPr>
              <w:spacing w:after="20"/>
            </w:pPr>
            <w:r>
              <w:rPr>
                <w:rFonts w:ascii="Aptos" w:hAnsi="Aptos"/>
                <w:sz w:val="14"/>
              </w:rPr>
              <w:t>PSI / CSI</w:t>
            </w:r>
          </w:p>
        </w:tc>
        <w:tc>
          <w:tcPr>
            <w:tcW w:type="dxa" w:w="4032"/>
            <w:shd w:fill="F6F8FA"/>
          </w:tcPr>
          <w:p>
            <w:pPr>
              <w:spacing w:after="20"/>
            </w:pPr>
            <w:r>
              <w:rPr>
                <w:rFonts w:ascii="Aptos" w:hAnsi="Aptos"/>
                <w:sz w:val="14"/>
              </w:rPr>
              <w:t>Predicted-PD population stability and feature distribution shifts.</w:t>
            </w:r>
          </w:p>
        </w:tc>
        <w:tc>
          <w:tcPr>
            <w:tcW w:type="dxa" w:w="4176"/>
            <w:shd w:fill="F6F8FA"/>
          </w:tcPr>
          <w:p>
            <w:pPr>
              <w:spacing w:after="20"/>
            </w:pPr>
            <w:r>
              <w:rPr>
                <w:rFonts w:ascii="Aptos" w:hAnsi="Aptos"/>
                <w:sz w:val="14"/>
              </w:rPr>
              <w:t>Investigation signals; thresholds require approved policy.</w:t>
            </w:r>
          </w:p>
        </w:tc>
      </w:tr>
      <w:tr>
        <w:tc>
          <w:tcPr>
            <w:tcW w:type="dxa" w:w="2016"/>
          </w:tcPr>
          <w:p>
            <w:pPr>
              <w:spacing w:after="20"/>
            </w:pPr>
            <w:r>
              <w:rPr>
                <w:rFonts w:ascii="Aptos" w:hAnsi="Aptos"/>
                <w:sz w:val="14"/>
              </w:rPr>
              <w:t>OOT / vintage</w:t>
            </w:r>
          </w:p>
        </w:tc>
        <w:tc>
          <w:tcPr>
            <w:tcW w:type="dxa" w:w="4032"/>
          </w:tcPr>
          <w:p>
            <w:pPr>
              <w:spacing w:after="20"/>
            </w:pPr>
            <w:r>
              <w:rPr>
                <w:rFonts w:ascii="Aptos" w:hAnsi="Aptos"/>
                <w:sz w:val="14"/>
              </w:rPr>
              <w:t>Later-dated sample and quarterly cohort metrics.</w:t>
            </w:r>
          </w:p>
        </w:tc>
        <w:tc>
          <w:tcPr>
            <w:tcW w:type="dxa" w:w="4176"/>
          </w:tcPr>
          <w:p>
            <w:pPr>
              <w:spacing w:after="20"/>
            </w:pPr>
            <w:r>
              <w:rPr>
                <w:rFonts w:ascii="Aptos" w:hAnsi="Aptos"/>
                <w:sz w:val="14"/>
              </w:rPr>
              <w:t>Check label maturity, censoring, sample mix and temporal boundary.</w:t>
            </w:r>
          </w:p>
        </w:tc>
      </w:tr>
      <w:tr>
        <w:tc>
          <w:tcPr>
            <w:tcW w:type="dxa" w:w="2016"/>
            <w:shd w:fill="F6F8FA"/>
          </w:tcPr>
          <w:p>
            <w:pPr>
              <w:spacing w:after="20"/>
            </w:pPr>
            <w:r>
              <w:rPr>
                <w:rFonts w:ascii="Aptos" w:hAnsi="Aptos"/>
                <w:sz w:val="14"/>
              </w:rPr>
              <w:t>Champion/challenger</w:t>
            </w:r>
          </w:p>
        </w:tc>
        <w:tc>
          <w:tcPr>
            <w:tcW w:type="dxa" w:w="4032"/>
            <w:shd w:fill="F6F8FA"/>
          </w:tcPr>
          <w:p>
            <w:pPr>
              <w:spacing w:after="20"/>
            </w:pPr>
            <w:r>
              <w:rPr>
                <w:rFonts w:ascii="Aptos" w:hAnsi="Aptos"/>
                <w:sz w:val="14"/>
              </w:rPr>
              <w:t>Metrics on the same held-out test cohort.</w:t>
            </w:r>
          </w:p>
        </w:tc>
        <w:tc>
          <w:tcPr>
            <w:tcW w:type="dxa" w:w="4176"/>
            <w:shd w:fill="F6F8FA"/>
          </w:tcPr>
          <w:p>
            <w:pPr>
              <w:spacing w:after="20"/>
            </w:pPr>
            <w:r>
              <w:rPr>
                <w:rFonts w:ascii="Aptos" w:hAnsi="Aptos"/>
                <w:sz w:val="14"/>
              </w:rPr>
              <w:t>No single metric should determine model selection.</w:t>
            </w:r>
          </w:p>
        </w:tc>
      </w:tr>
      <w:tr>
        <w:tc>
          <w:tcPr>
            <w:tcW w:type="dxa" w:w="2016"/>
          </w:tcPr>
          <w:p>
            <w:pPr>
              <w:spacing w:after="20"/>
            </w:pPr>
            <w:r>
              <w:rPr>
                <w:rFonts w:ascii="Aptos" w:hAnsi="Aptos"/>
                <w:sz w:val="14"/>
              </w:rPr>
              <w:t>Sensitivity</w:t>
            </w:r>
          </w:p>
        </w:tc>
        <w:tc>
          <w:tcPr>
            <w:tcW w:type="dxa" w:w="4032"/>
          </w:tcPr>
          <w:p>
            <w:pPr>
              <w:spacing w:after="20"/>
            </w:pPr>
            <w:r>
              <w:rPr>
                <w:rFonts w:ascii="Aptos" w:hAnsi="Aptos"/>
                <w:sz w:val="14"/>
              </w:rPr>
              <w:t>Mean PD change for ±10% change in each numeric feature.</w:t>
            </w:r>
          </w:p>
        </w:tc>
        <w:tc>
          <w:tcPr>
            <w:tcW w:type="dxa" w:w="4176"/>
          </w:tcPr>
          <w:p>
            <w:pPr>
              <w:spacing w:after="20"/>
            </w:pPr>
            <w:r>
              <w:rPr>
                <w:rFonts w:ascii="Aptos" w:hAnsi="Aptos"/>
                <w:sz w:val="14"/>
              </w:rPr>
              <w:t>Diagnostic, not a full causal or fairness review.</w:t>
            </w:r>
          </w:p>
        </w:tc>
      </w:tr>
      <w:tr>
        <w:tc>
          <w:tcPr>
            <w:tcW w:type="dxa" w:w="2016"/>
            <w:shd w:fill="F6F8FA"/>
          </w:tcPr>
          <w:p>
            <w:pPr>
              <w:spacing w:after="20"/>
            </w:pPr>
            <w:r>
              <w:rPr>
                <w:rFonts w:ascii="Aptos" w:hAnsi="Aptos"/>
                <w:sz w:val="14"/>
              </w:rPr>
              <w:t>WoE / IV</w:t>
            </w:r>
          </w:p>
        </w:tc>
        <w:tc>
          <w:tcPr>
            <w:tcW w:type="dxa" w:w="4032"/>
            <w:shd w:fill="F6F8FA"/>
          </w:tcPr>
          <w:p>
            <w:pPr>
              <w:spacing w:after="20"/>
            </w:pPr>
            <w:r>
              <w:rPr>
                <w:rFonts w:ascii="Aptos" w:hAnsi="Aptos"/>
                <w:sz w:val="14"/>
              </w:rPr>
              <w:t>Univariate feature review on training sample.</w:t>
            </w:r>
          </w:p>
        </w:tc>
        <w:tc>
          <w:tcPr>
            <w:tcW w:type="dxa" w:w="4176"/>
            <w:shd w:fill="F6F8FA"/>
          </w:tcPr>
          <w:p>
            <w:pPr>
              <w:spacing w:after="20"/>
            </w:pPr>
            <w:r>
              <w:rPr>
                <w:rFonts w:ascii="Aptos" w:hAnsi="Aptos"/>
                <w:sz w:val="14"/>
              </w:rPr>
              <w:t>Champion does not use WoE-transformed inputs.</w:t>
            </w:r>
          </w:p>
        </w:tc>
      </w:tr>
      <w:tr>
        <w:tc>
          <w:tcPr>
            <w:tcW w:type="dxa" w:w="2016"/>
          </w:tcPr>
          <w:p>
            <w:pPr>
              <w:spacing w:after="20"/>
            </w:pPr>
            <w:r>
              <w:rPr>
                <w:rFonts w:ascii="Aptos" w:hAnsi="Aptos"/>
                <w:sz w:val="14"/>
              </w:rPr>
              <w:t>Automated findings</w:t>
            </w:r>
          </w:p>
        </w:tc>
        <w:tc>
          <w:tcPr>
            <w:tcW w:type="dxa" w:w="4032"/>
          </w:tcPr>
          <w:p>
            <w:pPr>
              <w:spacing w:after="20"/>
            </w:pPr>
            <w:r>
              <w:rPr>
                <w:rFonts w:ascii="Aptos" w:hAnsi="Aptos"/>
                <w:sz w:val="14"/>
              </w:rPr>
              <w:t>Rule-based flags from metrics.</w:t>
            </w:r>
          </w:p>
        </w:tc>
        <w:tc>
          <w:tcPr>
            <w:tcW w:type="dxa" w:w="4176"/>
          </w:tcPr>
          <w:p>
            <w:pPr>
              <w:spacing w:after="20"/>
            </w:pPr>
            <w:r>
              <w:rPr>
                <w:rFonts w:ascii="Aptos" w:hAnsi="Aptos"/>
                <w:sz w:val="14"/>
              </w:rPr>
              <w:t>A validator must confirm or reject them.</w:t>
            </w:r>
          </w:p>
        </w:tc>
      </w:tr>
      <w:tr>
        <w:tc>
          <w:tcPr>
            <w:tcW w:type="dxa" w:w="2016"/>
            <w:shd w:fill="F6F8FA"/>
          </w:tcPr>
          <w:p>
            <w:pPr>
              <w:spacing w:after="20"/>
            </w:pPr>
            <w:r>
              <w:rPr>
                <w:rFonts w:ascii="Aptos" w:hAnsi="Aptos"/>
                <w:sz w:val="14"/>
              </w:rPr>
              <w:t>Not assessed</w:t>
            </w:r>
          </w:p>
        </w:tc>
        <w:tc>
          <w:tcPr>
            <w:tcW w:type="dxa" w:w="4032"/>
            <w:shd w:fill="F6F8FA"/>
          </w:tcPr>
          <w:p>
            <w:pPr>
              <w:spacing w:after="20"/>
            </w:pPr>
            <w:r>
              <w:rPr>
                <w:rFonts w:ascii="Aptos" w:hAnsi="Aptos"/>
                <w:sz w:val="14"/>
              </w:rPr>
              <w:t>Conceptual soundness, lineage, ECL/IRB calibration and use test.</w:t>
            </w:r>
          </w:p>
        </w:tc>
        <w:tc>
          <w:tcPr>
            <w:tcW w:type="dxa" w:w="4176"/>
            <w:shd w:fill="F6F8FA"/>
          </w:tcPr>
          <w:p>
            <w:pPr>
              <w:spacing w:after="20"/>
            </w:pPr>
            <w:r>
              <w:rPr>
                <w:rFonts w:ascii="Aptos" w:hAnsi="Aptos"/>
                <w:sz w:val="14"/>
              </w:rPr>
              <w:t>Explicitly requires human/domain evidence.</w:t>
            </w:r>
          </w:p>
        </w:tc>
      </w:tr>
    </w:tbl>
    <w:p/>
    <w:p>
      <w:pPr>
        <w:pStyle w:val="Heading2"/>
      </w:pPr>
      <w:r>
        <w:t>7.1 Split strategy</w:t>
      </w:r>
    </w:p>
    <w:p>
      <w:r>
        <w:t>When a date column exists, the latest 20% of applications by date is reserved for OOT, using a date boundary so one date is not split across samples. The remaining development data is split 75/25 into train/test using stratification. Training and validation share the same split function. Without a date column, OOT is not assessed.</w:t>
      </w:r>
    </w:p>
    <w:p>
      <w:r>
        <w:t>A chronological split does not fix immature labels or biased resolved-loan selection. The target horizon, label maturity and observation window must be defensible.</w:t>
      </w:r>
    </w:p>
    <w:p>
      <w:pPr>
        <w:pStyle w:val="Heading2"/>
      </w:pPr>
      <w:r>
        <w:t>7.2 Report builder</w:t>
      </w:r>
    </w:p>
    <w:p>
      <w:r>
        <w:t>The validation suite returns structured metrics, automated findings and an explicit not-assessed list. governance/report_builder.py renders the Jinja2 template at reports/templates/validation_report.md.j2. Optional PDF export uses Markdown and WeasyPrint. The generated report is an evidence pack pending human interpretation, finding ownership and reviewer sign-off.</w:t>
      </w:r>
    </w:p>
    <w:p>
      <w:pPr>
        <w:pStyle w:val="Heading1"/>
      </w:pPr>
      <w:r>
        <w:t>8. Monitoring</w:t>
      </w:r>
    </w:p>
    <w:p>
      <w:r>
        <w:t>pipelines/monitor.py compares reference and current samples. It monitors feature CSI, predicted-PD PSI, and (when both samples have usable labels) AUROC drop, mean PD and observed default rate. If either sample lacks a required model feature, the run exits with input error rather than switching to a different metric.</w:t>
      </w:r>
    </w:p>
    <w:tbl>
      <w:tblPr>
        <w:tblStyle w:val="TableGrid"/>
        <w:tblW w:type="auto" w:w="0"/>
        <w:tblLook w:firstColumn="1" w:firstRow="1" w:lastColumn="0" w:lastRow="0" w:noHBand="0" w:noVBand="1" w:val="04A0"/>
      </w:tblPr>
      <w:tblGrid>
        <w:gridCol w:w="3389"/>
        <w:gridCol w:w="3389"/>
        <w:gridCol w:w="3389"/>
      </w:tblGrid>
      <w:tr>
        <w:tc>
          <w:tcPr>
            <w:tcW w:type="dxa" w:w="1728"/>
            <w:shd w:fill="CFE2F3"/>
          </w:tcPr>
          <w:p>
            <w:r>
              <w:rPr>
                <w:b/>
                <w:sz w:val="16"/>
              </w:rPr>
              <w:t>Level</w:t>
            </w:r>
          </w:p>
        </w:tc>
        <w:tc>
          <w:tcPr>
            <w:tcW w:type="dxa" w:w="3888"/>
            <w:shd w:fill="CFE2F3"/>
          </w:tcPr>
          <w:p>
            <w:r>
              <w:rPr>
                <w:b/>
                <w:sz w:val="16"/>
              </w:rPr>
              <w:t>Default thresholds</w:t>
            </w:r>
          </w:p>
        </w:tc>
        <w:tc>
          <w:tcPr>
            <w:tcW w:type="dxa" w:w="4608"/>
            <w:shd w:fill="CFE2F3"/>
          </w:tcPr>
          <w:p>
            <w:r>
              <w:rPr>
                <w:b/>
                <w:sz w:val="16"/>
              </w:rPr>
              <w:t>Action meaning</w:t>
            </w:r>
          </w:p>
        </w:tc>
      </w:tr>
      <w:tr>
        <w:tc>
          <w:tcPr>
            <w:tcW w:type="dxa" w:w="1728"/>
          </w:tcPr>
          <w:p>
            <w:pPr>
              <w:spacing w:after="20"/>
            </w:pPr>
            <w:r>
              <w:rPr>
                <w:rFonts w:ascii="Aptos" w:hAnsi="Aptos"/>
                <w:sz w:val="16"/>
              </w:rPr>
              <w:t>ok</w:t>
            </w:r>
          </w:p>
        </w:tc>
        <w:tc>
          <w:tcPr>
            <w:tcW w:type="dxa" w:w="3888"/>
          </w:tcPr>
          <w:p>
            <w:pPr>
              <w:spacing w:after="20"/>
            </w:pPr>
            <w:r>
              <w:rPr>
                <w:rFonts w:ascii="Aptos" w:hAnsi="Aptos"/>
                <w:sz w:val="16"/>
              </w:rPr>
              <w:t>PSI/CSI &lt; 0.10; AUROC drop &lt; 0.03</w:t>
            </w:r>
          </w:p>
        </w:tc>
        <w:tc>
          <w:tcPr>
            <w:tcW w:type="dxa" w:w="4608"/>
          </w:tcPr>
          <w:p>
            <w:pPr>
              <w:spacing w:after="20"/>
            </w:pPr>
            <w:r>
              <w:rPr>
                <w:rFonts w:ascii="Aptos" w:hAnsi="Aptos"/>
                <w:sz w:val="16"/>
              </w:rPr>
              <w:t>No threshold breach.</w:t>
            </w:r>
          </w:p>
        </w:tc>
      </w:tr>
      <w:tr>
        <w:tc>
          <w:tcPr>
            <w:tcW w:type="dxa" w:w="1728"/>
            <w:shd w:fill="F6F8FA"/>
          </w:tcPr>
          <w:p>
            <w:pPr>
              <w:spacing w:after="20"/>
            </w:pPr>
            <w:r>
              <w:rPr>
                <w:rFonts w:ascii="Aptos" w:hAnsi="Aptos"/>
                <w:sz w:val="16"/>
              </w:rPr>
              <w:t>investigate</w:t>
            </w:r>
          </w:p>
        </w:tc>
        <w:tc>
          <w:tcPr>
            <w:tcW w:type="dxa" w:w="3888"/>
            <w:shd w:fill="F6F8FA"/>
          </w:tcPr>
          <w:p>
            <w:pPr>
              <w:spacing w:after="20"/>
            </w:pPr>
            <w:r>
              <w:rPr>
                <w:rFonts w:ascii="Aptos" w:hAnsi="Aptos"/>
                <w:sz w:val="16"/>
              </w:rPr>
              <w:t>PSI/CSI 0.10–0.25 or AUROC drop ≥ 0.03</w:t>
            </w:r>
          </w:p>
        </w:tc>
        <w:tc>
          <w:tcPr>
            <w:tcW w:type="dxa" w:w="4608"/>
            <w:shd w:fill="F6F8FA"/>
          </w:tcPr>
          <w:p>
            <w:pPr>
              <w:spacing w:after="20"/>
            </w:pPr>
            <w:r>
              <w:rPr>
                <w:rFonts w:ascii="Aptos" w:hAnsi="Aptos"/>
                <w:sz w:val="16"/>
              </w:rPr>
              <w:t>Investigate and document.</w:t>
            </w:r>
          </w:p>
        </w:tc>
      </w:tr>
      <w:tr>
        <w:tc>
          <w:tcPr>
            <w:tcW w:type="dxa" w:w="1728"/>
          </w:tcPr>
          <w:p>
            <w:pPr>
              <w:spacing w:after="20"/>
            </w:pPr>
            <w:r>
              <w:rPr>
                <w:rFonts w:ascii="Aptos" w:hAnsi="Aptos"/>
                <w:sz w:val="16"/>
              </w:rPr>
              <w:t>escalate</w:t>
            </w:r>
          </w:p>
        </w:tc>
        <w:tc>
          <w:tcPr>
            <w:tcW w:type="dxa" w:w="3888"/>
          </w:tcPr>
          <w:p>
            <w:pPr>
              <w:spacing w:after="20"/>
            </w:pPr>
            <w:r>
              <w:rPr>
                <w:rFonts w:ascii="Aptos" w:hAnsi="Aptos"/>
                <w:sz w:val="16"/>
              </w:rPr>
              <w:t>PSI/CSI ≥ 0.25 or AUROC drop ≥ 0.05</w:t>
            </w:r>
          </w:p>
        </w:tc>
        <w:tc>
          <w:tcPr>
            <w:tcW w:type="dxa" w:w="4608"/>
          </w:tcPr>
          <w:p>
            <w:pPr>
              <w:spacing w:after="20"/>
            </w:pPr>
            <w:r>
              <w:rPr>
                <w:rFonts w:ascii="Aptos" w:hAnsi="Aptos"/>
                <w:sz w:val="16"/>
              </w:rPr>
              <w:t>Escalate to validation/model risk.</w:t>
            </w:r>
          </w:p>
        </w:tc>
      </w:tr>
    </w:tbl>
    <w:p/>
    <w:p>
      <w:r>
        <w:t>The overall level is the worst across population, feature and performance monitoring. Thresholds are centralised in Settings/.env, not the inventory. These are conventional starter thresholds, not approved policy.</w:t>
      </w:r>
    </w:p>
    <w:tbl>
      <w:tblPr>
        <w:tblStyle w:val="TableGrid"/>
        <w:tblW w:type="auto" w:w="0"/>
        <w:tblLook w:firstColumn="1" w:firstRow="1" w:lastColumn="0" w:lastRow="0" w:noHBand="0" w:noVBand="1" w:val="04A0"/>
      </w:tblPr>
      <w:tblGrid>
        <w:gridCol w:w="5083"/>
        <w:gridCol w:w="5083"/>
      </w:tblGrid>
      <w:tr>
        <w:tc>
          <w:tcPr>
            <w:tcW w:type="dxa" w:w="4464"/>
            <w:shd w:fill="CFE2F3"/>
          </w:tcPr>
          <w:p>
            <w:r>
              <w:rPr>
                <w:b/>
                <w:sz w:val="16"/>
              </w:rPr>
              <w:t>Output</w:t>
            </w:r>
          </w:p>
        </w:tc>
        <w:tc>
          <w:tcPr>
            <w:tcW w:type="dxa" w:w="5760"/>
            <w:shd w:fill="CFE2F3"/>
          </w:tcPr>
          <w:p>
            <w:r>
              <w:rPr>
                <w:b/>
                <w:sz w:val="16"/>
              </w:rPr>
              <w:t>Purpose</w:t>
            </w:r>
          </w:p>
        </w:tc>
      </w:tr>
      <w:tr>
        <w:tc>
          <w:tcPr>
            <w:tcW w:type="dxa" w:w="4464"/>
          </w:tcPr>
          <w:p>
            <w:pPr>
              <w:spacing w:after="20"/>
            </w:pPr>
            <w:r>
              <w:rPr>
                <w:rFonts w:ascii="Aptos" w:hAnsi="Aptos"/>
                <w:sz w:val="16"/>
              </w:rPr>
              <w:t>artifacts/monitoring/monitoring_summary.json</w:t>
            </w:r>
          </w:p>
        </w:tc>
        <w:tc>
          <w:tcPr>
            <w:tcW w:type="dxa" w:w="5760"/>
          </w:tcPr>
          <w:p>
            <w:pPr>
              <w:spacing w:after="20"/>
            </w:pPr>
            <w:r>
              <w:rPr>
                <w:rFonts w:ascii="Aptos" w:hAnsi="Aptos"/>
                <w:sz w:val="16"/>
              </w:rPr>
              <w:t>Overall level, PSI, performance and recommended action.</w:t>
            </w:r>
          </w:p>
        </w:tc>
      </w:tr>
      <w:tr>
        <w:tc>
          <w:tcPr>
            <w:tcW w:type="dxa" w:w="4464"/>
            <w:shd w:fill="F6F8FA"/>
          </w:tcPr>
          <w:p>
            <w:pPr>
              <w:spacing w:after="20"/>
            </w:pPr>
            <w:r>
              <w:rPr>
                <w:rFonts w:ascii="Aptos" w:hAnsi="Aptos"/>
                <w:sz w:val="16"/>
              </w:rPr>
              <w:t>artifacts/monitoring/psi_csi_metrics.csv</w:t>
            </w:r>
          </w:p>
        </w:tc>
        <w:tc>
          <w:tcPr>
            <w:tcW w:type="dxa" w:w="5760"/>
            <w:shd w:fill="F6F8FA"/>
          </w:tcPr>
          <w:p>
            <w:pPr>
              <w:spacing w:after="20"/>
            </w:pPr>
            <w:r>
              <w:rPr>
                <w:rFonts w:ascii="Aptos" w:hAnsi="Aptos"/>
                <w:sz w:val="16"/>
              </w:rPr>
              <w:t>Per-feature CSI and level.</w:t>
            </w:r>
          </w:p>
        </w:tc>
      </w:tr>
      <w:tr>
        <w:tc>
          <w:tcPr>
            <w:tcW w:type="dxa" w:w="4464"/>
          </w:tcPr>
          <w:p>
            <w:pPr>
              <w:spacing w:after="20"/>
            </w:pPr>
            <w:r>
              <w:rPr>
                <w:rFonts w:ascii="Aptos" w:hAnsi="Aptos"/>
                <w:sz w:val="16"/>
              </w:rPr>
              <w:t>reports/monitoring_report.md</w:t>
            </w:r>
          </w:p>
        </w:tc>
        <w:tc>
          <w:tcPr>
            <w:tcW w:type="dxa" w:w="5760"/>
          </w:tcPr>
          <w:p>
            <w:pPr>
              <w:spacing w:after="20"/>
            </w:pPr>
            <w:r>
              <w:rPr>
                <w:rFonts w:ascii="Aptos" w:hAnsi="Aptos"/>
                <w:sz w:val="16"/>
              </w:rPr>
              <w:t>Readable monitoring report.</w:t>
            </w:r>
          </w:p>
        </w:tc>
      </w:tr>
      <w:tr>
        <w:tc>
          <w:tcPr>
            <w:tcW w:type="dxa" w:w="4464"/>
            <w:shd w:fill="F6F8FA"/>
          </w:tcPr>
          <w:p>
            <w:pPr>
              <w:spacing w:after="20"/>
            </w:pPr>
            <w:r>
              <w:rPr>
                <w:rFonts w:ascii="Aptos" w:hAnsi="Aptos"/>
                <w:sz w:val="16"/>
              </w:rPr>
              <w:t>reports/drift_summary.json</w:t>
            </w:r>
          </w:p>
        </w:tc>
        <w:tc>
          <w:tcPr>
            <w:tcW w:type="dxa" w:w="5760"/>
            <w:shd w:fill="F6F8FA"/>
          </w:tcPr>
          <w:p>
            <w:pPr>
              <w:spacing w:after="20"/>
            </w:pPr>
            <w:r>
              <w:rPr>
                <w:rFonts w:ascii="Aptos" w:hAnsi="Aptos"/>
                <w:sz w:val="16"/>
              </w:rPr>
              <w:t>Drift details and alert records.</w:t>
            </w:r>
          </w:p>
        </w:tc>
      </w:tr>
      <w:tr>
        <w:tc>
          <w:tcPr>
            <w:tcW w:type="dxa" w:w="4464"/>
          </w:tcPr>
          <w:p>
            <w:pPr>
              <w:spacing w:after="20"/>
            </w:pPr>
            <w:r>
              <w:rPr>
                <w:rFonts w:ascii="Aptos" w:hAnsi="Aptos"/>
                <w:sz w:val="16"/>
              </w:rPr>
              <w:t>governance/audit_trail/monitoring/*.jsonl</w:t>
            </w:r>
          </w:p>
        </w:tc>
        <w:tc>
          <w:tcPr>
            <w:tcW w:type="dxa" w:w="5760"/>
          </w:tcPr>
          <w:p>
            <w:pPr>
              <w:spacing w:after="20"/>
            </w:pPr>
            <w:r>
              <w:rPr>
                <w:rFonts w:ascii="Aptos" w:hAnsi="Aptos"/>
                <w:sz w:val="16"/>
              </w:rPr>
              <w:t>Audit record per monitoring run.</w:t>
            </w:r>
          </w:p>
        </w:tc>
      </w:tr>
      <w:tr>
        <w:tc>
          <w:tcPr>
            <w:tcW w:type="dxa" w:w="4464"/>
            <w:shd w:fill="F6F8FA"/>
          </w:tcPr>
          <w:p>
            <w:pPr>
              <w:spacing w:after="20"/>
            </w:pPr>
            <w:r>
              <w:rPr>
                <w:rFonts w:ascii="Aptos" w:hAnsi="Aptos"/>
                <w:sz w:val="16"/>
              </w:rPr>
              <w:t>governance/audit_trail/changes/*.jsonl</w:t>
            </w:r>
          </w:p>
        </w:tc>
        <w:tc>
          <w:tcPr>
            <w:tcW w:type="dxa" w:w="5760"/>
            <w:shd w:fill="F6F8FA"/>
          </w:tcPr>
          <w:p>
            <w:pPr>
              <w:spacing w:after="20"/>
            </w:pPr>
            <w:r>
              <w:rPr>
                <w:rFonts w:ascii="Aptos" w:hAnsi="Aptos"/>
                <w:sz w:val="16"/>
              </w:rPr>
              <w:t>Monitoring alert event when level is not ok.</w:t>
            </w:r>
          </w:p>
        </w:tc>
      </w:tr>
    </w:tbl>
    <w:p/>
    <w:p>
      <w:pPr>
        <w:spacing w:after="120"/>
        <w:ind w:left="216"/>
        <w:shd w:fill="F2F4F7"/>
      </w:pPr>
      <w:r>
        <w:rPr>
          <w:rFonts w:ascii="Consolas" w:hAnsi="Consolas"/>
          <w:sz w:val="15"/>
        </w:rPr>
        <w:t>python scripts/generate_synthetic.py --rows 5000 --seed 42 --out data/reference.csv</w:t>
      </w:r>
      <w:r>
        <w:br/>
      </w:r>
      <w:r>
        <w:rPr>
          <w:rFonts w:ascii="Consolas" w:hAnsi="Consolas"/>
          <w:sz w:val="15"/>
        </w:rPr>
        <w:t>python scripts/generate_synthetic.py --rows 5000 --seed 43 --drift 0.15 --out data/current.csv</w:t>
      </w:r>
      <w:r>
        <w:br/>
      </w:r>
      <w:r>
        <w:rPr>
          <w:rFonts w:ascii="Consolas" w:hAnsi="Consolas"/>
          <w:sz w:val="15"/>
        </w:rPr>
        <w:t>python pipelines/monitor.py --reference data/reference.csv --current data/current.csv</w:t>
      </w:r>
      <w:r>
        <w:br/>
      </w:r>
      <w:r>
        <w:rPr>
          <w:rFonts w:ascii="Consolas" w:hAnsi="Consolas"/>
          <w:sz w:val="15"/>
        </w:rPr>
        <w:t># Exit codes: 0 ok, 1 investigate, 2 escalate, 3 input error</w:t>
      </w:r>
    </w:p>
    <w:p>
      <w:r>
        <w:t>The nightly workflow is a synthetic demonstration. Production monitoring needs governed reference/current samples, mature labels, named alert owners, escalation, deduplication and tracked remediation.</w:t>
      </w:r>
    </w:p>
    <w:p>
      <w:pPr>
        <w:pStyle w:val="Heading1"/>
      </w:pPr>
      <w:r>
        <w:t>9. FastAPI API</w:t>
      </w:r>
    </w:p>
    <w:p>
      <w:r>
        <w:t>api/main.py serves prediction and model metadata; api/model_loader.py checks the inventory and caches successful loads. It checks serving status/review date, artifact path, optional SHA-256, and model-version agreement. It detects artifact changes using path, size and modification time, and refreshes inventory state when the inventory file changes.</w:t>
      </w:r>
    </w:p>
    <w:tbl>
      <w:tblPr>
        <w:tblStyle w:val="TableGrid"/>
        <w:tblW w:type="auto" w:w="0"/>
        <w:tblLook w:firstColumn="1" w:firstRow="1" w:lastColumn="0" w:lastRow="0" w:noHBand="0" w:noVBand="1" w:val="04A0"/>
      </w:tblPr>
      <w:tblGrid>
        <w:gridCol w:w="5083"/>
        <w:gridCol w:w="5083"/>
      </w:tblGrid>
      <w:tr>
        <w:tc>
          <w:tcPr>
            <w:tcW w:type="dxa" w:w="2736"/>
            <w:shd w:fill="CFE2F3"/>
          </w:tcPr>
          <w:p>
            <w:r>
              <w:rPr>
                <w:b/>
                <w:sz w:val="16"/>
              </w:rPr>
              <w:t>Endpoint</w:t>
            </w:r>
          </w:p>
        </w:tc>
        <w:tc>
          <w:tcPr>
            <w:tcW w:type="dxa" w:w="7488"/>
            <w:shd w:fill="CFE2F3"/>
          </w:tcPr>
          <w:p>
            <w:r>
              <w:rPr>
                <w:b/>
                <w:sz w:val="16"/>
              </w:rPr>
              <w:t>Purpose</w:t>
            </w:r>
          </w:p>
        </w:tc>
      </w:tr>
      <w:tr>
        <w:tc>
          <w:tcPr>
            <w:tcW w:type="dxa" w:w="2736"/>
          </w:tcPr>
          <w:p>
            <w:pPr>
              <w:spacing w:after="20"/>
            </w:pPr>
            <w:r>
              <w:rPr>
                <w:rFonts w:ascii="Aptos" w:hAnsi="Aptos"/>
                <w:sz w:val="16"/>
              </w:rPr>
              <w:t>GET /health</w:t>
            </w:r>
          </w:p>
        </w:tc>
        <w:tc>
          <w:tcPr>
            <w:tcW w:type="dxa" w:w="7488"/>
          </w:tcPr>
          <w:p>
            <w:pPr>
              <w:spacing w:after="20"/>
            </w:pPr>
            <w:r>
              <w:rPr>
                <w:rFonts w:ascii="Aptos" w:hAnsi="Aptos"/>
                <w:sz w:val="16"/>
              </w:rPr>
              <w:t>Status including model_loaded, reason, model name/version and environment.</w:t>
            </w:r>
          </w:p>
        </w:tc>
      </w:tr>
      <w:tr>
        <w:tc>
          <w:tcPr>
            <w:tcW w:type="dxa" w:w="2736"/>
            <w:shd w:fill="F6F8FA"/>
          </w:tcPr>
          <w:p>
            <w:pPr>
              <w:spacing w:after="20"/>
            </w:pPr>
            <w:r>
              <w:rPr>
                <w:rFonts w:ascii="Aptos" w:hAnsi="Aptos"/>
                <w:sz w:val="16"/>
              </w:rPr>
              <w:t>GET /model-card</w:t>
            </w:r>
          </w:p>
        </w:tc>
        <w:tc>
          <w:tcPr>
            <w:tcW w:type="dxa" w:w="7488"/>
            <w:shd w:fill="F6F8FA"/>
          </w:tcPr>
          <w:p>
            <w:pPr>
              <w:spacing w:after="20"/>
            </w:pPr>
            <w:r>
              <w:rPr>
                <w:rFonts w:ascii="Aptos" w:hAnsi="Aptos"/>
                <w:sz w:val="16"/>
              </w:rPr>
              <w:t>Inventory entry, intended use, limitations, use restrictions, training metadata and features.</w:t>
            </w:r>
          </w:p>
        </w:tc>
      </w:tr>
      <w:tr>
        <w:tc>
          <w:tcPr>
            <w:tcW w:type="dxa" w:w="2736"/>
          </w:tcPr>
          <w:p>
            <w:pPr>
              <w:spacing w:after="20"/>
            </w:pPr>
            <w:r>
              <w:rPr>
                <w:rFonts w:ascii="Aptos" w:hAnsi="Aptos"/>
                <w:sz w:val="16"/>
              </w:rPr>
              <w:t>POST /predict</w:t>
            </w:r>
          </w:p>
        </w:tc>
        <w:tc>
          <w:tcPr>
            <w:tcW w:type="dxa" w:w="7488"/>
          </w:tcPr>
          <w:p>
            <w:pPr>
              <w:spacing w:after="20"/>
            </w:pPr>
            <w:r>
              <w:rPr>
                <w:rFonts w:ascii="Aptos" w:hAnsi="Aptos"/>
                <w:sz w:val="16"/>
              </w:rPr>
              <w:t>Scores one record and returns PD, score, model identity/version and request ID; writes audit event.</w:t>
            </w:r>
          </w:p>
        </w:tc>
      </w:tr>
      <w:tr>
        <w:tc>
          <w:tcPr>
            <w:tcW w:type="dxa" w:w="2736"/>
            <w:shd w:fill="F6F8FA"/>
          </w:tcPr>
          <w:p>
            <w:pPr>
              <w:spacing w:after="20"/>
            </w:pPr>
            <w:r>
              <w:rPr>
                <w:rFonts w:ascii="Aptos" w:hAnsi="Aptos"/>
                <w:sz w:val="16"/>
              </w:rPr>
              <w:t>GET /audit/decisions</w:t>
            </w:r>
          </w:p>
        </w:tc>
        <w:tc>
          <w:tcPr>
            <w:tcW w:type="dxa" w:w="7488"/>
            <w:shd w:fill="F6F8FA"/>
          </w:tcPr>
          <w:p>
            <w:pPr>
              <w:spacing w:after="20"/>
            </w:pPr>
            <w:r>
              <w:rPr>
                <w:rFonts w:ascii="Aptos" w:hAnsi="Aptos"/>
                <w:sz w:val="16"/>
              </w:rPr>
              <w:t>Prediction records with filters/pagination.</w:t>
            </w:r>
          </w:p>
        </w:tc>
      </w:tr>
      <w:tr>
        <w:tc>
          <w:tcPr>
            <w:tcW w:type="dxa" w:w="2736"/>
          </w:tcPr>
          <w:p>
            <w:pPr>
              <w:spacing w:after="20"/>
            </w:pPr>
            <w:r>
              <w:rPr>
                <w:rFonts w:ascii="Aptos" w:hAnsi="Aptos"/>
                <w:sz w:val="16"/>
              </w:rPr>
              <w:t>GET /audit/changes</w:t>
            </w:r>
          </w:p>
        </w:tc>
        <w:tc>
          <w:tcPr>
            <w:tcW w:type="dxa" w:w="7488"/>
          </w:tcPr>
          <w:p>
            <w:pPr>
              <w:spacing w:after="20"/>
            </w:pPr>
            <w:r>
              <w:rPr>
                <w:rFonts w:ascii="Aptos" w:hAnsi="Aptos"/>
                <w:sz w:val="16"/>
              </w:rPr>
              <w:t>Model lifecycle/change events.</w:t>
            </w:r>
          </w:p>
        </w:tc>
      </w:tr>
      <w:tr>
        <w:tc>
          <w:tcPr>
            <w:tcW w:type="dxa" w:w="2736"/>
            <w:shd w:fill="F6F8FA"/>
          </w:tcPr>
          <w:p>
            <w:pPr>
              <w:spacing w:after="20"/>
            </w:pPr>
            <w:r>
              <w:rPr>
                <w:rFonts w:ascii="Aptos" w:hAnsi="Aptos"/>
                <w:sz w:val="16"/>
              </w:rPr>
              <w:t>GET /audit/adjustments</w:t>
            </w:r>
          </w:p>
        </w:tc>
        <w:tc>
          <w:tcPr>
            <w:tcW w:type="dxa" w:w="7488"/>
            <w:shd w:fill="F6F8FA"/>
          </w:tcPr>
          <w:p>
            <w:pPr>
              <w:spacing w:after="20"/>
            </w:pPr>
            <w:r>
              <w:rPr>
                <w:rFonts w:ascii="Aptos" w:hAnsi="Aptos"/>
                <w:sz w:val="16"/>
              </w:rPr>
              <w:t>PMA records and active/overdue/expired status.</w:t>
            </w:r>
          </w:p>
        </w:tc>
      </w:tr>
      <w:tr>
        <w:tc>
          <w:tcPr>
            <w:tcW w:type="dxa" w:w="2736"/>
          </w:tcPr>
          <w:p>
            <w:pPr>
              <w:spacing w:after="20"/>
            </w:pPr>
            <w:r>
              <w:rPr>
                <w:rFonts w:ascii="Aptos" w:hAnsi="Aptos"/>
                <w:sz w:val="16"/>
              </w:rPr>
              <w:t>GET /audit/monitoring</w:t>
            </w:r>
          </w:p>
        </w:tc>
        <w:tc>
          <w:tcPr>
            <w:tcW w:type="dxa" w:w="7488"/>
          </w:tcPr>
          <w:p>
            <w:pPr>
              <w:spacing w:after="20"/>
            </w:pPr>
            <w:r>
              <w:rPr>
                <w:rFonts w:ascii="Aptos" w:hAnsi="Aptos"/>
                <w:sz w:val="16"/>
              </w:rPr>
              <w:t>Recent monitoring records.</w:t>
            </w:r>
          </w:p>
        </w:tc>
      </w:tr>
      <w:tr>
        <w:tc>
          <w:tcPr>
            <w:tcW w:type="dxa" w:w="2736"/>
            <w:shd w:fill="F6F8FA"/>
          </w:tcPr>
          <w:p>
            <w:pPr>
              <w:spacing w:after="20"/>
            </w:pPr>
            <w:r>
              <w:rPr>
                <w:rFonts w:ascii="Aptos" w:hAnsi="Aptos"/>
                <w:sz w:val="16"/>
              </w:rPr>
              <w:t>GET /audit/verify</w:t>
            </w:r>
          </w:p>
        </w:tc>
        <w:tc>
          <w:tcPr>
            <w:tcW w:type="dxa" w:w="7488"/>
            <w:shd w:fill="F6F8FA"/>
          </w:tcPr>
          <w:p>
            <w:pPr>
              <w:spacing w:after="20"/>
            </w:pPr>
            <w:r>
              <w:rPr>
                <w:rFonts w:ascii="Aptos" w:hAnsi="Aptos"/>
                <w:sz w:val="16"/>
              </w:rPr>
              <w:t>Audit hash-chain verification.</w:t>
            </w:r>
          </w:p>
        </w:tc>
      </w:tr>
    </w:tbl>
    <w:p/>
    <w:p>
      <w:pPr>
        <w:pStyle w:val="Heading2"/>
      </w:pPr>
      <w:r>
        <w:t>9.1 Example request</w:t>
      </w:r>
    </w:p>
    <w:p>
      <w:pPr>
        <w:spacing w:after="120"/>
        <w:ind w:left="216"/>
        <w:shd w:fill="F2F4F7"/>
      </w:pPr>
      <w:r>
        <w:rPr>
          <w:rFonts w:ascii="Consolas" w:hAnsi="Consolas"/>
          <w:sz w:val="15"/>
        </w:rPr>
        <w:t>POST /predict</w:t>
      </w:r>
      <w:r>
        <w:br/>
      </w:r>
      <w:r>
        <w:rPr>
          <w:rFonts w:ascii="Consolas" w:hAnsi="Consolas"/>
          <w:sz w:val="15"/>
        </w:rPr>
        <w:t>Content-Type: application/json</w:t>
      </w:r>
      <w:r>
        <w:br/>
      </w:r>
      <w:r>
        <w:rPr>
          <w:rFonts w:ascii="Consolas" w:hAnsi="Consolas"/>
          <w:sz w:val="15"/>
        </w:rPr>
        <w:t>x-request-id: demo-001</w:t>
      </w:r>
      <w:r>
        <w:br/>
      </w:r>
      <w:r>
        <w:rPr>
          <w:rFonts w:ascii="Consolas" w:hAnsi="Consolas"/>
          <w:sz w:val="15"/>
        </w:rPr>
      </w:r>
      <w:r>
        <w:br/>
      </w:r>
      <w:r>
        <w:rPr>
          <w:rFonts w:ascii="Consolas" w:hAnsi="Consolas"/>
          <w:sz w:val="15"/>
        </w:rPr>
        <w:t>{</w:t>
      </w:r>
      <w:r>
        <w:br/>
      </w:r>
      <w:r>
        <w:rPr>
          <w:rFonts w:ascii="Consolas" w:hAnsi="Consolas"/>
          <w:sz w:val="15"/>
        </w:rPr>
        <w:t xml:space="preserve">  "features": {</w:t>
      </w:r>
      <w:r>
        <w:br/>
      </w:r>
      <w:r>
        <w:rPr>
          <w:rFonts w:ascii="Consolas" w:hAnsi="Consolas"/>
          <w:sz w:val="15"/>
        </w:rPr>
        <w:t xml:space="preserve">    "loan_amnt": 15000.0,</w:t>
      </w:r>
      <w:r>
        <w:br/>
      </w:r>
      <w:r>
        <w:rPr>
          <w:rFonts w:ascii="Consolas" w:hAnsi="Consolas"/>
          <w:sz w:val="15"/>
        </w:rPr>
        <w:t xml:space="preserve">    "int_rate": 11.5,</w:t>
      </w:r>
      <w:r>
        <w:br/>
      </w:r>
      <w:r>
        <w:rPr>
          <w:rFonts w:ascii="Consolas" w:hAnsi="Consolas"/>
          <w:sz w:val="15"/>
        </w:rPr>
        <w:t xml:space="preserve">    "annual_inc": 62000.0,</w:t>
      </w:r>
      <w:r>
        <w:br/>
      </w:r>
      <w:r>
        <w:rPr>
          <w:rFonts w:ascii="Consolas" w:hAnsi="Consolas"/>
          <w:sz w:val="15"/>
        </w:rPr>
        <w:t xml:space="preserve">    "dti": 18.2,</w:t>
      </w:r>
      <w:r>
        <w:br/>
      </w:r>
      <w:r>
        <w:rPr>
          <w:rFonts w:ascii="Consolas" w:hAnsi="Consolas"/>
          <w:sz w:val="15"/>
        </w:rPr>
        <w:t xml:space="preserve">    "emp_length": 5,</w:t>
      </w:r>
      <w:r>
        <w:br/>
      </w:r>
      <w:r>
        <w:rPr>
          <w:rFonts w:ascii="Consolas" w:hAnsi="Consolas"/>
          <w:sz w:val="15"/>
        </w:rPr>
        <w:t xml:space="preserve">    "home_ownership": "RENT"</w:t>
      </w:r>
      <w:r>
        <w:br/>
      </w:r>
      <w:r>
        <w:rPr>
          <w:rFonts w:ascii="Consolas" w:hAnsi="Consolas"/>
          <w:sz w:val="15"/>
        </w:rPr>
        <w:t xml:space="preserve">  }</w:t>
      </w:r>
      <w:r>
        <w:br/>
      </w:r>
      <w:r>
        <w:rPr>
          <w:rFonts w:ascii="Consolas" w:hAnsi="Consolas"/>
          <w:sz w:val="15"/>
        </w:rPr>
        <w:t>}</w:t>
      </w:r>
    </w:p>
    <w:p>
      <w:r>
        <w:t>The example response contains request_id, probability_of_default, score, model_name and model_version. Invalid or missing features return 422 with feature names only; values are not echoed. If the model is blocked or missing, health reports model_loaded=false and prediction returns 503. The API does not make an approve/decline decision.</w:t>
      </w:r>
    </w:p>
    <w:p>
      <w:pPr>
        <w:pStyle w:val="Heading2"/>
      </w:pPr>
      <w:r>
        <w:t>9.2 Security boundary</w:t>
      </w:r>
    </w:p>
    <w:p>
      <w:r>
        <w:t>AUDIT_API_TOKEN enables /audit/* and protects it with a bearer token. If PREDICT_API_TOKEN is configured, /predict also requires a token; otherwise prediction is open for local demos. The README describes these as lightweight demo safeguards. Production needs an identity provider, role-based authorisation, TLS and gateway rate limiting.</w:t>
      </w:r>
    </w:p>
    <w:p>
      <w:pPr>
        <w:pStyle w:val="Heading1"/>
      </w:pPr>
      <w:r>
        <w:t>10. Governance and PMA</w:t>
      </w:r>
    </w:p>
    <w:p>
      <w:pPr>
        <w:pStyle w:val="Heading2"/>
      </w:pPr>
      <w:r>
        <w:t>10.1 Model inventory</w:t>
      </w:r>
    </w:p>
    <w:p>
      <w:r>
        <w:t>governance/model_inventory.yaml is the source of model identity for serving, model card, audit events and reports. The strict schema in governance/inventory.py rejects unknown fields. It can store model name/version/type, owner, purpose, status, artifact path, approvals, review dates, risk tier/rationale, intended use, limitations, use restrictions, findings, references and optional SHA-256.</w:t>
      </w:r>
    </w:p>
    <w:tbl>
      <w:tblPr>
        <w:tblStyle w:val="TableGrid"/>
        <w:tblW w:type="auto" w:w="0"/>
        <w:tblLook w:firstColumn="1" w:firstRow="1" w:lastColumn="0" w:lastRow="0" w:noHBand="0" w:noVBand="1" w:val="04A0"/>
      </w:tblPr>
      <w:tblGrid>
        <w:gridCol w:w="5083"/>
        <w:gridCol w:w="5083"/>
      </w:tblGrid>
      <w:tr>
        <w:tc>
          <w:tcPr>
            <w:tcW w:type="dxa" w:w="3456"/>
            <w:shd w:fill="CFE2F3"/>
          </w:tcPr>
          <w:p>
            <w:r>
              <w:rPr>
                <w:b/>
                <w:sz w:val="16"/>
              </w:rPr>
              <w:t>Inventory status</w:t>
            </w:r>
          </w:p>
        </w:tc>
        <w:tc>
          <w:tcPr>
            <w:tcW w:type="dxa" w:w="6768"/>
            <w:shd w:fill="CFE2F3"/>
          </w:tcPr>
          <w:p>
            <w:r>
              <w:rPr>
                <w:b/>
                <w:sz w:val="16"/>
              </w:rPr>
              <w:t>Serving behaviour</w:t>
            </w:r>
          </w:p>
        </w:tc>
      </w:tr>
      <w:tr>
        <w:tc>
          <w:tcPr>
            <w:tcW w:type="dxa" w:w="3456"/>
          </w:tcPr>
          <w:p>
            <w:pPr>
              <w:spacing w:after="20"/>
            </w:pPr>
            <w:r>
              <w:rPr>
                <w:rFonts w:ascii="Aptos" w:hAnsi="Aptos"/>
                <w:sz w:val="16"/>
              </w:rPr>
              <w:t>draft / under_review</w:t>
            </w:r>
          </w:p>
        </w:tc>
        <w:tc>
          <w:tcPr>
            <w:tcW w:type="dxa" w:w="6768"/>
          </w:tcPr>
          <w:p>
            <w:pPr>
              <w:spacing w:after="20"/>
            </w:pPr>
            <w:r>
              <w:rPr>
                <w:rFonts w:ascii="Aptos" w:hAnsi="Aptos"/>
                <w:sz w:val="16"/>
              </w:rPr>
              <w:t>Blocked by default; demo override may allow.</w:t>
            </w:r>
          </w:p>
        </w:tc>
      </w:tr>
      <w:tr>
        <w:tc>
          <w:tcPr>
            <w:tcW w:type="dxa" w:w="3456"/>
            <w:shd w:fill="F6F8FA"/>
          </w:tcPr>
          <w:p>
            <w:pPr>
              <w:spacing w:after="20"/>
            </w:pPr>
            <w:r>
              <w:rPr>
                <w:rFonts w:ascii="Aptos" w:hAnsi="Aptos"/>
                <w:sz w:val="16"/>
              </w:rPr>
              <w:t>active; review date current</w:t>
            </w:r>
          </w:p>
        </w:tc>
        <w:tc>
          <w:tcPr>
            <w:tcW w:type="dxa" w:w="6768"/>
            <w:shd w:fill="F6F8FA"/>
          </w:tcPr>
          <w:p>
            <w:pPr>
              <w:spacing w:after="20"/>
            </w:pPr>
            <w:r>
              <w:rPr>
                <w:rFonts w:ascii="Aptos" w:hAnsi="Aptos"/>
                <w:sz w:val="16"/>
              </w:rPr>
              <w:t>May serve if all other checks pass.</w:t>
            </w:r>
          </w:p>
        </w:tc>
      </w:tr>
      <w:tr>
        <w:tc>
          <w:tcPr>
            <w:tcW w:type="dxa" w:w="3456"/>
          </w:tcPr>
          <w:p>
            <w:pPr>
              <w:spacing w:after="20"/>
            </w:pPr>
            <w:r>
              <w:rPr>
                <w:rFonts w:ascii="Aptos" w:hAnsi="Aptos"/>
                <w:sz w:val="16"/>
              </w:rPr>
              <w:t>active; review overdue</w:t>
            </w:r>
          </w:p>
        </w:tc>
        <w:tc>
          <w:tcPr>
            <w:tcW w:type="dxa" w:w="6768"/>
          </w:tcPr>
          <w:p>
            <w:pPr>
              <w:spacing w:after="20"/>
            </w:pPr>
            <w:r>
              <w:rPr>
                <w:rFonts w:ascii="Aptos" w:hAnsi="Aptos"/>
                <w:sz w:val="16"/>
              </w:rPr>
              <w:t>Blocked by default; local demo override may allow.</w:t>
            </w:r>
          </w:p>
        </w:tc>
      </w:tr>
      <w:tr>
        <w:tc>
          <w:tcPr>
            <w:tcW w:type="dxa" w:w="3456"/>
            <w:shd w:fill="F6F8FA"/>
          </w:tcPr>
          <w:p>
            <w:pPr>
              <w:spacing w:after="20"/>
            </w:pPr>
            <w:r>
              <w:rPr>
                <w:rFonts w:ascii="Aptos" w:hAnsi="Aptos"/>
                <w:sz w:val="16"/>
              </w:rPr>
              <w:t>suspended / retired</w:t>
            </w:r>
          </w:p>
        </w:tc>
        <w:tc>
          <w:tcPr>
            <w:tcW w:type="dxa" w:w="6768"/>
            <w:shd w:fill="F6F8FA"/>
          </w:tcPr>
          <w:p>
            <w:pPr>
              <w:spacing w:after="20"/>
            </w:pPr>
            <w:r>
              <w:rPr>
                <w:rFonts w:ascii="Aptos" w:hAnsi="Aptos"/>
                <w:sz w:val="16"/>
              </w:rPr>
              <w:t>Never served.</w:t>
            </w:r>
          </w:p>
        </w:tc>
      </w:tr>
    </w:tbl>
    <w:p/>
    <w:p>
      <w:r>
        <w:t>ALLOW_UNREVIEWED_MODEL=true is intended for local demos only. CI/CD does not set it. The shipped champion entry is marked active and has approval fields, but the README explicitly cautions that these fields are not evidence of independent validation because the model is a synthetic-data demonstration.</w:t>
      </w:r>
    </w:p>
    <w:p>
      <w:pPr>
        <w:pStyle w:val="Heading2"/>
      </w:pPr>
      <w:r>
        <w:t>10.2 Findings and PMA register</w:t>
      </w:r>
    </w:p>
    <w:p>
      <w:r>
        <w:t>Inventory findings can record ID, title, severity, action owner, due date, status and closure evidence. governance/pma_log.csv is separate: it records post-model overlays/adjustments with type, direction, magnitude, unit, rationale, effective/review/expiry dates, owner, approver, approval state and evidence reference.</w:t>
      </w:r>
    </w:p>
    <w:p>
      <w:pPr>
        <w:pStyle w:val="ListBullet"/>
        <w:spacing w:after="40"/>
      </w:pPr>
      <w:r>
        <w:t>Date rule: effective_date ≤ review_date ≤ expiry_date.</w:t>
      </w:r>
    </w:p>
    <w:p>
      <w:pPr>
        <w:pStyle w:val="ListBullet"/>
        <w:spacing w:after="40"/>
      </w:pPr>
      <w:r>
        <w:t>An approved adjustment must have an approver distinct from its owner.</w:t>
      </w:r>
    </w:p>
    <w:p>
      <w:pPr>
        <w:pStyle w:val="ListBullet"/>
        <w:spacing w:after="40"/>
      </w:pPr>
      <w:r>
        <w:t>The register can report active, overdue-for-review and expired adjustments.</w:t>
      </w:r>
    </w:p>
    <w:p>
      <w:r>
        <w:t>The PMA register tracks adjustments to model outputs; the hash-chained change log records events such as training, validation, inventory changes and monitoring alerts. The repository docs describe the PMA register as empty.</w:t>
      </w:r>
    </w:p>
    <w:p>
      <w:pPr>
        <w:pStyle w:val="Heading1"/>
      </w:pPr>
      <w:r>
        <w:t>11. Audit trail and evidence integrity</w:t>
      </w:r>
    </w:p>
    <w:p>
      <w:r>
        <w:t>governance/audit.py writes daily-rotated JSONL files into decisions/, changes/ and monitoring/. Each record has prev_hash and a SHA-256 record_hash computed from canonical JSON. Editing, deleting or reordering a record breaks the chain and is detected by verification.</w:t>
      </w:r>
    </w:p>
    <w:tbl>
      <w:tblPr>
        <w:tblStyle w:val="TableGrid"/>
        <w:tblW w:type="auto" w:w="0"/>
        <w:tblLook w:firstColumn="1" w:firstRow="1" w:lastColumn="0" w:lastRow="0" w:noHBand="0" w:noVBand="1" w:val="04A0"/>
      </w:tblPr>
      <w:tblGrid>
        <w:gridCol w:w="5083"/>
        <w:gridCol w:w="5083"/>
      </w:tblGrid>
      <w:tr>
        <w:tc>
          <w:tcPr>
            <w:tcW w:type="dxa" w:w="2160"/>
            <w:shd w:fill="CFE2F3"/>
          </w:tcPr>
          <w:p>
            <w:r>
              <w:rPr>
                <w:b/>
                <w:sz w:val="16"/>
              </w:rPr>
              <w:t>Category</w:t>
            </w:r>
          </w:p>
        </w:tc>
        <w:tc>
          <w:tcPr>
            <w:tcW w:type="dxa" w:w="8064"/>
            <w:shd w:fill="CFE2F3"/>
          </w:tcPr>
          <w:p>
            <w:r>
              <w:rPr>
                <w:b/>
                <w:sz w:val="16"/>
              </w:rPr>
              <w:t>Contents</w:t>
            </w:r>
          </w:p>
        </w:tc>
      </w:tr>
      <w:tr>
        <w:tc>
          <w:tcPr>
            <w:tcW w:type="dxa" w:w="2160"/>
          </w:tcPr>
          <w:p>
            <w:pPr>
              <w:spacing w:after="20"/>
            </w:pPr>
            <w:r>
              <w:rPr>
                <w:rFonts w:ascii="Aptos" w:hAnsi="Aptos"/>
                <w:sz w:val="16"/>
              </w:rPr>
              <w:t>decisions/</w:t>
            </w:r>
          </w:p>
        </w:tc>
        <w:tc>
          <w:tcPr>
            <w:tcW w:type="dxa" w:w="8064"/>
          </w:tcPr>
          <w:p>
            <w:pPr>
              <w:spacing w:after="20"/>
            </w:pPr>
            <w:r>
              <w:rPr>
                <w:rFonts w:ascii="Aptos" w:hAnsi="Aptos"/>
                <w:sz w:val="16"/>
              </w:rPr>
              <w:t>Request ID, UTC timestamp, model/version/status, PD, score, feature names, latency, environment and safe client identifier if supplied.</w:t>
            </w:r>
          </w:p>
        </w:tc>
      </w:tr>
      <w:tr>
        <w:tc>
          <w:tcPr>
            <w:tcW w:type="dxa" w:w="2160"/>
            <w:shd w:fill="F6F8FA"/>
          </w:tcPr>
          <w:p>
            <w:pPr>
              <w:spacing w:after="20"/>
            </w:pPr>
            <w:r>
              <w:rPr>
                <w:rFonts w:ascii="Aptos" w:hAnsi="Aptos"/>
                <w:sz w:val="16"/>
              </w:rPr>
              <w:t>changes/</w:t>
            </w:r>
          </w:p>
        </w:tc>
        <w:tc>
          <w:tcPr>
            <w:tcW w:type="dxa" w:w="8064"/>
            <w:shd w:fill="F6F8FA"/>
          </w:tcPr>
          <w:p>
            <w:pPr>
              <w:spacing w:after="20"/>
            </w:pPr>
            <w:r>
              <w:rPr>
                <w:rFonts w:ascii="Aptos" w:hAnsi="Aptos"/>
                <w:sz w:val="16"/>
              </w:rPr>
              <w:t>Training, validation, inventory/PMA changes and monitoring alerts.</w:t>
            </w:r>
          </w:p>
        </w:tc>
      </w:tr>
      <w:tr>
        <w:tc>
          <w:tcPr>
            <w:tcW w:type="dxa" w:w="2160"/>
          </w:tcPr>
          <w:p>
            <w:pPr>
              <w:spacing w:after="20"/>
            </w:pPr>
            <w:r>
              <w:rPr>
                <w:rFonts w:ascii="Aptos" w:hAnsi="Aptos"/>
                <w:sz w:val="16"/>
              </w:rPr>
              <w:t>monitoring/</w:t>
            </w:r>
          </w:p>
        </w:tc>
        <w:tc>
          <w:tcPr>
            <w:tcW w:type="dxa" w:w="8064"/>
          </w:tcPr>
          <w:p>
            <w:pPr>
              <w:spacing w:after="20"/>
            </w:pPr>
            <w:r>
              <w:rPr>
                <w:rFonts w:ascii="Aptos" w:hAnsi="Aptos"/>
                <w:sz w:val="16"/>
              </w:rPr>
              <w:t>One record per monitoring run.</w:t>
            </w:r>
          </w:p>
        </w:tc>
      </w:tr>
    </w:tbl>
    <w:p/>
    <w:p>
      <w:pPr>
        <w:pStyle w:val="ListBullet"/>
        <w:spacing w:after="40"/>
      </w:pPr>
      <w:r>
        <w:t>Raw feature values, customer identifiers, credentials and IP addresses are not stored in prediction audit records.</w:t>
      </w:r>
    </w:p>
    <w:p>
      <w:pPr>
        <w:pStyle w:val="ListBullet"/>
        <w:spacing w:after="40"/>
      </w:pPr>
      <w:r>
        <w:t>AUDIT_FAIL_CLOSED=true is the documented default: if audit persistence fails, prediction returns 503 instead of returning an unlogged score.</w:t>
      </w:r>
    </w:p>
    <w:p>
      <w:pPr>
        <w:pStyle w:val="ListBullet"/>
        <w:spacing w:after="40"/>
      </w:pPr>
      <w:r>
        <w:t>AUDIT_FAIL_CLOSED=false is demo-only fail-open behaviour.</w:t>
      </w:r>
    </w:p>
    <w:p>
      <w:pPr>
        <w:spacing w:after="120"/>
        <w:ind w:left="216"/>
        <w:shd w:fill="F2F4F7"/>
      </w:pPr>
      <w:r>
        <w:rPr>
          <w:rFonts w:ascii="Consolas" w:hAnsi="Consolas"/>
          <w:sz w:val="15"/>
        </w:rPr>
        <w:t>python -m credit_risk_model.governance.audit verify</w:t>
      </w:r>
      <w:r>
        <w:br/>
      </w:r>
      <w:r>
        <w:rPr>
          <w:rFonts w:ascii="Consolas" w:hAnsi="Consolas"/>
          <w:sz w:val="15"/>
        </w:rPr>
        <w:t>python -m credit_risk_model.governance.audit prune</w:t>
      </w:r>
    </w:p>
    <w:p>
      <w:r>
        <w:t>This is tamper evidence, not tamper prevention. A writer can rewrite an entire file and its chain; deleting a whole daily file may only be visible as a date gap. The implementation assumes a single writer process. Stronger assurance needs immutable storage, external hash anchoring, access separation and retention monitoring.</w:t>
      </w:r>
    </w:p>
    <w:p>
      <w:pPr>
        <w:pStyle w:val="Heading1"/>
      </w:pPr>
      <w:r>
        <w:t>12. Reports, governance and regulatory framing</w:t>
      </w:r>
    </w:p>
    <w:p>
      <w:r>
        <w:t>The single Jinja2 template consolidates purpose/metadata, split description, data review, performance metrics, stability/OOT, challenger results, sensitivity, WoE/IV, automated findings, limitations, not-assessed topics and sign-off placeholders. Optional PDF export is supported by the pdf extra.</w:t>
      </w:r>
    </w:p>
    <w:p>
      <w:r>
        <w:t>A generated report is not a validation opinion. A reviewer must independently assess conceptual soundness, feature availability, target definition, sample representativeness, label maturity, calibration, segment performance, limitations, monitoring thresholds and restrictions. Findings should have severity, owner, due date and closure evidence.</w:t>
      </w:r>
    </w:p>
    <w:p>
      <w:r>
        <w:t>The code does not implement a complete PRA SS1/23 compliance mapping, IFRS 9 expected-credit-loss methodology, or IRB capital methodology. It explicitly marks ECL/IRB calibration, conceptual soundness, data lineage and use testing as not assessed. A regulated institution must map the evidence to its current policy and applicable requirements and obtain the required independent approvals.</w:t>
      </w:r>
    </w:p>
    <w:p>
      <w:pPr>
        <w:pStyle w:val="Heading1"/>
      </w:pPr>
      <w:r>
        <w:t>13. Installation and commands</w:t>
      </w:r>
    </w:p>
    <w:p>
      <w:pPr>
        <w:pStyle w:val="Heading2"/>
      </w:pPr>
      <w:r>
        <w:t>13.1 Windows Command Prompt</w:t>
      </w:r>
    </w:p>
    <w:p>
      <w:pPr>
        <w:spacing w:after="120"/>
        <w:ind w:left="216"/>
        <w:shd w:fill="F2F4F7"/>
      </w:pPr>
      <w:r>
        <w:rPr>
          <w:rFonts w:ascii="Consolas" w:hAnsi="Consolas"/>
          <w:sz w:val="15"/>
        </w:rPr>
        <w:t>git clone https://github.com/DataDynamoShweta/Credit_Risk_Model.git</w:t>
      </w:r>
      <w:r>
        <w:br/>
      </w:r>
      <w:r>
        <w:rPr>
          <w:rFonts w:ascii="Consolas" w:hAnsi="Consolas"/>
          <w:sz w:val="15"/>
        </w:rPr>
        <w:t>cd Credit_Risk_Model</w:t>
      </w:r>
      <w:r>
        <w:br/>
      </w:r>
      <w:r>
        <w:rPr>
          <w:rFonts w:ascii="Consolas" w:hAnsi="Consolas"/>
          <w:sz w:val="15"/>
        </w:rPr>
        <w:t>py -3.11 -m venv .venv</w:t>
      </w:r>
      <w:r>
        <w:br/>
      </w:r>
      <w:r>
        <w:rPr>
          <w:rFonts w:ascii="Consolas" w:hAnsi="Consolas"/>
          <w:sz w:val="15"/>
        </w:rPr>
        <w:t>.venv\Scripts\activate.bat</w:t>
      </w:r>
      <w:r>
        <w:br/>
      </w:r>
      <w:r>
        <w:rPr>
          <w:rFonts w:ascii="Consolas" w:hAnsi="Consolas"/>
          <w:sz w:val="15"/>
        </w:rPr>
        <w:t>python -m pip install --upgrade pip</w:t>
      </w:r>
      <w:r>
        <w:br/>
      </w:r>
      <w:r>
        <w:rPr>
          <w:rFonts w:ascii="Consolas" w:hAnsi="Consolas"/>
          <w:sz w:val="15"/>
        </w:rPr>
        <w:t>pip install -e ".[dev]"</w:t>
      </w:r>
      <w:r>
        <w:br/>
      </w:r>
      <w:r>
        <w:rPr>
          <w:rFonts w:ascii="Consolas" w:hAnsi="Consolas"/>
          <w:sz w:val="15"/>
        </w:rPr>
        <w:t>copy .env.example .env</w:t>
      </w:r>
      <w:r>
        <w:br/>
      </w:r>
      <w:r>
        <w:rPr>
          <w:rFonts w:ascii="Consolas" w:hAnsi="Consolas"/>
          <w:sz w:val="15"/>
        </w:rPr>
        <w:t>python pipelines\train.py</w:t>
      </w:r>
      <w:r>
        <w:br/>
      </w:r>
      <w:r>
        <w:rPr>
          <w:rFonts w:ascii="Consolas" w:hAnsi="Consolas"/>
          <w:sz w:val="15"/>
        </w:rPr>
        <w:t>python pipelines\validate.py</w:t>
      </w:r>
      <w:r>
        <w:br/>
      </w:r>
      <w:r>
        <w:rPr>
          <w:rFonts w:ascii="Consolas" w:hAnsi="Consolas"/>
          <w:sz w:val="15"/>
        </w:rPr>
        <w:t>uvicorn api.main:app --reload</w:t>
      </w:r>
    </w:p>
    <w:p>
      <w:pPr>
        <w:pStyle w:val="Heading2"/>
      </w:pPr>
      <w:r>
        <w:t>13.2 PowerShell</w:t>
      </w:r>
    </w:p>
    <w:p>
      <w:pPr>
        <w:spacing w:after="120"/>
        <w:ind w:left="216"/>
        <w:shd w:fill="F2F4F7"/>
      </w:pPr>
      <w:r>
        <w:rPr>
          <w:rFonts w:ascii="Consolas" w:hAnsi="Consolas"/>
          <w:sz w:val="15"/>
        </w:rPr>
        <w:t>git clone https://github.com/DataDynamoShweta/Credit_Risk_Model.git</w:t>
      </w:r>
      <w:r>
        <w:br/>
      </w:r>
      <w:r>
        <w:rPr>
          <w:rFonts w:ascii="Consolas" w:hAnsi="Consolas"/>
          <w:sz w:val="15"/>
        </w:rPr>
        <w:t>cd Credit_Risk_Model</w:t>
      </w:r>
      <w:r>
        <w:br/>
      </w:r>
      <w:r>
        <w:rPr>
          <w:rFonts w:ascii="Consolas" w:hAnsi="Consolas"/>
          <w:sz w:val="15"/>
        </w:rPr>
        <w:t>py -3.11 -m venv .venv</w:t>
      </w:r>
      <w:r>
        <w:br/>
      </w:r>
      <w:r>
        <w:rPr>
          <w:rFonts w:ascii="Consolas" w:hAnsi="Consolas"/>
          <w:sz w:val="15"/>
        </w:rPr>
        <w:t>.venv\Scripts\Activate.ps1</w:t>
      </w:r>
      <w:r>
        <w:br/>
      </w:r>
      <w:r>
        <w:rPr>
          <w:rFonts w:ascii="Consolas" w:hAnsi="Consolas"/>
          <w:sz w:val="15"/>
        </w:rPr>
        <w:t>python -m pip install --upgrade pip</w:t>
      </w:r>
      <w:r>
        <w:br/>
      </w:r>
      <w:r>
        <w:rPr>
          <w:rFonts w:ascii="Consolas" w:hAnsi="Consolas"/>
          <w:sz w:val="15"/>
        </w:rPr>
        <w:t>pip install -e ".[dev]"</w:t>
      </w:r>
      <w:r>
        <w:br/>
      </w:r>
      <w:r>
        <w:rPr>
          <w:rFonts w:ascii="Consolas" w:hAnsi="Consolas"/>
          <w:sz w:val="15"/>
        </w:rPr>
        <w:t>Copy-Item .env.example .env</w:t>
      </w:r>
      <w:r>
        <w:br/>
      </w:r>
      <w:r>
        <w:rPr>
          <w:rFonts w:ascii="Consolas" w:hAnsi="Consolas"/>
          <w:sz w:val="15"/>
        </w:rPr>
        <w:t>python pipelines/train.py</w:t>
      </w:r>
      <w:r>
        <w:br/>
      </w:r>
      <w:r>
        <w:rPr>
          <w:rFonts w:ascii="Consolas" w:hAnsi="Consolas"/>
          <w:sz w:val="15"/>
        </w:rPr>
        <w:t>python pipelines/validate.py</w:t>
      </w:r>
      <w:r>
        <w:br/>
      </w:r>
      <w:r>
        <w:rPr>
          <w:rFonts w:ascii="Consolas" w:hAnsi="Consolas"/>
          <w:sz w:val="15"/>
        </w:rPr>
        <w:t>uvicorn api.main:app --reload</w:t>
      </w:r>
    </w:p>
    <w:p>
      <w:pPr>
        <w:pStyle w:val="Heading2"/>
      </w:pPr>
      <w:r>
        <w:t>13.3 Tests and API smoke test</w:t>
      </w:r>
    </w:p>
    <w:p>
      <w:pPr>
        <w:spacing w:after="120"/>
        <w:ind w:left="216"/>
        <w:shd w:fill="F2F4F7"/>
      </w:pPr>
      <w:r>
        <w:rPr>
          <w:rFonts w:ascii="Consolas" w:hAnsi="Consolas"/>
          <w:sz w:val="15"/>
        </w:rPr>
        <w:t>pytest</w:t>
      </w:r>
      <w:r>
        <w:br/>
      </w:r>
      <w:r>
        <w:rPr>
          <w:rFonts w:ascii="Consolas" w:hAnsi="Consolas"/>
          <w:sz w:val="15"/>
        </w:rPr>
        <w:t>ruff check src api pipelines tests scripts</w:t>
      </w:r>
      <w:r>
        <w:br/>
      </w:r>
      <w:r>
        <w:rPr>
          <w:rFonts w:ascii="Consolas" w:hAnsi="Consolas"/>
          <w:sz w:val="15"/>
        </w:rPr>
        <w:t>python -m credit_risk_model.governance.audit verify</w:t>
      </w:r>
      <w:r>
        <w:br/>
      </w:r>
      <w:r>
        <w:rPr>
          <w:rFonts w:ascii="Consolas" w:hAnsi="Consolas"/>
          <w:sz w:val="15"/>
        </w:rPr>
        <w:t>python scripts/smoke_test.py --url http://localhost:8000</w:t>
      </w:r>
      <w:r>
        <w:br/>
      </w:r>
      <w:r>
        <w:rPr>
          <w:rFonts w:ascii="Consolas" w:hAnsi="Consolas"/>
          <w:sz w:val="15"/>
        </w:rPr>
        <w:t># Swagger UI: http://127.0.0.1:8000/docs</w:t>
      </w:r>
    </w:p>
    <w:tbl>
      <w:tblPr>
        <w:tblStyle w:val="TableGrid"/>
        <w:tblW w:type="auto" w:w="0"/>
        <w:tblLook w:firstColumn="1" w:firstRow="1" w:lastColumn="0" w:lastRow="0" w:noHBand="0" w:noVBand="1" w:val="04A0"/>
      </w:tblPr>
      <w:tblGrid>
        <w:gridCol w:w="3389"/>
        <w:gridCol w:w="3389"/>
        <w:gridCol w:w="3389"/>
      </w:tblGrid>
      <w:tr>
        <w:tc>
          <w:tcPr>
            <w:tcW w:type="dxa" w:w="1872"/>
            <w:shd w:fill="CFE2F3"/>
          </w:tcPr>
          <w:p>
            <w:r>
              <w:rPr>
                <w:b/>
                <w:sz w:val="15"/>
              </w:rPr>
              <w:t>Optional extra</w:t>
            </w:r>
          </w:p>
        </w:tc>
        <w:tc>
          <w:tcPr>
            <w:tcW w:type="dxa" w:w="4032"/>
            <w:shd w:fill="CFE2F3"/>
          </w:tcPr>
          <w:p>
            <w:r>
              <w:rPr>
                <w:b/>
                <w:sz w:val="15"/>
              </w:rPr>
              <w:t>Install command</w:t>
            </w:r>
          </w:p>
        </w:tc>
        <w:tc>
          <w:tcPr>
            <w:tcW w:type="dxa" w:w="4320"/>
            <w:shd w:fill="CFE2F3"/>
          </w:tcPr>
          <w:p>
            <w:r>
              <w:rPr>
                <w:b/>
                <w:sz w:val="15"/>
              </w:rPr>
              <w:t>Adds</w:t>
            </w:r>
          </w:p>
        </w:tc>
      </w:tr>
      <w:tr>
        <w:tc>
          <w:tcPr>
            <w:tcW w:type="dxa" w:w="1872"/>
          </w:tcPr>
          <w:p>
            <w:pPr>
              <w:spacing w:after="20"/>
            </w:pPr>
            <w:r>
              <w:rPr>
                <w:rFonts w:ascii="Aptos" w:hAnsi="Aptos"/>
                <w:sz w:val="15"/>
              </w:rPr>
              <w:t>registry</w:t>
            </w:r>
          </w:p>
        </w:tc>
        <w:tc>
          <w:tcPr>
            <w:tcW w:type="dxa" w:w="4032"/>
          </w:tcPr>
          <w:p>
            <w:pPr>
              <w:spacing w:after="20"/>
            </w:pPr>
            <w:r>
              <w:rPr>
                <w:rFonts w:ascii="Aptos" w:hAnsi="Aptos"/>
                <w:sz w:val="15"/>
              </w:rPr>
              <w:t>pip install -e '.[registry]'</w:t>
            </w:r>
          </w:p>
        </w:tc>
        <w:tc>
          <w:tcPr>
            <w:tcW w:type="dxa" w:w="4320"/>
          </w:tcPr>
          <w:p>
            <w:pPr>
              <w:spacing w:after="20"/>
            </w:pPr>
            <w:r>
              <w:rPr>
                <w:rFonts w:ascii="Aptos" w:hAnsi="Aptos"/>
                <w:sz w:val="15"/>
              </w:rPr>
              <w:t>MLflow.</w:t>
            </w:r>
          </w:p>
        </w:tc>
      </w:tr>
      <w:tr>
        <w:tc>
          <w:tcPr>
            <w:tcW w:type="dxa" w:w="1872"/>
            <w:shd w:fill="F6F8FA"/>
          </w:tcPr>
          <w:p>
            <w:pPr>
              <w:spacing w:after="20"/>
            </w:pPr>
            <w:r>
              <w:rPr>
                <w:rFonts w:ascii="Aptos" w:hAnsi="Aptos"/>
                <w:sz w:val="15"/>
              </w:rPr>
              <w:t>pdf</w:t>
            </w:r>
          </w:p>
        </w:tc>
        <w:tc>
          <w:tcPr>
            <w:tcW w:type="dxa" w:w="4032"/>
            <w:shd w:fill="F6F8FA"/>
          </w:tcPr>
          <w:p>
            <w:pPr>
              <w:spacing w:after="20"/>
            </w:pPr>
            <w:r>
              <w:rPr>
                <w:rFonts w:ascii="Aptos" w:hAnsi="Aptos"/>
                <w:sz w:val="15"/>
              </w:rPr>
              <w:t>pip install -e '.[pdf]'</w:t>
            </w:r>
          </w:p>
        </w:tc>
        <w:tc>
          <w:tcPr>
            <w:tcW w:type="dxa" w:w="4320"/>
            <w:shd w:fill="F6F8FA"/>
          </w:tcPr>
          <w:p>
            <w:pPr>
              <w:spacing w:after="20"/>
            </w:pPr>
            <w:r>
              <w:rPr>
                <w:rFonts w:ascii="Aptos" w:hAnsi="Aptos"/>
                <w:sz w:val="15"/>
              </w:rPr>
              <w:t>Markdown + WeasyPrint PDF export.</w:t>
            </w:r>
          </w:p>
        </w:tc>
      </w:tr>
      <w:tr>
        <w:tc>
          <w:tcPr>
            <w:tcW w:type="dxa" w:w="1872"/>
          </w:tcPr>
          <w:p>
            <w:pPr>
              <w:spacing w:after="20"/>
            </w:pPr>
            <w:r>
              <w:rPr>
                <w:rFonts w:ascii="Aptos" w:hAnsi="Aptos"/>
                <w:sz w:val="15"/>
              </w:rPr>
              <w:t>monitoring</w:t>
            </w:r>
          </w:p>
        </w:tc>
        <w:tc>
          <w:tcPr>
            <w:tcW w:type="dxa" w:w="4032"/>
          </w:tcPr>
          <w:p>
            <w:pPr>
              <w:spacing w:after="20"/>
            </w:pPr>
            <w:r>
              <w:rPr>
                <w:rFonts w:ascii="Aptos" w:hAnsi="Aptos"/>
                <w:sz w:val="15"/>
              </w:rPr>
              <w:t>pip install -e '.[monitoring]'</w:t>
            </w:r>
          </w:p>
        </w:tc>
        <w:tc>
          <w:tcPr>
            <w:tcW w:type="dxa" w:w="4320"/>
          </w:tcPr>
          <w:p>
            <w:pPr>
              <w:spacing w:after="20"/>
            </w:pPr>
            <w:r>
              <w:rPr>
                <w:rFonts w:ascii="Aptos" w:hAnsi="Aptos"/>
                <w:sz w:val="15"/>
              </w:rPr>
              <w:t>Evidently integration.</w:t>
            </w:r>
          </w:p>
        </w:tc>
      </w:tr>
      <w:tr>
        <w:tc>
          <w:tcPr>
            <w:tcW w:type="dxa" w:w="1872"/>
            <w:shd w:fill="F6F8FA"/>
          </w:tcPr>
          <w:p>
            <w:pPr>
              <w:spacing w:after="20"/>
            </w:pPr>
            <w:r>
              <w:rPr>
                <w:rFonts w:ascii="Aptos" w:hAnsi="Aptos"/>
                <w:sz w:val="15"/>
              </w:rPr>
              <w:t>challengers</w:t>
            </w:r>
          </w:p>
        </w:tc>
        <w:tc>
          <w:tcPr>
            <w:tcW w:type="dxa" w:w="4032"/>
            <w:shd w:fill="F6F8FA"/>
          </w:tcPr>
          <w:p>
            <w:pPr>
              <w:spacing w:after="20"/>
            </w:pPr>
            <w:r>
              <w:rPr>
                <w:rFonts w:ascii="Aptos" w:hAnsi="Aptos"/>
                <w:sz w:val="15"/>
              </w:rPr>
              <w:t>pip install -e '.[challengers]'</w:t>
            </w:r>
          </w:p>
        </w:tc>
        <w:tc>
          <w:tcPr>
            <w:tcW w:type="dxa" w:w="4320"/>
            <w:shd w:fill="F6F8FA"/>
          </w:tcPr>
          <w:p>
            <w:pPr>
              <w:spacing w:after="20"/>
            </w:pPr>
            <w:r>
              <w:rPr>
                <w:rFonts w:ascii="Aptos" w:hAnsi="Aptos"/>
                <w:sz w:val="15"/>
              </w:rPr>
              <w:t>XGBoost and LightGBM.</w:t>
            </w:r>
          </w:p>
        </w:tc>
      </w:tr>
      <w:tr>
        <w:tc>
          <w:tcPr>
            <w:tcW w:type="dxa" w:w="1872"/>
          </w:tcPr>
          <w:p>
            <w:pPr>
              <w:spacing w:after="20"/>
            </w:pPr>
            <w:r>
              <w:rPr>
                <w:rFonts w:ascii="Aptos" w:hAnsi="Aptos"/>
                <w:sz w:val="15"/>
              </w:rPr>
              <w:t>explain</w:t>
            </w:r>
          </w:p>
        </w:tc>
        <w:tc>
          <w:tcPr>
            <w:tcW w:type="dxa" w:w="4032"/>
          </w:tcPr>
          <w:p>
            <w:pPr>
              <w:spacing w:after="20"/>
            </w:pPr>
            <w:r>
              <w:rPr>
                <w:rFonts w:ascii="Aptos" w:hAnsi="Aptos"/>
                <w:sz w:val="15"/>
              </w:rPr>
              <w:t>pip install -e '.[explain]'</w:t>
            </w:r>
          </w:p>
        </w:tc>
        <w:tc>
          <w:tcPr>
            <w:tcW w:type="dxa" w:w="4320"/>
          </w:tcPr>
          <w:p>
            <w:pPr>
              <w:spacing w:after="20"/>
            </w:pPr>
            <w:r>
              <w:rPr>
                <w:rFonts w:ascii="Aptos" w:hAnsi="Aptos"/>
                <w:sz w:val="15"/>
              </w:rPr>
              <w:t>SHAP explainability.</w:t>
            </w:r>
          </w:p>
        </w:tc>
      </w:tr>
    </w:tbl>
    <w:p/>
    <w:p>
      <w:r>
        <w:t>For the LendingClub CSV, run git lfs install and git lfs pull before training. Run commands from the repository root unless PROJECT_ROOT is configured. Inspect setup_and_run.bat before using the Windows convenience launcher.</w:t>
      </w:r>
    </w:p>
    <w:p>
      <w:pPr>
        <w:pStyle w:val="Heading1"/>
      </w:pPr>
      <w:r>
        <w:t>14. Docker, CI/CD and nightly monitoring</w:t>
      </w:r>
    </w:p>
    <w:tbl>
      <w:tblPr>
        <w:tblStyle w:val="TableGrid"/>
        <w:tblW w:type="auto" w:w="0"/>
        <w:tblLook w:firstColumn="1" w:firstRow="1" w:lastColumn="0" w:lastRow="0" w:noHBand="0" w:noVBand="1" w:val="04A0"/>
      </w:tblPr>
      <w:tblGrid>
        <w:gridCol w:w="3389"/>
        <w:gridCol w:w="3389"/>
        <w:gridCol w:w="3389"/>
      </w:tblGrid>
      <w:tr>
        <w:tc>
          <w:tcPr>
            <w:tcW w:type="dxa" w:w="3024"/>
            <w:shd w:fill="CFE2F3"/>
          </w:tcPr>
          <w:p>
            <w:r>
              <w:rPr>
                <w:b/>
                <w:sz w:val="15"/>
              </w:rPr>
              <w:t>Workflow</w:t>
            </w:r>
          </w:p>
        </w:tc>
        <w:tc>
          <w:tcPr>
            <w:tcW w:type="dxa" w:w="2232"/>
            <w:shd w:fill="CFE2F3"/>
          </w:tcPr>
          <w:p>
            <w:r>
              <w:rPr>
                <w:b/>
                <w:sz w:val="15"/>
              </w:rPr>
              <w:t>Trigger</w:t>
            </w:r>
          </w:p>
        </w:tc>
        <w:tc>
          <w:tcPr>
            <w:tcW w:type="dxa" w:w="4968"/>
            <w:shd w:fill="CFE2F3"/>
          </w:tcPr>
          <w:p>
            <w:r>
              <w:rPr>
                <w:b/>
                <w:sz w:val="15"/>
              </w:rPr>
              <w:t>What it does</w:t>
            </w:r>
          </w:p>
        </w:tc>
      </w:tr>
      <w:tr>
        <w:tc>
          <w:tcPr>
            <w:tcW w:type="dxa" w:w="3024"/>
          </w:tcPr>
          <w:p>
            <w:pPr>
              <w:spacing w:after="20"/>
            </w:pPr>
            <w:r>
              <w:rPr>
                <w:rFonts w:ascii="Aptos" w:hAnsi="Aptos"/>
                <w:sz w:val="15"/>
              </w:rPr>
              <w:t>CI: .github/workflows/ci.yml</w:t>
            </w:r>
          </w:p>
        </w:tc>
        <w:tc>
          <w:tcPr>
            <w:tcW w:type="dxa" w:w="2232"/>
          </w:tcPr>
          <w:p>
            <w:pPr>
              <w:spacing w:after="20"/>
            </w:pPr>
            <w:r>
              <w:rPr>
                <w:rFonts w:ascii="Aptos" w:hAnsi="Aptos"/>
                <w:sz w:val="15"/>
              </w:rPr>
              <w:t>Push / pull request</w:t>
            </w:r>
          </w:p>
        </w:tc>
        <w:tc>
          <w:tcPr>
            <w:tcW w:type="dxa" w:w="4968"/>
          </w:tcPr>
          <w:p>
            <w:pPr>
              <w:spacing w:after="20"/>
            </w:pPr>
            <w:r>
              <w:rPr>
                <w:rFonts w:ascii="Aptos" w:hAnsi="Aptos"/>
                <w:sz w:val="15"/>
              </w:rPr>
              <w:t>Ruff and pytest on Python 3.10–3.12; end-to-end train→validate→monitor→audit verify; Docker build and smoke test.</w:t>
            </w:r>
          </w:p>
        </w:tc>
      </w:tr>
      <w:tr>
        <w:tc>
          <w:tcPr>
            <w:tcW w:type="dxa" w:w="3024"/>
            <w:shd w:fill="F6F8FA"/>
          </w:tcPr>
          <w:p>
            <w:pPr>
              <w:spacing w:after="20"/>
            </w:pPr>
            <w:r>
              <w:rPr>
                <w:rFonts w:ascii="Aptos" w:hAnsi="Aptos"/>
                <w:sz w:val="15"/>
              </w:rPr>
              <w:t>CD: .github/workflows/cd.yml</w:t>
            </w:r>
          </w:p>
        </w:tc>
        <w:tc>
          <w:tcPr>
            <w:tcW w:type="dxa" w:w="2232"/>
            <w:shd w:fill="F6F8FA"/>
          </w:tcPr>
          <w:p>
            <w:pPr>
              <w:spacing w:after="20"/>
            </w:pPr>
            <w:r>
              <w:rPr>
                <w:rFonts w:ascii="Aptos" w:hAnsi="Aptos"/>
                <w:sz w:val="15"/>
              </w:rPr>
              <w:t>main, v* tags, manual</w:t>
            </w:r>
          </w:p>
        </w:tc>
        <w:tc>
          <w:tcPr>
            <w:tcW w:type="dxa" w:w="4968"/>
            <w:shd w:fill="F6F8FA"/>
          </w:tcPr>
          <w:p>
            <w:pPr>
              <w:spacing w:after="20"/>
            </w:pPr>
            <w:r>
              <w:rPr>
                <w:rFonts w:ascii="Aptos" w:hAnsi="Aptos"/>
                <w:sz w:val="15"/>
              </w:rPr>
              <w:t>Builds and smoke-tests image, publishes to GitHub Container Registry.</w:t>
            </w:r>
          </w:p>
        </w:tc>
      </w:tr>
      <w:tr>
        <w:tc>
          <w:tcPr>
            <w:tcW w:type="dxa" w:w="3024"/>
          </w:tcPr>
          <w:p>
            <w:pPr>
              <w:spacing w:after="20"/>
            </w:pPr>
            <w:r>
              <w:rPr>
                <w:rFonts w:ascii="Aptos" w:hAnsi="Aptos"/>
                <w:sz w:val="15"/>
              </w:rPr>
              <w:t>Nightly monitoring</w:t>
            </w:r>
          </w:p>
        </w:tc>
        <w:tc>
          <w:tcPr>
            <w:tcW w:type="dxa" w:w="2232"/>
          </w:tcPr>
          <w:p>
            <w:pPr>
              <w:spacing w:after="20"/>
            </w:pPr>
            <w:r>
              <w:rPr>
                <w:rFonts w:ascii="Aptos" w:hAnsi="Aptos"/>
                <w:sz w:val="15"/>
              </w:rPr>
              <w:t>Daily 02:00 UTC / manual</w:t>
            </w:r>
          </w:p>
        </w:tc>
        <w:tc>
          <w:tcPr>
            <w:tcW w:type="dxa" w:w="4968"/>
          </w:tcPr>
          <w:p>
            <w:pPr>
              <w:spacing w:after="20"/>
            </w:pPr>
            <w:r>
              <w:rPr>
                <w:rFonts w:ascii="Aptos" w:hAnsi="Aptos"/>
                <w:sz w:val="15"/>
              </w:rPr>
              <w:t>Trains synthetic model, generates drifted samples, runs monitor, uploads artefacts and opens issue on escalation.</w:t>
            </w:r>
          </w:p>
        </w:tc>
      </w:tr>
    </w:tbl>
    <w:p/>
    <w:p>
      <w:r>
        <w:t>The README describes a non-root Docker user, model training during image build, a health check requiring model_loaded=true, and a named volume for audit logs. The repository docs say Docker builds and GitHub Actions were not executed in the source review environment. Treat workflows as defined, not as proof of successful live deployment. CODEOWNERS enforcement also requires branch-protection settings in GitHub.</w:t>
      </w:r>
    </w:p>
    <w:p>
      <w:pPr>
        <w:pStyle w:val="Heading1"/>
      </w:pPr>
      <w:r>
        <w:t>15. Tests and confidence boundaries</w:t>
      </w:r>
    </w:p>
    <w:p>
      <w:r>
        <w:t>The documented suite includes unit, API contract, governance, audit and end-to-end tests. Named behaviours include feature-contract errors without echoing submitted values, single-class target rejection, calibration under default settings, WoE bin ordering, OOT with the project model, binary-feature PSI, challenger selection, inventory review-date checks, audit tampering and end-to-end training/validation/monitoring/API.</w:t>
      </w:r>
    </w:p>
    <w:p>
      <w:r>
        <w:t>Tests establish only the behaviours asserted. They do not prove conceptual soundness, representativeness, regulated PD calibration, fairness, economic value or safety for a lending decision. MLflow and PDF integrations are documented as tested with mocks; real deployment integrations still require environment-level testing.</w:t>
      </w:r>
    </w:p>
    <w:p>
      <w:pPr>
        <w:pStyle w:val="Heading1"/>
      </w:pPr>
      <w:r>
        <w:t>16. Known limitations and priority roadmap</w:t>
      </w:r>
    </w:p>
    <w:tbl>
      <w:tblPr>
        <w:tblStyle w:val="TableGrid"/>
        <w:tblW w:type="auto" w:w="0"/>
        <w:tblLook w:firstColumn="1" w:firstRow="1" w:lastColumn="0" w:lastRow="0" w:noHBand="0" w:noVBand="1" w:val="04A0"/>
      </w:tblPr>
      <w:tblGrid>
        <w:gridCol w:w="3389"/>
        <w:gridCol w:w="3389"/>
        <w:gridCol w:w="3389"/>
      </w:tblGrid>
      <w:tr>
        <w:tc>
          <w:tcPr>
            <w:tcW w:type="dxa" w:w="1224"/>
            <w:shd w:fill="CFE2F3"/>
          </w:tcPr>
          <w:p>
            <w:r>
              <w:rPr>
                <w:b/>
                <w:sz w:val="14"/>
              </w:rPr>
              <w:t>Priority</w:t>
            </w:r>
          </w:p>
        </w:tc>
        <w:tc>
          <w:tcPr>
            <w:tcW w:type="dxa" w:w="3600"/>
            <w:shd w:fill="CFE2F3"/>
          </w:tcPr>
          <w:p>
            <w:r>
              <w:rPr>
                <w:b/>
                <w:sz w:val="14"/>
              </w:rPr>
              <w:t>Gap</w:t>
            </w:r>
          </w:p>
        </w:tc>
        <w:tc>
          <w:tcPr>
            <w:tcW w:type="dxa" w:w="5400"/>
            <w:shd w:fill="CFE2F3"/>
          </w:tcPr>
          <w:p>
            <w:r>
              <w:rPr>
                <w:b/>
                <w:sz w:val="14"/>
              </w:rPr>
              <w:t>Recommended action</w:t>
            </w:r>
          </w:p>
        </w:tc>
      </w:tr>
      <w:tr>
        <w:tc>
          <w:tcPr>
            <w:tcW w:type="dxa" w:w="1224"/>
          </w:tcPr>
          <w:p>
            <w:pPr>
              <w:spacing w:after="20"/>
            </w:pPr>
            <w:r>
              <w:rPr>
                <w:rFonts w:ascii="Aptos" w:hAnsi="Aptos"/>
                <w:sz w:val="14"/>
              </w:rPr>
              <w:t>Critical</w:t>
            </w:r>
          </w:p>
        </w:tc>
        <w:tc>
          <w:tcPr>
            <w:tcW w:type="dxa" w:w="3600"/>
          </w:tcPr>
          <w:p>
            <w:pPr>
              <w:spacing w:after="20"/>
            </w:pPr>
            <w:r>
              <w:rPr>
                <w:rFonts w:ascii="Aptos" w:hAnsi="Aptos"/>
                <w:sz w:val="14"/>
              </w:rPr>
              <w:t>No independent validation sign-off.</w:t>
            </w:r>
          </w:p>
        </w:tc>
        <w:tc>
          <w:tcPr>
            <w:tcW w:type="dxa" w:w="5400"/>
          </w:tcPr>
          <w:p>
            <w:pPr>
              <w:spacing w:after="20"/>
            </w:pPr>
            <w:r>
              <w:rPr>
                <w:rFonts w:ascii="Aptos" w:hAnsi="Aptos"/>
                <w:sz w:val="14"/>
              </w:rPr>
              <w:t>Independent reviewer should challenge data, target, conceptual soundness, implementation, outcomes and limitations; record evidence and conclusion.</w:t>
            </w:r>
          </w:p>
        </w:tc>
      </w:tr>
      <w:tr>
        <w:tc>
          <w:tcPr>
            <w:tcW w:type="dxa" w:w="1224"/>
            <w:shd w:fill="F6F8FA"/>
          </w:tcPr>
          <w:p>
            <w:pPr>
              <w:spacing w:after="20"/>
            </w:pPr>
            <w:r>
              <w:rPr>
                <w:rFonts w:ascii="Aptos" w:hAnsi="Aptos"/>
                <w:sz w:val="14"/>
              </w:rPr>
              <w:t>Critical</w:t>
            </w:r>
          </w:p>
        </w:tc>
        <w:tc>
          <w:tcPr>
            <w:tcW w:type="dxa" w:w="3600"/>
            <w:shd w:fill="F6F8FA"/>
          </w:tcPr>
          <w:p>
            <w:pPr>
              <w:spacing w:after="20"/>
            </w:pPr>
            <w:r>
              <w:rPr>
                <w:rFonts w:ascii="Aptos" w:hAnsi="Aptos"/>
                <w:sz w:val="14"/>
              </w:rPr>
              <w:t>Synthetic metrics are not portfolio evidence.</w:t>
            </w:r>
          </w:p>
        </w:tc>
        <w:tc>
          <w:tcPr>
            <w:tcW w:type="dxa" w:w="5400"/>
            <w:shd w:fill="F6F8FA"/>
          </w:tcPr>
          <w:p>
            <w:pPr>
              <w:spacing w:after="20"/>
            </w:pPr>
            <w:r>
              <w:rPr>
                <w:rFonts w:ascii="Aptos" w:hAnsi="Aptos"/>
                <w:sz w:val="14"/>
              </w:rPr>
              <w:t>Use representative, licensed, governed data with defensible target windows and independent test/OOT evidence.</w:t>
            </w:r>
          </w:p>
        </w:tc>
      </w:tr>
      <w:tr>
        <w:tc>
          <w:tcPr>
            <w:tcW w:type="dxa" w:w="1224"/>
          </w:tcPr>
          <w:p>
            <w:pPr>
              <w:spacing w:after="20"/>
            </w:pPr>
            <w:r>
              <w:rPr>
                <w:rFonts w:ascii="Aptos" w:hAnsi="Aptos"/>
                <w:sz w:val="14"/>
              </w:rPr>
              <w:t>Critical</w:t>
            </w:r>
          </w:p>
        </w:tc>
        <w:tc>
          <w:tcPr>
            <w:tcW w:type="dxa" w:w="3600"/>
          </w:tcPr>
          <w:p>
            <w:pPr>
              <w:spacing w:after="20"/>
            </w:pPr>
            <w:r>
              <w:rPr>
                <w:rFonts w:ascii="Aptos" w:hAnsi="Aptos"/>
                <w:sz w:val="14"/>
              </w:rPr>
              <w:t>Resolved-only LendingClub sample is biased.</w:t>
            </w:r>
          </w:p>
        </w:tc>
        <w:tc>
          <w:tcPr>
            <w:tcW w:type="dxa" w:w="5400"/>
          </w:tcPr>
          <w:p>
            <w:pPr>
              <w:spacing w:after="20"/>
            </w:pPr>
            <w:r>
              <w:rPr>
                <w:rFonts w:ascii="Aptos" w:hAnsi="Aptos"/>
                <w:sz w:val="14"/>
              </w:rPr>
              <w:t>Do not generalise its metrics to the full book; source a representative mature cohort.</w:t>
            </w:r>
          </w:p>
        </w:tc>
      </w:tr>
      <w:tr>
        <w:tc>
          <w:tcPr>
            <w:tcW w:type="dxa" w:w="1224"/>
            <w:shd w:fill="F6F8FA"/>
          </w:tcPr>
          <w:p>
            <w:pPr>
              <w:spacing w:after="20"/>
            </w:pPr>
            <w:r>
              <w:rPr>
                <w:rFonts w:ascii="Aptos" w:hAnsi="Aptos"/>
                <w:sz w:val="14"/>
              </w:rPr>
              <w:t>High</w:t>
            </w:r>
          </w:p>
        </w:tc>
        <w:tc>
          <w:tcPr>
            <w:tcW w:type="dxa" w:w="3600"/>
            <w:shd w:fill="F6F8FA"/>
          </w:tcPr>
          <w:p>
            <w:pPr>
              <w:spacing w:after="20"/>
            </w:pPr>
            <w:r>
              <w:rPr>
                <w:rFonts w:ascii="Aptos" w:hAnsi="Aptos"/>
                <w:sz w:val="14"/>
              </w:rPr>
              <w:t>Data lineage/source quality not fully assessed.</w:t>
            </w:r>
          </w:p>
        </w:tc>
        <w:tc>
          <w:tcPr>
            <w:tcW w:type="dxa" w:w="5400"/>
            <w:shd w:fill="F6F8FA"/>
          </w:tcPr>
          <w:p>
            <w:pPr>
              <w:spacing w:after="20"/>
            </w:pPr>
            <w:r>
              <w:rPr>
                <w:rFonts w:ascii="Aptos" w:hAnsi="Aptos"/>
                <w:sz w:val="14"/>
              </w:rPr>
              <w:t>Add source/feature lineage, data owner, quality thresholds, target audit and reproducible fingerprints.</w:t>
            </w:r>
          </w:p>
        </w:tc>
      </w:tr>
      <w:tr>
        <w:tc>
          <w:tcPr>
            <w:tcW w:type="dxa" w:w="1224"/>
          </w:tcPr>
          <w:p>
            <w:pPr>
              <w:spacing w:after="20"/>
            </w:pPr>
            <w:r>
              <w:rPr>
                <w:rFonts w:ascii="Aptos" w:hAnsi="Aptos"/>
                <w:sz w:val="14"/>
              </w:rPr>
              <w:t>High</w:t>
            </w:r>
          </w:p>
        </w:tc>
        <w:tc>
          <w:tcPr>
            <w:tcW w:type="dxa" w:w="3600"/>
          </w:tcPr>
          <w:p>
            <w:pPr>
              <w:spacing w:after="20"/>
            </w:pPr>
            <w:r>
              <w:rPr>
                <w:rFonts w:ascii="Aptos" w:hAnsi="Aptos"/>
                <w:sz w:val="14"/>
              </w:rPr>
              <w:t>No production identity provider or RBAC.</w:t>
            </w:r>
          </w:p>
        </w:tc>
        <w:tc>
          <w:tcPr>
            <w:tcW w:type="dxa" w:w="5400"/>
          </w:tcPr>
          <w:p>
            <w:pPr>
              <w:spacing w:after="20"/>
            </w:pPr>
            <w:r>
              <w:rPr>
                <w:rFonts w:ascii="Aptos" w:hAnsi="Aptos"/>
                <w:sz w:val="14"/>
              </w:rPr>
              <w:t>Add OIDC/OAuth2, roles/scopes, TLS, rate limiting, secrets and security tests.</w:t>
            </w:r>
          </w:p>
        </w:tc>
      </w:tr>
      <w:tr>
        <w:tc>
          <w:tcPr>
            <w:tcW w:type="dxa" w:w="1224"/>
            <w:shd w:fill="F6F8FA"/>
          </w:tcPr>
          <w:p>
            <w:pPr>
              <w:spacing w:after="20"/>
            </w:pPr>
            <w:r>
              <w:rPr>
                <w:rFonts w:ascii="Aptos" w:hAnsi="Aptos"/>
                <w:sz w:val="14"/>
              </w:rPr>
              <w:t>High</w:t>
            </w:r>
          </w:p>
        </w:tc>
        <w:tc>
          <w:tcPr>
            <w:tcW w:type="dxa" w:w="3600"/>
            <w:shd w:fill="F6F8FA"/>
          </w:tcPr>
          <w:p>
            <w:pPr>
              <w:spacing w:after="20"/>
            </w:pPr>
            <w:r>
              <w:rPr>
                <w:rFonts w:ascii="Aptos" w:hAnsi="Aptos"/>
                <w:sz w:val="14"/>
              </w:rPr>
              <w:t>Hash chain has single-writer and rewrite limitations.</w:t>
            </w:r>
          </w:p>
        </w:tc>
        <w:tc>
          <w:tcPr>
            <w:tcW w:type="dxa" w:w="5400"/>
            <w:shd w:fill="F6F8FA"/>
          </w:tcPr>
          <w:p>
            <w:pPr>
              <w:spacing w:after="20"/>
            </w:pPr>
            <w:r>
              <w:rPr>
                <w:rFonts w:ascii="Aptos" w:hAnsi="Aptos"/>
                <w:sz w:val="14"/>
              </w:rPr>
              <w:t>Add immutable storage, external hash anchoring, concurrency and retention monitoring.</w:t>
            </w:r>
          </w:p>
        </w:tc>
      </w:tr>
      <w:tr>
        <w:tc>
          <w:tcPr>
            <w:tcW w:type="dxa" w:w="1224"/>
          </w:tcPr>
          <w:p>
            <w:pPr>
              <w:spacing w:after="20"/>
            </w:pPr>
            <w:r>
              <w:rPr>
                <w:rFonts w:ascii="Aptos" w:hAnsi="Aptos"/>
                <w:sz w:val="14"/>
              </w:rPr>
              <w:t>High</w:t>
            </w:r>
          </w:p>
        </w:tc>
        <w:tc>
          <w:tcPr>
            <w:tcW w:type="dxa" w:w="3600"/>
          </w:tcPr>
          <w:p>
            <w:pPr>
              <w:spacing w:after="20"/>
            </w:pPr>
            <w:r>
              <w:rPr>
                <w:rFonts w:ascii="Aptos" w:hAnsi="Aptos"/>
                <w:sz w:val="14"/>
              </w:rPr>
              <w:t>PRA/IFRS 9/IRB methodologies not implemented.</w:t>
            </w:r>
          </w:p>
        </w:tc>
        <w:tc>
          <w:tcPr>
            <w:tcW w:type="dxa" w:w="5400"/>
          </w:tcPr>
          <w:p>
            <w:pPr>
              <w:spacing w:after="20"/>
            </w:pPr>
            <w:r>
              <w:rPr>
                <w:rFonts w:ascii="Aptos" w:hAnsi="Aptos"/>
                <w:sz w:val="14"/>
              </w:rPr>
              <w:t>Map evidence to current institutional/regulatory policy and obtain expert approval.</w:t>
            </w:r>
          </w:p>
        </w:tc>
      </w:tr>
      <w:tr>
        <w:tc>
          <w:tcPr>
            <w:tcW w:type="dxa" w:w="1224"/>
            <w:shd w:fill="F6F8FA"/>
          </w:tcPr>
          <w:p>
            <w:pPr>
              <w:spacing w:after="20"/>
            </w:pPr>
            <w:r>
              <w:rPr>
                <w:rFonts w:ascii="Aptos" w:hAnsi="Aptos"/>
                <w:sz w:val="14"/>
              </w:rPr>
              <w:t>High</w:t>
            </w:r>
          </w:p>
        </w:tc>
        <w:tc>
          <w:tcPr>
            <w:tcW w:type="dxa" w:w="3600"/>
            <w:shd w:fill="F6F8FA"/>
          </w:tcPr>
          <w:p>
            <w:pPr>
              <w:spacing w:after="20"/>
            </w:pPr>
            <w:r>
              <w:rPr>
                <w:rFonts w:ascii="Aptos" w:hAnsi="Aptos"/>
                <w:sz w:val="14"/>
              </w:rPr>
              <w:t>Monitoring thresholds are demonstration defaults.</w:t>
            </w:r>
          </w:p>
        </w:tc>
        <w:tc>
          <w:tcPr>
            <w:tcW w:type="dxa" w:w="5400"/>
            <w:shd w:fill="F6F8FA"/>
          </w:tcPr>
          <w:p>
            <w:pPr>
              <w:spacing w:after="20"/>
            </w:pPr>
            <w:r>
              <w:rPr>
                <w:rFonts w:ascii="Aptos" w:hAnsi="Aptos"/>
                <w:sz w:val="14"/>
              </w:rPr>
              <w:t>Approve thresholds, owners, label-maturity rules, escalation and closure SLAs.</w:t>
            </w:r>
          </w:p>
        </w:tc>
      </w:tr>
      <w:tr>
        <w:tc>
          <w:tcPr>
            <w:tcW w:type="dxa" w:w="1224"/>
          </w:tcPr>
          <w:p>
            <w:pPr>
              <w:spacing w:after="20"/>
            </w:pPr>
            <w:r>
              <w:rPr>
                <w:rFonts w:ascii="Aptos" w:hAnsi="Aptos"/>
                <w:sz w:val="14"/>
              </w:rPr>
              <w:t>Medium</w:t>
            </w:r>
          </w:p>
        </w:tc>
        <w:tc>
          <w:tcPr>
            <w:tcW w:type="dxa" w:w="3600"/>
          </w:tcPr>
          <w:p>
            <w:pPr>
              <w:spacing w:after="20"/>
            </w:pPr>
            <w:r>
              <w:rPr>
                <w:rFonts w:ascii="Aptos" w:hAnsi="Aptos"/>
                <w:sz w:val="14"/>
              </w:rPr>
              <w:t>Automated findings are heuristics.</w:t>
            </w:r>
          </w:p>
        </w:tc>
        <w:tc>
          <w:tcPr>
            <w:tcW w:type="dxa" w:w="5400"/>
          </w:tcPr>
          <w:p>
            <w:pPr>
              <w:spacing w:after="20"/>
            </w:pPr>
            <w:r>
              <w:rPr>
                <w:rFonts w:ascii="Aptos" w:hAnsi="Aptos"/>
                <w:sz w:val="14"/>
              </w:rPr>
              <w:t>Require human disposition, evidence links, severity and remediation tracking.</w:t>
            </w:r>
          </w:p>
        </w:tc>
      </w:tr>
      <w:tr>
        <w:tc>
          <w:tcPr>
            <w:tcW w:type="dxa" w:w="1224"/>
            <w:shd w:fill="F6F8FA"/>
          </w:tcPr>
          <w:p>
            <w:pPr>
              <w:spacing w:after="20"/>
            </w:pPr>
            <w:r>
              <w:rPr>
                <w:rFonts w:ascii="Aptos" w:hAnsi="Aptos"/>
                <w:sz w:val="14"/>
              </w:rPr>
              <w:t>Medium</w:t>
            </w:r>
          </w:p>
        </w:tc>
        <w:tc>
          <w:tcPr>
            <w:tcW w:type="dxa" w:w="3600"/>
            <w:shd w:fill="F6F8FA"/>
          </w:tcPr>
          <w:p>
            <w:pPr>
              <w:spacing w:after="20"/>
            </w:pPr>
            <w:r>
              <w:rPr>
                <w:rFonts w:ascii="Aptos" w:hAnsi="Aptos"/>
                <w:sz w:val="14"/>
              </w:rPr>
              <w:t>SHAP values are not automatically reason codes.</w:t>
            </w:r>
          </w:p>
        </w:tc>
        <w:tc>
          <w:tcPr>
            <w:tcW w:type="dxa" w:w="5400"/>
            <w:shd w:fill="F6F8FA"/>
          </w:tcPr>
          <w:p>
            <w:pPr>
              <w:spacing w:after="20"/>
            </w:pPr>
            <w:r>
              <w:rPr>
                <w:rFonts w:ascii="Aptos" w:hAnsi="Aptos"/>
                <w:sz w:val="14"/>
              </w:rPr>
              <w:t>Build and validate approved reason-code mapping if customer explanations are required.</w:t>
            </w:r>
          </w:p>
        </w:tc>
      </w:tr>
      <w:tr>
        <w:tc>
          <w:tcPr>
            <w:tcW w:type="dxa" w:w="1224"/>
          </w:tcPr>
          <w:p>
            <w:pPr>
              <w:spacing w:after="20"/>
            </w:pPr>
            <w:r>
              <w:rPr>
                <w:rFonts w:ascii="Aptos" w:hAnsi="Aptos"/>
                <w:sz w:val="14"/>
              </w:rPr>
              <w:t>Medium</w:t>
            </w:r>
          </w:p>
        </w:tc>
        <w:tc>
          <w:tcPr>
            <w:tcW w:type="dxa" w:w="3600"/>
          </w:tcPr>
          <w:p>
            <w:pPr>
              <w:spacing w:after="20"/>
            </w:pPr>
            <w:r>
              <w:rPr>
                <w:rFonts w:ascii="Aptos" w:hAnsi="Aptos"/>
                <w:sz w:val="14"/>
              </w:rPr>
              <w:t>CI/CD and branch settings not verified live.</w:t>
            </w:r>
          </w:p>
        </w:tc>
        <w:tc>
          <w:tcPr>
            <w:tcW w:type="dxa" w:w="5400"/>
          </w:tcPr>
          <w:p>
            <w:pPr>
              <w:spacing w:after="20"/>
            </w:pPr>
            <w:r>
              <w:rPr>
                <w:rFonts w:ascii="Aptos" w:hAnsi="Aptos"/>
                <w:sz w:val="14"/>
              </w:rPr>
              <w:t>Run workflows, verify branch protection/CODEOWNERS and smoke-test deployed images.</w:t>
            </w:r>
          </w:p>
        </w:tc>
      </w:tr>
    </w:tbl>
    <w:p/>
    <w:p>
      <w:pPr>
        <w:pStyle w:val="Heading1"/>
      </w:pPr>
      <w:r>
        <w:t>17. Suggested reading order</w:t>
      </w:r>
    </w:p>
    <w:p>
      <w:pPr>
        <w:pStyle w:val="ListNumber"/>
        <w:spacing w:after="40"/>
      </w:pPr>
      <w:r>
        <w:t>README.md — scope, quick start, API, known limitations.</w:t>
      </w:r>
    </w:p>
    <w:p>
      <w:pPr>
        <w:pStyle w:val="ListNumber"/>
        <w:spacing w:after="40"/>
      </w:pPr>
      <w:r>
        <w:t>notebooks/README.md — original notebook defects and mitigations.</w:t>
      </w:r>
    </w:p>
    <w:p>
      <w:pPr>
        <w:pStyle w:val="ListNumber"/>
        <w:spacing w:after="40"/>
      </w:pPr>
      <w:r>
        <w:t>docs/DATA.md and src/credit_risk_model/data/ — data sources, target and leakage controls.</w:t>
      </w:r>
    </w:p>
    <w:p>
      <w:pPr>
        <w:pStyle w:val="ListNumber"/>
        <w:spacing w:after="40"/>
      </w:pPr>
      <w:r>
        <w:t>models/champion.py and models/contract.py — model training, preprocessing and inference checks.</w:t>
      </w:r>
    </w:p>
    <w:p>
      <w:pPr>
        <w:pStyle w:val="ListNumber"/>
        <w:spacing w:after="40"/>
      </w:pPr>
      <w:r>
        <w:t>pipelines/train.py — data-to-model lifecycle and metadata/audit events.</w:t>
      </w:r>
    </w:p>
    <w:p>
      <w:pPr>
        <w:pStyle w:val="ListNumber"/>
        <w:spacing w:after="40"/>
      </w:pPr>
      <w:r>
        <w:t>validation/suite.py, then discrimination.py, calibration.py, stability.py, oot.py and vintage.py.</w:t>
      </w:r>
    </w:p>
    <w:p>
      <w:pPr>
        <w:pStyle w:val="ListNumber"/>
        <w:spacing w:after="40"/>
      </w:pPr>
      <w:r>
        <w:t>pipelines/validate.py and governance/report_builder.py — report generation.</w:t>
      </w:r>
    </w:p>
    <w:p>
      <w:pPr>
        <w:pStyle w:val="ListNumber"/>
        <w:spacing w:after="40"/>
      </w:pPr>
      <w:r>
        <w:t>governance/model_inventory.yaml and governance/inventory.py — serving gate.</w:t>
      </w:r>
    </w:p>
    <w:p>
      <w:pPr>
        <w:pStyle w:val="ListNumber"/>
        <w:spacing w:after="40"/>
      </w:pPr>
      <w:r>
        <w:t>governance/pma.py and pma_log.csv — adjustment controls.</w:t>
      </w:r>
    </w:p>
    <w:p>
      <w:pPr>
        <w:pStyle w:val="ListNumber"/>
        <w:spacing w:after="40"/>
      </w:pPr>
      <w:r>
        <w:t>governance/audit.py and docs/AUDIT_TRAIL.md — event records and hash-chain limits.</w:t>
      </w:r>
    </w:p>
    <w:p>
      <w:pPr>
        <w:pStyle w:val="ListNumber"/>
        <w:spacing w:after="40"/>
      </w:pPr>
      <w:r>
        <w:t>api/main.py, api/model_loader.py and api/security.py — request lifecycle and security hooks.</w:t>
      </w:r>
    </w:p>
    <w:p>
      <w:pPr>
        <w:pStyle w:val="ListNumber"/>
        <w:spacing w:after="40"/>
      </w:pPr>
      <w:r>
        <w:t>pipelines/monitor.py and docs/MONITORING.md — thresholds and monitoring outputs.</w:t>
      </w:r>
    </w:p>
    <w:p>
      <w:pPr>
        <w:pStyle w:val="ListNumber"/>
        <w:spacing w:after="40"/>
      </w:pPr>
      <w:r>
        <w:t>.github/workflows/, Dockerfile and docker-compose.yml — automation and packaging.</w:t>
      </w:r>
    </w:p>
    <w:p>
      <w:pPr>
        <w:pStyle w:val="ListNumber"/>
        <w:spacing w:after="40"/>
      </w:pPr>
      <w:r>
        <w:t>tests/ — identify asserted behaviours and add regression tests for new requirements.</w:t>
      </w:r>
    </w:p>
    <w:p>
      <w:pPr>
        <w:pStyle w:val="Heading1"/>
      </w:pPr>
      <w:r>
        <w:t>18. Glossary</w:t>
      </w:r>
    </w:p>
    <w:tbl>
      <w:tblPr>
        <w:tblStyle w:val="TableGrid"/>
        <w:tblW w:type="auto" w:w="0"/>
        <w:tblLook w:firstColumn="1" w:firstRow="1" w:lastColumn="0" w:lastRow="0" w:noHBand="0" w:noVBand="1" w:val="04A0"/>
      </w:tblPr>
      <w:tblGrid>
        <w:gridCol w:w="5083"/>
        <w:gridCol w:w="5083"/>
      </w:tblGrid>
      <w:tr>
        <w:tc>
          <w:tcPr>
            <w:tcW w:type="dxa" w:w="2592"/>
            <w:shd w:fill="CFE2F3"/>
          </w:tcPr>
          <w:p>
            <w:r>
              <w:rPr>
                <w:b/>
                <w:sz w:val="16"/>
              </w:rPr>
              <w:t>Term</w:t>
            </w:r>
          </w:p>
        </w:tc>
        <w:tc>
          <w:tcPr>
            <w:tcW w:type="dxa" w:w="7632"/>
            <w:shd w:fill="CFE2F3"/>
          </w:tcPr>
          <w:p>
            <w:r>
              <w:rPr>
                <w:b/>
                <w:sz w:val="16"/>
              </w:rPr>
              <w:t>Meaning</w:t>
            </w:r>
          </w:p>
        </w:tc>
      </w:tr>
      <w:tr>
        <w:tc>
          <w:tcPr>
            <w:tcW w:type="dxa" w:w="2592"/>
          </w:tcPr>
          <w:p>
            <w:pPr>
              <w:spacing w:after="20"/>
            </w:pPr>
            <w:r>
              <w:rPr>
                <w:rFonts w:ascii="Aptos" w:hAnsi="Aptos"/>
                <w:sz w:val="16"/>
              </w:rPr>
              <w:t>PD</w:t>
            </w:r>
          </w:p>
        </w:tc>
        <w:tc>
          <w:tcPr>
            <w:tcW w:type="dxa" w:w="7632"/>
          </w:tcPr>
          <w:p>
            <w:pPr>
              <w:spacing w:after="20"/>
            </w:pPr>
            <w:r>
              <w:rPr>
                <w:rFonts w:ascii="Aptos" w:hAnsi="Aptos"/>
                <w:sz w:val="16"/>
              </w:rPr>
              <w:t>Probability of default over a defined horizon and target definition.</w:t>
            </w:r>
          </w:p>
        </w:tc>
      </w:tr>
      <w:tr>
        <w:tc>
          <w:tcPr>
            <w:tcW w:type="dxa" w:w="2592"/>
            <w:shd w:fill="F6F8FA"/>
          </w:tcPr>
          <w:p>
            <w:pPr>
              <w:spacing w:after="20"/>
            </w:pPr>
            <w:r>
              <w:rPr>
                <w:rFonts w:ascii="Aptos" w:hAnsi="Aptos"/>
                <w:sz w:val="16"/>
              </w:rPr>
              <w:t>Champion / challenger</w:t>
            </w:r>
          </w:p>
        </w:tc>
        <w:tc>
          <w:tcPr>
            <w:tcW w:type="dxa" w:w="7632"/>
            <w:shd w:fill="F6F8FA"/>
          </w:tcPr>
          <w:p>
            <w:pPr>
              <w:spacing w:after="20"/>
            </w:pPr>
            <w:r>
              <w:rPr>
                <w:rFonts w:ascii="Aptos" w:hAnsi="Aptos"/>
                <w:sz w:val="16"/>
              </w:rPr>
              <w:t>Primary model and alternative candidate evaluated against it.</w:t>
            </w:r>
          </w:p>
        </w:tc>
      </w:tr>
      <w:tr>
        <w:tc>
          <w:tcPr>
            <w:tcW w:type="dxa" w:w="2592"/>
          </w:tcPr>
          <w:p>
            <w:pPr>
              <w:spacing w:after="20"/>
            </w:pPr>
            <w:r>
              <w:rPr>
                <w:rFonts w:ascii="Aptos" w:hAnsi="Aptos"/>
                <w:sz w:val="16"/>
              </w:rPr>
              <w:t>OOT</w:t>
            </w:r>
          </w:p>
        </w:tc>
        <w:tc>
          <w:tcPr>
            <w:tcW w:type="dxa" w:w="7632"/>
          </w:tcPr>
          <w:p>
            <w:pPr>
              <w:spacing w:after="20"/>
            </w:pPr>
            <w:r>
              <w:rPr>
                <w:rFonts w:ascii="Aptos" w:hAnsi="Aptos"/>
                <w:sz w:val="16"/>
              </w:rPr>
              <w:t>Out-of-time evaluation on later-dated observations.</w:t>
            </w:r>
          </w:p>
        </w:tc>
      </w:tr>
      <w:tr>
        <w:tc>
          <w:tcPr>
            <w:tcW w:type="dxa" w:w="2592"/>
            <w:shd w:fill="F6F8FA"/>
          </w:tcPr>
          <w:p>
            <w:pPr>
              <w:spacing w:after="20"/>
            </w:pPr>
            <w:r>
              <w:rPr>
                <w:rFonts w:ascii="Aptos" w:hAnsi="Aptos"/>
                <w:sz w:val="16"/>
              </w:rPr>
              <w:t>AUROC / Gini / KS</w:t>
            </w:r>
          </w:p>
        </w:tc>
        <w:tc>
          <w:tcPr>
            <w:tcW w:type="dxa" w:w="7632"/>
            <w:shd w:fill="F6F8FA"/>
          </w:tcPr>
          <w:p>
            <w:pPr>
              <w:spacing w:after="20"/>
            </w:pPr>
            <w:r>
              <w:rPr>
                <w:rFonts w:ascii="Aptos" w:hAnsi="Aptos"/>
                <w:sz w:val="16"/>
              </w:rPr>
              <w:t>Discrimination/ranking metrics.</w:t>
            </w:r>
          </w:p>
        </w:tc>
      </w:tr>
      <w:tr>
        <w:tc>
          <w:tcPr>
            <w:tcW w:type="dxa" w:w="2592"/>
          </w:tcPr>
          <w:p>
            <w:pPr>
              <w:spacing w:after="20"/>
            </w:pPr>
            <w:r>
              <w:rPr>
                <w:rFonts w:ascii="Aptos" w:hAnsi="Aptos"/>
                <w:sz w:val="16"/>
              </w:rPr>
              <w:t>Brier / log loss</w:t>
            </w:r>
          </w:p>
        </w:tc>
        <w:tc>
          <w:tcPr>
            <w:tcW w:type="dxa" w:w="7632"/>
          </w:tcPr>
          <w:p>
            <w:pPr>
              <w:spacing w:after="20"/>
            </w:pPr>
            <w:r>
              <w:rPr>
                <w:rFonts w:ascii="Aptos" w:hAnsi="Aptos"/>
                <w:sz w:val="16"/>
              </w:rPr>
              <w:t>Metrics for probability quality/calibration.</w:t>
            </w:r>
          </w:p>
        </w:tc>
      </w:tr>
      <w:tr>
        <w:tc>
          <w:tcPr>
            <w:tcW w:type="dxa" w:w="2592"/>
            <w:shd w:fill="F6F8FA"/>
          </w:tcPr>
          <w:p>
            <w:pPr>
              <w:spacing w:after="20"/>
            </w:pPr>
            <w:r>
              <w:rPr>
                <w:rFonts w:ascii="Aptos" w:hAnsi="Aptos"/>
                <w:sz w:val="16"/>
              </w:rPr>
              <w:t>PSI / CSI</w:t>
            </w:r>
          </w:p>
        </w:tc>
        <w:tc>
          <w:tcPr>
            <w:tcW w:type="dxa" w:w="7632"/>
            <w:shd w:fill="F6F8FA"/>
          </w:tcPr>
          <w:p>
            <w:pPr>
              <w:spacing w:after="20"/>
            </w:pPr>
            <w:r>
              <w:rPr>
                <w:rFonts w:ascii="Aptos" w:hAnsi="Aptos"/>
                <w:sz w:val="16"/>
              </w:rPr>
              <w:t>Population/characteristic stability indices.</w:t>
            </w:r>
          </w:p>
        </w:tc>
      </w:tr>
      <w:tr>
        <w:tc>
          <w:tcPr>
            <w:tcW w:type="dxa" w:w="2592"/>
          </w:tcPr>
          <w:p>
            <w:pPr>
              <w:spacing w:after="20"/>
            </w:pPr>
            <w:r>
              <w:rPr>
                <w:rFonts w:ascii="Aptos" w:hAnsi="Aptos"/>
                <w:sz w:val="16"/>
              </w:rPr>
              <w:t>WoE / IV</w:t>
            </w:r>
          </w:p>
        </w:tc>
        <w:tc>
          <w:tcPr>
            <w:tcW w:type="dxa" w:w="7632"/>
          </w:tcPr>
          <w:p>
            <w:pPr>
              <w:spacing w:after="20"/>
            </w:pPr>
            <w:r>
              <w:rPr>
                <w:rFonts w:ascii="Aptos" w:hAnsi="Aptos"/>
                <w:sz w:val="16"/>
              </w:rPr>
              <w:t>Weight of Evidence / Information Value, often used in scorecard feature review.</w:t>
            </w:r>
          </w:p>
        </w:tc>
      </w:tr>
      <w:tr>
        <w:tc>
          <w:tcPr>
            <w:tcW w:type="dxa" w:w="2592"/>
            <w:shd w:fill="F6F8FA"/>
          </w:tcPr>
          <w:p>
            <w:pPr>
              <w:spacing w:after="20"/>
            </w:pPr>
            <w:r>
              <w:rPr>
                <w:rFonts w:ascii="Aptos" w:hAnsi="Aptos"/>
                <w:sz w:val="16"/>
              </w:rPr>
              <w:t>PDO</w:t>
            </w:r>
          </w:p>
        </w:tc>
        <w:tc>
          <w:tcPr>
            <w:tcW w:type="dxa" w:w="7632"/>
            <w:shd w:fill="F6F8FA"/>
          </w:tcPr>
          <w:p>
            <w:pPr>
              <w:spacing w:after="20"/>
            </w:pPr>
            <w:r>
              <w:rPr>
                <w:rFonts w:ascii="Aptos" w:hAnsi="Aptos"/>
                <w:sz w:val="16"/>
              </w:rPr>
              <w:t>Points to Double the Odds; score scaling convention.</w:t>
            </w:r>
          </w:p>
        </w:tc>
      </w:tr>
      <w:tr>
        <w:tc>
          <w:tcPr>
            <w:tcW w:type="dxa" w:w="2592"/>
          </w:tcPr>
          <w:p>
            <w:pPr>
              <w:spacing w:after="20"/>
            </w:pPr>
            <w:r>
              <w:rPr>
                <w:rFonts w:ascii="Aptos" w:hAnsi="Aptos"/>
                <w:sz w:val="16"/>
              </w:rPr>
              <w:t>PMA</w:t>
            </w:r>
          </w:p>
        </w:tc>
        <w:tc>
          <w:tcPr>
            <w:tcW w:type="dxa" w:w="7632"/>
          </w:tcPr>
          <w:p>
            <w:pPr>
              <w:spacing w:after="20"/>
            </w:pPr>
            <w:r>
              <w:rPr>
                <w:rFonts w:ascii="Aptos" w:hAnsi="Aptos"/>
                <w:sz w:val="16"/>
              </w:rPr>
              <w:t>Post-model adjustment/overlay applied after model output.</w:t>
            </w:r>
          </w:p>
        </w:tc>
      </w:tr>
      <w:tr>
        <w:tc>
          <w:tcPr>
            <w:tcW w:type="dxa" w:w="2592"/>
            <w:shd w:fill="F6F8FA"/>
          </w:tcPr>
          <w:p>
            <w:pPr>
              <w:spacing w:after="20"/>
            </w:pPr>
            <w:r>
              <w:rPr>
                <w:rFonts w:ascii="Aptos" w:hAnsi="Aptos"/>
                <w:sz w:val="16"/>
              </w:rPr>
              <w:t>Inventory</w:t>
            </w:r>
          </w:p>
        </w:tc>
        <w:tc>
          <w:tcPr>
            <w:tcW w:type="dxa" w:w="7632"/>
            <w:shd w:fill="F6F8FA"/>
          </w:tcPr>
          <w:p>
            <w:pPr>
              <w:spacing w:after="20"/>
            </w:pPr>
            <w:r>
              <w:rPr>
                <w:rFonts w:ascii="Aptos" w:hAnsi="Aptos"/>
                <w:sz w:val="16"/>
              </w:rPr>
              <w:t>Governed register of model identity, status, use, approvals and review dates.</w:t>
            </w:r>
          </w:p>
        </w:tc>
      </w:tr>
      <w:tr>
        <w:tc>
          <w:tcPr>
            <w:tcW w:type="dxa" w:w="2592"/>
          </w:tcPr>
          <w:p>
            <w:pPr>
              <w:spacing w:after="20"/>
            </w:pPr>
            <w:r>
              <w:rPr>
                <w:rFonts w:ascii="Aptos" w:hAnsi="Aptos"/>
                <w:sz w:val="16"/>
              </w:rPr>
              <w:t>Hash-chained audit</w:t>
            </w:r>
          </w:p>
        </w:tc>
        <w:tc>
          <w:tcPr>
            <w:tcW w:type="dxa" w:w="7632"/>
          </w:tcPr>
          <w:p>
            <w:pPr>
              <w:spacing w:after="20"/>
            </w:pPr>
            <w:r>
              <w:rPr>
                <w:rFonts w:ascii="Aptos" w:hAnsi="Aptos"/>
                <w:sz w:val="16"/>
              </w:rPr>
              <w:t>Linked records whose modification can be detected; not absolute tamper prevention.</w:t>
            </w:r>
          </w:p>
        </w:tc>
      </w:tr>
      <w:tr>
        <w:tc>
          <w:tcPr>
            <w:tcW w:type="dxa" w:w="2592"/>
            <w:shd w:fill="F6F8FA"/>
          </w:tcPr>
          <w:p>
            <w:pPr>
              <w:spacing w:after="20"/>
            </w:pPr>
            <w:r>
              <w:rPr>
                <w:rFonts w:ascii="Aptos" w:hAnsi="Aptos"/>
                <w:sz w:val="16"/>
              </w:rPr>
              <w:t>Feature contract</w:t>
            </w:r>
          </w:p>
        </w:tc>
        <w:tc>
          <w:tcPr>
            <w:tcW w:type="dxa" w:w="7632"/>
            <w:shd w:fill="F6F8FA"/>
          </w:tcPr>
          <w:p>
            <w:pPr>
              <w:spacing w:after="20"/>
            </w:pPr>
            <w:r>
              <w:rPr>
                <w:rFonts w:ascii="Aptos" w:hAnsi="Aptos"/>
                <w:sz w:val="16"/>
              </w:rPr>
              <w:t>Expected model input names/types enforced at serving time.</w:t>
            </w:r>
          </w:p>
        </w:tc>
      </w:tr>
    </w:tbl>
    <w:p/>
    <w:p>
      <w:pPr>
        <w:pStyle w:val="Heading1"/>
      </w:pPr>
      <w:r>
        <w:t>19. Final assessment</w:t>
      </w:r>
    </w:p>
    <w:p>
      <w:r>
        <w:t>Compared with the earlier scaffold, the updated repository has a much stronger end-to-end design. Model development and validation connect to runtime governance: inventory gates serving, the feature contract rejects malformed input, audit logs connect prediction/change/monitoring events, PMA records make overlays reviewable, and monitoring/CI workflows exercise the lifecycle.</w:t>
      </w:r>
    </w:p>
    <w:p>
      <w:r>
        <w:t>Its best use is as a reproducible engineering demonstration and a base for technical portfolio/interview discussion. The central remaining gap is evidence: representative data, independent validation, approved risk policy, production identity/security controls, and formal regulatory mapping are still needed. Treat generated reports as drafts until a qualified reviewer has assessed the evidence and recorded a conclusion.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Engineering demonstration — not regulatory approval or production certification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CREDIT RISK MODEL VALIDATION PLATFORM  |  UPDATED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