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Big Mountain: Pricing Strategy </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05">
      <w:pPr>
        <w:spacing w:after="200" w:before="200" w:line="360" w:lineRule="auto"/>
        <w:jc w:val="both"/>
        <w:rPr>
          <w:sz w:val="28"/>
          <w:szCs w:val="28"/>
        </w:rPr>
      </w:pPr>
      <w:r w:rsidDel="00000000" w:rsidR="00000000" w:rsidRPr="00000000">
        <w:rPr>
          <w:sz w:val="28"/>
          <w:szCs w:val="28"/>
          <w:rtl w:val="0"/>
        </w:rPr>
        <w:t xml:space="preserve">Using historical data, several models with different predictors were developed to determine the pricing strategy for the Big Mountain lifts. The findings suggest an increase in lift prices. The result shows that it is statistically legitimate to increase current prices.</w:t>
      </w:r>
    </w:p>
    <w:p w:rsidR="00000000" w:rsidDel="00000000" w:rsidP="00000000" w:rsidRDefault="00000000" w:rsidRPr="00000000" w14:paraId="00000006">
      <w:pPr>
        <w:spacing w:after="200" w:before="200" w:line="360" w:lineRule="auto"/>
        <w:rPr>
          <w:sz w:val="28"/>
          <w:szCs w:val="28"/>
        </w:rPr>
      </w:pPr>
      <w:r w:rsidDel="00000000" w:rsidR="00000000" w:rsidRPr="00000000">
        <w:rPr>
          <w:b w:val="1"/>
          <w:sz w:val="28"/>
          <w:szCs w:val="28"/>
          <w:rtl w:val="0"/>
        </w:rPr>
        <w:t xml:space="preserve">Introduction </w:t>
      </w:r>
      <w:r w:rsidDel="00000000" w:rsidR="00000000" w:rsidRPr="00000000">
        <w:rPr>
          <w:rtl w:val="0"/>
        </w:rPr>
      </w:r>
    </w:p>
    <w:p w:rsidR="00000000" w:rsidDel="00000000" w:rsidP="00000000" w:rsidRDefault="00000000" w:rsidRPr="00000000" w14:paraId="00000007">
      <w:pPr>
        <w:widowControl w:val="0"/>
        <w:spacing w:after="200" w:before="200" w:line="360" w:lineRule="auto"/>
        <w:ind w:left="0" w:firstLine="0"/>
        <w:jc w:val="both"/>
        <w:rPr>
          <w:sz w:val="28"/>
          <w:szCs w:val="28"/>
        </w:rPr>
      </w:pPr>
      <w:r w:rsidDel="00000000" w:rsidR="00000000" w:rsidRPr="00000000">
        <w:rPr>
          <w:sz w:val="28"/>
          <w:szCs w:val="28"/>
          <w:rtl w:val="0"/>
        </w:rPr>
        <w:t xml:space="preserve">Big Mountain Resort has expanded its business by installing new chair lifts, which have increased the operating costs by $1,540,000. The business profit margin is 9.2%, and the investors would like to keep it there. According to management, one way to recover the excess operation cost is by increasing the lift’s tickets. In order to validate if the management decision is supported by the data, several predictive models are built. The result will determine if the decision to increase the prices is valid or not.</w:t>
      </w:r>
    </w:p>
    <w:p w:rsidR="00000000" w:rsidDel="00000000" w:rsidP="00000000" w:rsidRDefault="00000000" w:rsidRPr="00000000" w14:paraId="00000008">
      <w:pPr>
        <w:widowControl w:val="0"/>
        <w:spacing w:after="200" w:before="200" w:line="360" w:lineRule="auto"/>
        <w:ind w:left="0" w:firstLine="0"/>
        <w:jc w:val="both"/>
        <w:rPr>
          <w:b w:val="1"/>
          <w:sz w:val="28"/>
          <w:szCs w:val="28"/>
        </w:rPr>
      </w:pPr>
      <w:r w:rsidDel="00000000" w:rsidR="00000000" w:rsidRPr="00000000">
        <w:rPr>
          <w:b w:val="1"/>
          <w:sz w:val="28"/>
          <w:szCs w:val="28"/>
          <w:rtl w:val="0"/>
        </w:rPr>
        <w:t xml:space="preserve">Result and Analyses</w:t>
      </w:r>
    </w:p>
    <w:p w:rsidR="00000000" w:rsidDel="00000000" w:rsidP="00000000" w:rsidRDefault="00000000" w:rsidRPr="00000000" w14:paraId="00000009">
      <w:pPr>
        <w:widowControl w:val="0"/>
        <w:spacing w:after="200" w:before="200" w:line="360" w:lineRule="auto"/>
        <w:ind w:left="0" w:firstLine="0"/>
        <w:jc w:val="both"/>
        <w:rPr/>
      </w:pPr>
      <w:r w:rsidDel="00000000" w:rsidR="00000000" w:rsidRPr="00000000">
        <w:rPr>
          <w:sz w:val="28"/>
          <w:szCs w:val="28"/>
          <w:rtl w:val="0"/>
        </w:rPr>
        <w:t xml:space="preserve">Using historical data, three models were built. The prediction power of all three models is significant enough with a higher than 92% degree of </w:t>
      </w:r>
      <w:r w:rsidDel="00000000" w:rsidR="00000000" w:rsidRPr="00000000">
        <w:rPr>
          <w:sz w:val="28"/>
          <w:szCs w:val="28"/>
          <w:rtl w:val="0"/>
        </w:rPr>
        <w:t xml:space="preserve">confidence</w:t>
      </w:r>
      <w:r w:rsidDel="00000000" w:rsidR="00000000" w:rsidRPr="00000000">
        <w:rPr>
          <w:sz w:val="28"/>
          <w:szCs w:val="28"/>
          <w:rtl w:val="0"/>
        </w:rPr>
        <w:t xml:space="preserve">. However, model one prevails higher explained variance as compared to the two other models. It shows higher ‘explained variance’ and lower ‘mean absolute error’. Therefore, model one suffices the statistical criteria and is selected as the best model.</w:t>
      </w:r>
      <w:r w:rsidDel="00000000" w:rsidR="00000000" w:rsidRPr="00000000">
        <w:rPr>
          <w:rtl w:val="0"/>
        </w:rPr>
      </w:r>
    </w:p>
    <w:tbl>
      <w:tblPr>
        <w:tblStyle w:val="Table1"/>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2535"/>
        <w:gridCol w:w="2595"/>
        <w:gridCol w:w="3405"/>
        <w:tblGridChange w:id="0">
          <w:tblGrid>
            <w:gridCol w:w="1260"/>
            <w:gridCol w:w="2535"/>
            <w:gridCol w:w="2595"/>
            <w:gridCol w:w="3405"/>
          </w:tblGrid>
        </w:tblGridChange>
      </w:tblGrid>
      <w:tr>
        <w:trPr>
          <w:trHeight w:val="510" w:hRule="atLeast"/>
        </w:trPr>
        <w:tc>
          <w:tcPr>
            <w:tcMar>
              <w:top w:w="100.0" w:type="dxa"/>
              <w:left w:w="100.0" w:type="dxa"/>
              <w:bottom w:w="100.0" w:type="dxa"/>
              <w:right w:w="100.0" w:type="dxa"/>
            </w:tcMar>
            <w:vAlign w:val="center"/>
          </w:tcPr>
          <w:p w:rsidR="00000000" w:rsidDel="00000000" w:rsidP="00000000" w:rsidRDefault="00000000" w:rsidRPr="00000000" w14:paraId="0000000A">
            <w:pPr>
              <w:widowControl w:val="0"/>
              <w:rPr>
                <w:b w:val="1"/>
                <w:sz w:val="24"/>
                <w:szCs w:val="24"/>
              </w:rPr>
            </w:pPr>
            <w:r w:rsidDel="00000000" w:rsidR="00000000" w:rsidRPr="00000000">
              <w:rPr>
                <w:b w:val="1"/>
                <w:sz w:val="24"/>
                <w:szCs w:val="24"/>
                <w:rtl w:val="0"/>
              </w:rPr>
              <w:t xml:space="preserve">Model</w:t>
            </w:r>
          </w:p>
        </w:tc>
        <w:tc>
          <w:tcPr>
            <w:tcMar>
              <w:top w:w="100.0" w:type="dxa"/>
              <w:left w:w="100.0" w:type="dxa"/>
              <w:bottom w:w="100.0" w:type="dxa"/>
              <w:right w:w="100.0" w:type="dxa"/>
            </w:tcMar>
            <w:vAlign w:val="center"/>
          </w:tcPr>
          <w:p w:rsidR="00000000" w:rsidDel="00000000" w:rsidP="00000000" w:rsidRDefault="00000000" w:rsidRPr="00000000" w14:paraId="0000000B">
            <w:pPr>
              <w:widowControl w:val="0"/>
              <w:rPr>
                <w:b w:val="1"/>
                <w:sz w:val="24"/>
                <w:szCs w:val="24"/>
              </w:rPr>
            </w:pPr>
            <w:r w:rsidDel="00000000" w:rsidR="00000000" w:rsidRPr="00000000">
              <w:rPr>
                <w:b w:val="1"/>
                <w:sz w:val="24"/>
                <w:szCs w:val="24"/>
                <w:rtl w:val="0"/>
              </w:rPr>
              <w:t xml:space="preserve">Explained Variance</w:t>
            </w:r>
          </w:p>
        </w:tc>
        <w:tc>
          <w:tcPr>
            <w:tcMar>
              <w:top w:w="100.0" w:type="dxa"/>
              <w:left w:w="100.0" w:type="dxa"/>
              <w:bottom w:w="100.0" w:type="dxa"/>
              <w:right w:w="100.0" w:type="dxa"/>
            </w:tcMar>
            <w:vAlign w:val="center"/>
          </w:tcPr>
          <w:p w:rsidR="00000000" w:rsidDel="00000000" w:rsidP="00000000" w:rsidRDefault="00000000" w:rsidRPr="00000000" w14:paraId="0000000C">
            <w:pPr>
              <w:widowControl w:val="0"/>
              <w:rPr>
                <w:b w:val="1"/>
                <w:sz w:val="24"/>
                <w:szCs w:val="24"/>
              </w:rPr>
            </w:pPr>
            <w:r w:rsidDel="00000000" w:rsidR="00000000" w:rsidRPr="00000000">
              <w:rPr>
                <w:b w:val="1"/>
                <w:sz w:val="24"/>
                <w:szCs w:val="24"/>
                <w:rtl w:val="0"/>
              </w:rPr>
              <w:t xml:space="preserve">Mean Absolute Error</w:t>
            </w:r>
          </w:p>
        </w:tc>
        <w:tc>
          <w:tcPr>
            <w:tcMar>
              <w:top w:w="100.0" w:type="dxa"/>
              <w:left w:w="100.0" w:type="dxa"/>
              <w:bottom w:w="100.0" w:type="dxa"/>
              <w:right w:w="100.0" w:type="dxa"/>
            </w:tcMar>
            <w:vAlign w:val="center"/>
          </w:tcPr>
          <w:p w:rsidR="00000000" w:rsidDel="00000000" w:rsidP="00000000" w:rsidRDefault="00000000" w:rsidRPr="00000000" w14:paraId="0000000D">
            <w:pPr>
              <w:widowControl w:val="0"/>
              <w:rPr>
                <w:b w:val="1"/>
                <w:sz w:val="24"/>
                <w:szCs w:val="24"/>
              </w:rPr>
            </w:pPr>
            <w:r w:rsidDel="00000000" w:rsidR="00000000" w:rsidRPr="00000000">
              <w:rPr>
                <w:b w:val="1"/>
                <w:sz w:val="24"/>
                <w:szCs w:val="24"/>
                <w:rtl w:val="0"/>
              </w:rPr>
              <w:t xml:space="preserve">Features Dropped</w:t>
            </w:r>
          </w:p>
        </w:tc>
      </w:tr>
      <w:tr>
        <w:trPr>
          <w:trHeight w:val="450" w:hRule="atLeast"/>
        </w:trPr>
        <w:tc>
          <w:tcPr>
            <w:tcMar>
              <w:top w:w="100.0" w:type="dxa"/>
              <w:left w:w="100.0" w:type="dxa"/>
              <w:bottom w:w="100.0" w:type="dxa"/>
              <w:right w:w="100.0" w:type="dxa"/>
            </w:tcMar>
            <w:vAlign w:val="center"/>
          </w:tcPr>
          <w:p w:rsidR="00000000" w:rsidDel="00000000" w:rsidP="00000000" w:rsidRDefault="00000000" w:rsidRPr="00000000" w14:paraId="0000000E">
            <w:pPr>
              <w:widowControl w:val="0"/>
              <w:rPr>
                <w:sz w:val="24"/>
                <w:szCs w:val="24"/>
              </w:rPr>
            </w:pPr>
            <w:r w:rsidDel="00000000" w:rsidR="00000000" w:rsidRPr="00000000">
              <w:rPr>
                <w:sz w:val="24"/>
                <w:szCs w:val="24"/>
                <w:rtl w:val="0"/>
              </w:rPr>
              <w:t xml:space="preserve">Model 1.</w:t>
            </w:r>
          </w:p>
        </w:tc>
        <w:tc>
          <w:tcPr>
            <w:tcMar>
              <w:top w:w="100.0" w:type="dxa"/>
              <w:left w:w="100.0" w:type="dxa"/>
              <w:bottom w:w="100.0" w:type="dxa"/>
              <w:right w:w="100.0" w:type="dxa"/>
            </w:tcMar>
            <w:vAlign w:val="center"/>
          </w:tcPr>
          <w:p w:rsidR="00000000" w:rsidDel="00000000" w:rsidP="00000000" w:rsidRDefault="00000000" w:rsidRPr="00000000" w14:paraId="0000000F">
            <w:pPr>
              <w:widowControl w:val="0"/>
              <w:rPr>
                <w:sz w:val="24"/>
                <w:szCs w:val="24"/>
              </w:rPr>
            </w:pPr>
            <w:r w:rsidDel="00000000" w:rsidR="00000000" w:rsidRPr="00000000">
              <w:rPr>
                <w:sz w:val="24"/>
                <w:szCs w:val="24"/>
                <w:rtl w:val="0"/>
              </w:rPr>
              <w:t xml:space="preserve">0.930323</w:t>
            </w:r>
          </w:p>
        </w:tc>
        <w:tc>
          <w:tcPr>
            <w:tcMar>
              <w:top w:w="100.0" w:type="dxa"/>
              <w:left w:w="100.0" w:type="dxa"/>
              <w:bottom w:w="100.0" w:type="dxa"/>
              <w:right w:w="100.0" w:type="dxa"/>
            </w:tcMar>
            <w:vAlign w:val="center"/>
          </w:tcPr>
          <w:p w:rsidR="00000000" w:rsidDel="00000000" w:rsidP="00000000" w:rsidRDefault="00000000" w:rsidRPr="00000000" w14:paraId="00000010">
            <w:pPr>
              <w:widowControl w:val="0"/>
              <w:rPr>
                <w:sz w:val="24"/>
                <w:szCs w:val="24"/>
              </w:rPr>
            </w:pPr>
            <w:r w:rsidDel="00000000" w:rsidR="00000000" w:rsidRPr="00000000">
              <w:rPr>
                <w:sz w:val="24"/>
                <w:szCs w:val="24"/>
                <w:rtl w:val="0"/>
              </w:rPr>
              <w:t xml:space="preserve">5.15880</w:t>
            </w:r>
          </w:p>
        </w:tc>
        <w:tc>
          <w:tcPr>
            <w:tcMar>
              <w:top w:w="100.0" w:type="dxa"/>
              <w:left w:w="100.0" w:type="dxa"/>
              <w:bottom w:w="100.0" w:type="dxa"/>
              <w:right w:w="100.0" w:type="dxa"/>
            </w:tcMar>
            <w:vAlign w:val="center"/>
          </w:tcPr>
          <w:p w:rsidR="00000000" w:rsidDel="00000000" w:rsidP="00000000" w:rsidRDefault="00000000" w:rsidRPr="00000000" w14:paraId="00000011">
            <w:pPr>
              <w:widowControl w:val="0"/>
              <w:rPr>
                <w:sz w:val="24"/>
                <w:szCs w:val="24"/>
              </w:rPr>
            </w:pPr>
            <w:r w:rsidDel="00000000" w:rsidR="00000000" w:rsidRPr="00000000">
              <w:rPr>
                <w:sz w:val="24"/>
                <w:szCs w:val="24"/>
                <w:rtl w:val="0"/>
              </w:rPr>
              <w:t xml:space="preserve">-</w:t>
            </w:r>
          </w:p>
        </w:tc>
      </w:tr>
      <w:tr>
        <w:trPr>
          <w:trHeight w:val="480" w:hRule="atLeast"/>
        </w:trPr>
        <w:tc>
          <w:tcPr>
            <w:tcMar>
              <w:top w:w="100.0" w:type="dxa"/>
              <w:left w:w="100.0" w:type="dxa"/>
              <w:bottom w:w="100.0" w:type="dxa"/>
              <w:right w:w="100.0" w:type="dxa"/>
            </w:tcMar>
            <w:vAlign w:val="center"/>
          </w:tcPr>
          <w:p w:rsidR="00000000" w:rsidDel="00000000" w:rsidP="00000000" w:rsidRDefault="00000000" w:rsidRPr="00000000" w14:paraId="00000012">
            <w:pPr>
              <w:widowControl w:val="0"/>
              <w:rPr>
                <w:sz w:val="24"/>
                <w:szCs w:val="24"/>
              </w:rPr>
            </w:pPr>
            <w:r w:rsidDel="00000000" w:rsidR="00000000" w:rsidRPr="00000000">
              <w:rPr>
                <w:sz w:val="24"/>
                <w:szCs w:val="24"/>
                <w:rtl w:val="0"/>
              </w:rPr>
              <w:t xml:space="preserve">Model 2.</w:t>
            </w:r>
          </w:p>
        </w:tc>
        <w:tc>
          <w:tcPr>
            <w:tcMar>
              <w:top w:w="100.0" w:type="dxa"/>
              <w:left w:w="100.0" w:type="dxa"/>
              <w:bottom w:w="100.0" w:type="dxa"/>
              <w:right w:w="100.0" w:type="dxa"/>
            </w:tcMar>
            <w:vAlign w:val="center"/>
          </w:tcPr>
          <w:p w:rsidR="00000000" w:rsidDel="00000000" w:rsidP="00000000" w:rsidRDefault="00000000" w:rsidRPr="00000000" w14:paraId="00000013">
            <w:pPr>
              <w:widowControl w:val="0"/>
              <w:rPr>
                <w:sz w:val="24"/>
                <w:szCs w:val="24"/>
              </w:rPr>
            </w:pPr>
            <w:r w:rsidDel="00000000" w:rsidR="00000000" w:rsidRPr="00000000">
              <w:rPr>
                <w:sz w:val="24"/>
                <w:szCs w:val="24"/>
                <w:rtl w:val="0"/>
              </w:rPr>
              <w:t xml:space="preserve">0.92061</w:t>
            </w:r>
          </w:p>
        </w:tc>
        <w:tc>
          <w:tcPr>
            <w:tcMar>
              <w:top w:w="100.0" w:type="dxa"/>
              <w:left w:w="100.0" w:type="dxa"/>
              <w:bottom w:w="100.0" w:type="dxa"/>
              <w:right w:w="100.0" w:type="dxa"/>
            </w:tcMar>
            <w:vAlign w:val="center"/>
          </w:tcPr>
          <w:p w:rsidR="00000000" w:rsidDel="00000000" w:rsidP="00000000" w:rsidRDefault="00000000" w:rsidRPr="00000000" w14:paraId="00000014">
            <w:pPr>
              <w:widowControl w:val="0"/>
              <w:rPr>
                <w:sz w:val="24"/>
                <w:szCs w:val="24"/>
              </w:rPr>
            </w:pPr>
            <w:r w:rsidDel="00000000" w:rsidR="00000000" w:rsidRPr="00000000">
              <w:rPr>
                <w:sz w:val="24"/>
                <w:szCs w:val="24"/>
                <w:rtl w:val="0"/>
              </w:rPr>
              <w:t xml:space="preserve">5.6444</w:t>
            </w:r>
          </w:p>
        </w:tc>
        <w:tc>
          <w:tcPr>
            <w:tcMar>
              <w:top w:w="100.0" w:type="dxa"/>
              <w:left w:w="100.0" w:type="dxa"/>
              <w:bottom w:w="100.0" w:type="dxa"/>
              <w:right w:w="100.0" w:type="dxa"/>
            </w:tcMar>
            <w:vAlign w:val="center"/>
          </w:tcPr>
          <w:p w:rsidR="00000000" w:rsidDel="00000000" w:rsidP="00000000" w:rsidRDefault="00000000" w:rsidRPr="00000000" w14:paraId="00000015">
            <w:pPr>
              <w:widowControl w:val="0"/>
              <w:rPr>
                <w:sz w:val="24"/>
                <w:szCs w:val="24"/>
              </w:rPr>
            </w:pPr>
            <w:r w:rsidDel="00000000" w:rsidR="00000000" w:rsidRPr="00000000">
              <w:rPr>
                <w:sz w:val="24"/>
                <w:szCs w:val="24"/>
                <w:rtl w:val="0"/>
              </w:rPr>
              <w:t xml:space="preserve">'state'</w:t>
            </w:r>
          </w:p>
        </w:tc>
      </w:tr>
      <w:tr>
        <w:trPr>
          <w:trHeight w:val="700" w:hRule="atLeast"/>
        </w:trPr>
        <w:tc>
          <w:tcPr>
            <w:tcMar>
              <w:top w:w="100.0" w:type="dxa"/>
              <w:left w:w="100.0" w:type="dxa"/>
              <w:bottom w:w="100.0" w:type="dxa"/>
              <w:right w:w="100.0" w:type="dxa"/>
            </w:tcMar>
            <w:vAlign w:val="center"/>
          </w:tcPr>
          <w:p w:rsidR="00000000" w:rsidDel="00000000" w:rsidP="00000000" w:rsidRDefault="00000000" w:rsidRPr="00000000" w14:paraId="00000016">
            <w:pPr>
              <w:widowControl w:val="0"/>
              <w:rPr>
                <w:sz w:val="24"/>
                <w:szCs w:val="24"/>
              </w:rPr>
            </w:pPr>
            <w:r w:rsidDel="00000000" w:rsidR="00000000" w:rsidRPr="00000000">
              <w:rPr>
                <w:sz w:val="24"/>
                <w:szCs w:val="24"/>
                <w:rtl w:val="0"/>
              </w:rPr>
              <w:t xml:space="preserve">Model 3.</w:t>
            </w:r>
          </w:p>
        </w:tc>
        <w:tc>
          <w:tcPr>
            <w:tcMar>
              <w:top w:w="100.0" w:type="dxa"/>
              <w:left w:w="100.0" w:type="dxa"/>
              <w:bottom w:w="100.0" w:type="dxa"/>
              <w:right w:w="100.0" w:type="dxa"/>
            </w:tcMar>
            <w:vAlign w:val="center"/>
          </w:tcPr>
          <w:p w:rsidR="00000000" w:rsidDel="00000000" w:rsidP="00000000" w:rsidRDefault="00000000" w:rsidRPr="00000000" w14:paraId="00000017">
            <w:pPr>
              <w:widowControl w:val="0"/>
              <w:rPr>
                <w:sz w:val="24"/>
                <w:szCs w:val="24"/>
              </w:rPr>
            </w:pPr>
            <w:r w:rsidDel="00000000" w:rsidR="00000000" w:rsidRPr="00000000">
              <w:rPr>
                <w:sz w:val="24"/>
                <w:szCs w:val="24"/>
                <w:rtl w:val="0"/>
              </w:rPr>
              <w:t xml:space="preserve">0.92181</w:t>
            </w:r>
          </w:p>
        </w:tc>
        <w:tc>
          <w:tcPr>
            <w:tcMar>
              <w:top w:w="100.0" w:type="dxa"/>
              <w:left w:w="100.0" w:type="dxa"/>
              <w:bottom w:w="100.0" w:type="dxa"/>
              <w:right w:w="100.0" w:type="dxa"/>
            </w:tcMar>
            <w:vAlign w:val="center"/>
          </w:tcPr>
          <w:p w:rsidR="00000000" w:rsidDel="00000000" w:rsidP="00000000" w:rsidRDefault="00000000" w:rsidRPr="00000000" w14:paraId="00000018">
            <w:pPr>
              <w:widowControl w:val="0"/>
              <w:rPr>
                <w:sz w:val="24"/>
                <w:szCs w:val="24"/>
              </w:rPr>
            </w:pPr>
            <w:r w:rsidDel="00000000" w:rsidR="00000000" w:rsidRPr="00000000">
              <w:rPr>
                <w:sz w:val="24"/>
                <w:szCs w:val="24"/>
                <w:rtl w:val="0"/>
              </w:rPr>
              <w:t xml:space="preserve">5.69612</w:t>
            </w:r>
          </w:p>
        </w:tc>
        <w:tc>
          <w:tcPr>
            <w:tcMar>
              <w:top w:w="100.0" w:type="dxa"/>
              <w:left w:w="100.0" w:type="dxa"/>
              <w:bottom w:w="100.0" w:type="dxa"/>
              <w:right w:w="100.0" w:type="dxa"/>
            </w:tcMar>
            <w:vAlign w:val="center"/>
          </w:tcPr>
          <w:p w:rsidR="00000000" w:rsidDel="00000000" w:rsidP="00000000" w:rsidRDefault="00000000" w:rsidRPr="00000000" w14:paraId="00000019">
            <w:pPr>
              <w:widowControl w:val="0"/>
              <w:rPr>
                <w:sz w:val="24"/>
                <w:szCs w:val="24"/>
              </w:rPr>
            </w:pPr>
            <w:r w:rsidDel="00000000" w:rsidR="00000000" w:rsidRPr="00000000">
              <w:rPr>
                <w:sz w:val="24"/>
                <w:szCs w:val="24"/>
                <w:rtl w:val="0"/>
              </w:rPr>
              <w:t xml:space="preserve">'state','summit_elev','base_elev'</w:t>
            </w:r>
          </w:p>
        </w:tc>
      </w:tr>
    </w:tbl>
    <w:p w:rsidR="00000000" w:rsidDel="00000000" w:rsidP="00000000" w:rsidRDefault="00000000" w:rsidRPr="00000000" w14:paraId="0000001A">
      <w:pPr>
        <w:widowControl w:val="0"/>
        <w:spacing w:after="200" w:before="200"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1B">
      <w:pPr>
        <w:widowControl w:val="0"/>
        <w:spacing w:after="200" w:before="200" w:line="360" w:lineRule="auto"/>
        <w:ind w:left="0" w:firstLine="0"/>
        <w:jc w:val="both"/>
        <w:rPr>
          <w:b w:val="1"/>
          <w:sz w:val="28"/>
          <w:szCs w:val="28"/>
        </w:rPr>
      </w:pPr>
      <w:r w:rsidDel="00000000" w:rsidR="00000000" w:rsidRPr="00000000">
        <w:rPr>
          <w:b w:val="1"/>
          <w:sz w:val="28"/>
          <w:szCs w:val="28"/>
          <w:rtl w:val="0"/>
        </w:rPr>
        <w:t xml:space="preserve">Finding and Recommendation </w:t>
      </w:r>
    </w:p>
    <w:p w:rsidR="00000000" w:rsidDel="00000000" w:rsidP="00000000" w:rsidRDefault="00000000" w:rsidRPr="00000000" w14:paraId="0000001C">
      <w:pPr>
        <w:widowControl w:val="0"/>
        <w:spacing w:after="200" w:before="200" w:line="360" w:lineRule="auto"/>
        <w:ind w:left="0" w:firstLine="0"/>
        <w:jc w:val="both"/>
        <w:rPr>
          <w:sz w:val="28"/>
          <w:szCs w:val="28"/>
        </w:rPr>
      </w:pPr>
      <w:r w:rsidDel="00000000" w:rsidR="00000000" w:rsidRPr="00000000">
        <w:rPr>
          <w:sz w:val="28"/>
          <w:szCs w:val="28"/>
          <w:rtl w:val="0"/>
        </w:rPr>
        <w:t xml:space="preserve">The result from visual exploration shows that the</w:t>
      </w:r>
      <w:r w:rsidDel="00000000" w:rsidR="00000000" w:rsidRPr="00000000">
        <w:rPr>
          <w:sz w:val="28"/>
          <w:szCs w:val="28"/>
          <w:rtl w:val="0"/>
        </w:rPr>
        <w:t xml:space="preserve"> vertical drop and summit elve are classified into three main classifications;</w:t>
      </w:r>
      <w:r w:rsidDel="00000000" w:rsidR="00000000" w:rsidRPr="00000000">
        <w:rPr>
          <w:rtl w:val="0"/>
        </w:rPr>
      </w:r>
    </w:p>
    <w:p w:rsidR="00000000" w:rsidDel="00000000" w:rsidP="00000000" w:rsidRDefault="00000000" w:rsidRPr="00000000" w14:paraId="0000001D">
      <w:pPr>
        <w:widowControl w:val="0"/>
        <w:spacing w:after="200" w:before="200" w:line="360" w:lineRule="auto"/>
        <w:ind w:left="0" w:firstLine="0"/>
        <w:jc w:val="both"/>
        <w:rPr>
          <w:sz w:val="28"/>
          <w:szCs w:val="28"/>
        </w:rPr>
      </w:pPr>
      <w:r w:rsidDel="00000000" w:rsidR="00000000" w:rsidRPr="00000000">
        <w:rPr>
          <w:sz w:val="28"/>
          <w:szCs w:val="28"/>
        </w:rPr>
        <w:drawing>
          <wp:inline distB="19050" distT="19050" distL="19050" distR="19050">
            <wp:extent cx="4538663" cy="309664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38663" cy="309664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widowControl w:val="0"/>
        <w:ind w:left="0" w:firstLine="0"/>
        <w:rPr>
          <w:sz w:val="28"/>
          <w:szCs w:val="28"/>
        </w:rPr>
      </w:pPr>
      <w:r w:rsidDel="00000000" w:rsidR="00000000" w:rsidRPr="00000000">
        <w:rPr>
          <w:sz w:val="28"/>
          <w:szCs w:val="28"/>
          <w:rtl w:val="0"/>
        </w:rPr>
        <w:t xml:space="preserve">The findings support increasing the Big Mountain lift tickets. Currently, the lift ticket during the weekend is $81/ adults. They can increase the lift tickets to $ 88/ adults. However, further analyses and investigations are needed to determine the ticket price for other products and determine the period in which the company can earn the $1,540,000 extra operation costs.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