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F1" w:rsidRPr="00664FF1" w:rsidRDefault="00664FF1" w:rsidP="00664FF1">
      <w:pPr>
        <w:keepNext/>
        <w:keepLines/>
        <w:spacing w:line="480" w:lineRule="auto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</w:rPr>
      </w:pPr>
      <w:r w:rsidRPr="00664FF1">
        <w:rPr>
          <w:rFonts w:ascii="Times New Roman" w:eastAsiaTheme="majorEastAsia" w:hAnsi="Times New Roman" w:cs="Times New Roman"/>
          <w:b/>
          <w:color w:val="000000" w:themeColor="text1"/>
        </w:rPr>
        <w:t>Appendix</w:t>
      </w:r>
    </w:p>
    <w:p w:rsidR="00664FF1" w:rsidRPr="00664FF1" w:rsidRDefault="00664FF1" w:rsidP="00664FF1">
      <w:pPr>
        <w:spacing w:line="480" w:lineRule="auto"/>
        <w:jc w:val="center"/>
        <w:rPr>
          <w:rFonts w:ascii="Times New Roman" w:eastAsia="SimSun" w:hAnsi="Times New Roman" w:cs="Times New Roman"/>
          <w:b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center"/>
        <w:rPr>
          <w:rFonts w:ascii="Times New Roman" w:eastAsia="SimSun" w:hAnsi="Times New Roman" w:cs="Times New Roman"/>
          <w:b/>
        </w:rPr>
      </w:pPr>
      <w:r w:rsidRPr="00664FF1">
        <w:rPr>
          <w:rFonts w:ascii="Times New Roman" w:eastAsia="Times New Roman" w:hAnsi="Times New Roman" w:cs="Times New Roman"/>
          <w:b/>
        </w:rPr>
        <w:t>Emergent properties of organic matter decomposition by soil enzymes</w:t>
      </w:r>
    </w:p>
    <w:p w:rsidR="00664FF1" w:rsidRPr="00664FF1" w:rsidRDefault="00664FF1" w:rsidP="00664FF1">
      <w:pPr>
        <w:spacing w:line="480" w:lineRule="auto"/>
        <w:rPr>
          <w:rFonts w:ascii="Times New Roman" w:eastAsia="Times New Roman" w:hAnsi="Times New Roman" w:cs="Times New Roman"/>
        </w:rPr>
      </w:pPr>
    </w:p>
    <w:p w:rsidR="00664FF1" w:rsidRPr="00664FF1" w:rsidRDefault="00664FF1" w:rsidP="00664FF1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64FF1">
        <w:rPr>
          <w:rFonts w:ascii="Times New Roman" w:eastAsia="Times New Roman" w:hAnsi="Times New Roman" w:cs="Times New Roman"/>
        </w:rPr>
        <w:t xml:space="preserve">Bin Wang </w:t>
      </w:r>
      <w:r w:rsidRPr="00664FF1">
        <w:rPr>
          <w:rFonts w:ascii="Times New Roman" w:eastAsia="Times New Roman" w:hAnsi="Times New Roman" w:cs="Times New Roman"/>
          <w:vertAlign w:val="superscript"/>
        </w:rPr>
        <w:t>1</w:t>
      </w:r>
      <w:r w:rsidRPr="00664FF1">
        <w:rPr>
          <w:rFonts w:ascii="Times New Roman" w:eastAsia="Times New Roman" w:hAnsi="Times New Roman" w:cs="Times New Roman"/>
        </w:rPr>
        <w:t xml:space="preserve">, Steven D. Allison </w:t>
      </w:r>
      <w:r w:rsidRPr="00664FF1">
        <w:rPr>
          <w:rFonts w:ascii="Times New Roman" w:eastAsia="Times New Roman" w:hAnsi="Times New Roman" w:cs="Times New Roman"/>
          <w:vertAlign w:val="superscript"/>
        </w:rPr>
        <w:t>1,2</w:t>
      </w:r>
    </w:p>
    <w:p w:rsidR="00664FF1" w:rsidRPr="00664FF1" w:rsidRDefault="00664FF1" w:rsidP="00664FF1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64FF1">
        <w:rPr>
          <w:rFonts w:ascii="Times New Roman" w:eastAsia="Times New Roman" w:hAnsi="Times New Roman" w:cs="Times New Roman"/>
          <w:vertAlign w:val="superscript"/>
        </w:rPr>
        <w:t>1</w:t>
      </w:r>
      <w:r w:rsidRPr="00664FF1">
        <w:rPr>
          <w:rFonts w:ascii="Times New Roman" w:eastAsia="Times New Roman" w:hAnsi="Times New Roman" w:cs="Times New Roman"/>
        </w:rPr>
        <w:t xml:space="preserve"> Department of Ecology and Evolutionary Biology, University of California, Irvine, CA</w:t>
      </w:r>
    </w:p>
    <w:p w:rsidR="00664FF1" w:rsidRPr="00664FF1" w:rsidRDefault="00664FF1" w:rsidP="00664FF1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64FF1">
        <w:rPr>
          <w:rFonts w:ascii="Times New Roman" w:eastAsia="Times New Roman" w:hAnsi="Times New Roman" w:cs="Times New Roman"/>
          <w:vertAlign w:val="superscript"/>
        </w:rPr>
        <w:t>2</w:t>
      </w:r>
      <w:r w:rsidRPr="00664FF1">
        <w:rPr>
          <w:rFonts w:ascii="Times New Roman" w:eastAsia="Times New Roman" w:hAnsi="Times New Roman" w:cs="Times New Roman"/>
        </w:rPr>
        <w:t xml:space="preserve"> Department of Earth System Science, University of California, Irvine, CA</w:t>
      </w: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FF0000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noProof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color w:val="000000" w:themeColor="text1"/>
        </w:rPr>
      </w:pPr>
      <w:r w:rsidRPr="00664FF1">
        <w:rPr>
          <w:rFonts w:ascii="Times New Roman" w:eastAsia="SimSun" w:hAnsi="Times New Roman" w:cs="Times New Roman"/>
          <w:b/>
          <w:noProof/>
          <w:color w:val="000000" w:themeColor="text1"/>
        </w:rPr>
        <w:lastRenderedPageBreak/>
        <w:drawing>
          <wp:inline distT="0" distB="0" distL="0" distR="0" wp14:anchorId="3574AAAA" wp14:editId="57C40869">
            <wp:extent cx="5876925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2399"/>
        <w:gridCol w:w="1204"/>
        <w:gridCol w:w="1413"/>
        <w:gridCol w:w="1624"/>
      </w:tblGrid>
      <w:tr w:rsidR="00664FF1" w:rsidRPr="00664FF1" w:rsidTr="003C6F6E">
        <w:trPr>
          <w:trHeight w:val="500"/>
        </w:trPr>
        <w:tc>
          <w:tcPr>
            <w:tcW w:w="66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 xml:space="preserve">Table A2 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Substrate concentrations initialized in DEMENT simulations (mg cm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-3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664FF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Substrate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64FF1">
              <w:rPr>
                <w:rFonts w:ascii="Times New Roman" w:eastAsia="Times New Roman" w:hAnsi="Times New Roman" w:cs="Times New Roman"/>
                <w:color w:val="000000"/>
              </w:rPr>
              <w:t>DeadMic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64FF1">
              <w:rPr>
                <w:rFonts w:ascii="Times New Roman" w:eastAsia="Times New Roman" w:hAnsi="Times New Roman" w:cs="Times New Roman"/>
                <w:color w:val="000000"/>
              </w:rPr>
              <w:t>DeadEnz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Cellulose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146.89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Hemicellulose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85.855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Starch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12.21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Chitin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4.9952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0.83254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Lignin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48.51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0.40425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Protein1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10.6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2.09704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Protein2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10.6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2.09704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Protein3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10.6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2.09704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OrgP1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12.48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0.478469</w:t>
            </w:r>
          </w:p>
        </w:tc>
      </w:tr>
      <w:tr w:rsidR="00664FF1" w:rsidRPr="00664FF1" w:rsidTr="003C6F6E">
        <w:trPr>
          <w:trHeight w:val="320"/>
        </w:trPr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OrgP2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1.8182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0.79745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0.478469</w:t>
            </w:r>
          </w:p>
        </w:tc>
      </w:tr>
    </w:tbl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b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1470"/>
        <w:gridCol w:w="2600"/>
        <w:gridCol w:w="2170"/>
        <w:gridCol w:w="876"/>
        <w:gridCol w:w="1015"/>
      </w:tblGrid>
      <w:tr w:rsidR="00664FF1" w:rsidRPr="00664FF1" w:rsidTr="003C6F6E">
        <w:trPr>
          <w:trHeight w:val="700"/>
        </w:trPr>
        <w:tc>
          <w:tcPr>
            <w:tcW w:w="81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 xml:space="preserve">Table A3 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Manipulated enzyme production rate scenarios and ECA parameter values. Bold values indicate simulations used in further analyses. </w:t>
            </w:r>
          </w:p>
        </w:tc>
      </w:tr>
      <w:tr w:rsidR="00664FF1" w:rsidRPr="00664FF1" w:rsidTr="003C6F6E">
        <w:trPr>
          <w:trHeight w:val="440"/>
        </w:trPr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Run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EnzProdConstit</w:t>
            </w:r>
            <w:proofErr w:type="spellEnd"/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EnzProdInduce</w:t>
            </w:r>
            <w:proofErr w:type="spellEnd"/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m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17.830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28.603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22.353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73.208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21.473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65.600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22.506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75.040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22.929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80.467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24.091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90.833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22.766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81.393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23.244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86.231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24.976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102.192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26.746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119.165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26.132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114.029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30.561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158.196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32.961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180.897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32.575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177.935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33.243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189.403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37.327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227.398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41.945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273.338</w:t>
            </w:r>
          </w:p>
        </w:tc>
      </w:tr>
      <w:tr w:rsidR="00664FF1" w:rsidRPr="00664FF1" w:rsidTr="003C6F6E">
        <w:trPr>
          <w:trHeight w:val="320"/>
        </w:trPr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51.635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color w:val="000000"/>
              </w:rPr>
              <w:t>379.492</w:t>
            </w:r>
          </w:p>
        </w:tc>
      </w:tr>
      <w:tr w:rsidR="00664FF1" w:rsidRPr="00664FF1" w:rsidTr="003C6F6E">
        <w:trPr>
          <w:trHeight w:val="320"/>
        </w:trPr>
        <w:tc>
          <w:tcPr>
            <w:tcW w:w="81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64FF1">
              <w:rPr>
                <w:rFonts w:ascii="Times New Roman" w:eastAsia="Times New Roman" w:hAnsi="Times New Roman" w:cs="Times New Roman"/>
                <w:color w:val="000000"/>
              </w:rPr>
              <w:t>EnzProdConstit</w:t>
            </w:r>
            <w:proofErr w:type="spellEnd"/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64FF1">
              <w:rPr>
                <w:rFonts w:ascii="Times New Roman" w:eastAsia="Times New Roman" w:hAnsi="Times New Roman" w:cs="Times New Roman"/>
                <w:color w:val="000000"/>
              </w:rPr>
              <w:t>EnzProdInduce</w:t>
            </w:r>
            <w:proofErr w:type="spellEnd"/>
            <w:r w:rsidRPr="00664FF1">
              <w:rPr>
                <w:rFonts w:ascii="Times New Roman" w:eastAsia="Times New Roman" w:hAnsi="Times New Roman" w:cs="Times New Roman"/>
                <w:color w:val="000000"/>
              </w:rPr>
              <w:t>: 10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mg C mg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day 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</w:t>
            </w:r>
          </w:p>
        </w:tc>
      </w:tr>
      <w:tr w:rsidR="00664FF1" w:rsidRPr="00664FF1" w:rsidTr="003C6F6E">
        <w:trPr>
          <w:trHeight w:val="320"/>
        </w:trPr>
        <w:tc>
          <w:tcPr>
            <w:tcW w:w="8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: mg substrate mg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enzyme d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</w:t>
            </w:r>
          </w:p>
        </w:tc>
      </w:tr>
      <w:tr w:rsidR="00664FF1" w:rsidRPr="00664FF1" w:rsidTr="003C6F6E">
        <w:trPr>
          <w:trHeight w:val="320"/>
        </w:trPr>
        <w:tc>
          <w:tcPr>
            <w:tcW w:w="8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: mg cm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-3</w:t>
            </w:r>
          </w:p>
        </w:tc>
      </w:tr>
    </w:tbl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1124"/>
        <w:gridCol w:w="5115"/>
        <w:gridCol w:w="2041"/>
      </w:tblGrid>
      <w:tr w:rsidR="00664FF1" w:rsidRPr="00664FF1" w:rsidTr="003C6F6E">
        <w:trPr>
          <w:trHeight w:val="320"/>
        </w:trPr>
        <w:tc>
          <w:tcPr>
            <w:tcW w:w="8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Table A4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Cellulose enzyme kinetic parameter values for the Michaelis-Menten equation. </w:t>
            </w:r>
          </w:p>
        </w:tc>
      </w:tr>
      <w:tr w:rsidR="00664FF1" w:rsidRPr="00664FF1" w:rsidTr="003C6F6E">
        <w:trPr>
          <w:trHeight w:val="320"/>
        </w:trPr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Enzyme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Vmax(mg substrate mg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-1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enzyme day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-1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Km (mg cm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-3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</w:tr>
      <w:tr w:rsidR="00664FF1" w:rsidRPr="00664FF1" w:rsidTr="003C6F6E">
        <w:trPr>
          <w:trHeight w:val="32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11.68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13.09</w:t>
            </w:r>
          </w:p>
        </w:tc>
      </w:tr>
      <w:tr w:rsidR="00664FF1" w:rsidRPr="00664FF1" w:rsidTr="003C6F6E">
        <w:trPr>
          <w:trHeight w:val="32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19.13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21.44</w:t>
            </w:r>
          </w:p>
        </w:tc>
      </w:tr>
      <w:tr w:rsidR="00664FF1" w:rsidRPr="00664FF1" w:rsidTr="003C6F6E">
        <w:trPr>
          <w:trHeight w:val="320"/>
        </w:trPr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36.72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41.16</w:t>
            </w:r>
          </w:p>
        </w:tc>
      </w:tr>
    </w:tbl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tbl>
      <w:tblPr>
        <w:tblW w:w="6880" w:type="dxa"/>
        <w:tblLook w:val="04A0" w:firstRow="1" w:lastRow="0" w:firstColumn="1" w:lastColumn="0" w:noHBand="0" w:noVBand="1"/>
      </w:tblPr>
      <w:tblGrid>
        <w:gridCol w:w="2593"/>
        <w:gridCol w:w="1262"/>
        <w:gridCol w:w="1701"/>
        <w:gridCol w:w="1324"/>
      </w:tblGrid>
      <w:tr w:rsidR="00664FF1" w:rsidRPr="00664FF1" w:rsidTr="003C6F6E">
        <w:trPr>
          <w:trHeight w:val="1220"/>
        </w:trPr>
        <w:tc>
          <w:tcPr>
            <w:tcW w:w="68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Table A5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ECA parameter values of different substrates based on the simulation with enzyme production rates of 15.0×10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mg C mg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day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(both constitutive and inducible).</w:t>
            </w:r>
          </w:p>
        </w:tc>
      </w:tr>
      <w:tr w:rsidR="00664FF1" w:rsidRPr="00664FF1" w:rsidTr="003C6F6E">
        <w:trPr>
          <w:trHeight w:val="380"/>
        </w:trPr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Substrate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</w:t>
            </w: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m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RMSE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Cellulose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30.561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158.196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Chitin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31.578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51.798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64FF1">
              <w:rPr>
                <w:rFonts w:ascii="Times New Roman" w:eastAsia="Times New Roman" w:hAnsi="Times New Roman" w:cs="Times New Roman"/>
                <w:color w:val="000000"/>
              </w:rPr>
              <w:t>DeadEnz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10.027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7.717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Hemicellulose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48.030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90.618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0.019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Lignin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14.826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27.247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OrgP1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43.331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100.000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OrgP2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73.453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100.000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Protein1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35.204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100.000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Protein2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26.128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100.000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Protein3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48.722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100.000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Starch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34.229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100.000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</w:tr>
      <w:tr w:rsidR="00664FF1" w:rsidRPr="00664FF1" w:rsidTr="003C6F6E">
        <w:trPr>
          <w:trHeight w:val="360"/>
        </w:trPr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17.806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1177.599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0.178</w:t>
            </w:r>
          </w:p>
        </w:tc>
      </w:tr>
      <w:tr w:rsidR="00664FF1" w:rsidRPr="00664FF1" w:rsidTr="003C6F6E">
        <w:trPr>
          <w:trHeight w:val="960"/>
        </w:trPr>
        <w:tc>
          <w:tcPr>
            <w:tcW w:w="68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Note: parameter values of substrates from OrgP1 through Starch are derived from fits with an upper bound of 100.0 for each parameter to avoid overfitting and should be interpreted with caution.</w:t>
            </w:r>
          </w:p>
        </w:tc>
      </w:tr>
      <w:tr w:rsidR="00664FF1" w:rsidRPr="00664FF1" w:rsidTr="003C6F6E">
        <w:trPr>
          <w:trHeight w:val="380"/>
        </w:trPr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Cs/>
                <w:color w:val="000000"/>
              </w:rPr>
              <w:t>k</w:t>
            </w:r>
            <w:r w:rsidRPr="00664FF1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2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: mg substrate mg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enzyme d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FF1" w:rsidRPr="00664FF1" w:rsidTr="003C6F6E">
        <w:trPr>
          <w:trHeight w:val="380"/>
        </w:trPr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Cs/>
                <w:color w:val="000000"/>
              </w:rPr>
              <w:t>k</w:t>
            </w:r>
            <w:r w:rsidRPr="00664FF1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m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: mg cm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FF1" w:rsidRPr="00664FF1" w:rsidTr="003C6F6E">
        <w:trPr>
          <w:trHeight w:val="360"/>
        </w:trPr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64FF1">
              <w:rPr>
                <w:rFonts w:ascii="Times New Roman" w:eastAsia="Times New Roman" w:hAnsi="Times New Roman" w:cs="Times New Roman"/>
                <w:bCs/>
                <w:color w:val="000000"/>
              </w:rPr>
              <w:t>RMSE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>: mg cm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-3</w:t>
            </w:r>
            <w:r w:rsidRPr="00664FF1">
              <w:rPr>
                <w:rFonts w:ascii="Times New Roman" w:eastAsia="Times New Roman" w:hAnsi="Times New Roman" w:cs="Times New Roman"/>
                <w:color w:val="000000"/>
              </w:rPr>
              <w:t xml:space="preserve"> d</w:t>
            </w:r>
            <w:r w:rsidRPr="00664FF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F1" w:rsidRPr="00664FF1" w:rsidRDefault="00664FF1" w:rsidP="0066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  <w:r w:rsidRPr="00664FF1">
        <w:rPr>
          <w:rFonts w:ascii="Times New Roman" w:eastAsia="SimSu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6837705" wp14:editId="4C79AA3F">
            <wp:extent cx="5943600" cy="2272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pporting_Fig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  <w:r w:rsidRPr="00664FF1">
        <w:rPr>
          <w:rFonts w:ascii="Times New Roman" w:eastAsia="SimSun" w:hAnsi="Times New Roman" w:cs="Times New Roman"/>
          <w:b/>
          <w:color w:val="000000" w:themeColor="text1"/>
        </w:rPr>
        <w:t>Fig.A1 Degradation rate versus substrate and enzyme concentration over the 100</w:t>
      </w:r>
      <w:r w:rsidRPr="00664FF1">
        <w:rPr>
          <w:rFonts w:ascii="Times New Roman" w:eastAsia="SimSun" w:hAnsi="Times New Roman" w:cs="Times New Roman"/>
          <w:color w:val="000000" w:themeColor="text1"/>
        </w:rPr>
        <w:sym w:font="Symbol" w:char="F0B4"/>
      </w:r>
      <w:r w:rsidRPr="00664FF1">
        <w:rPr>
          <w:rFonts w:ascii="Times New Roman" w:eastAsia="SimSun" w:hAnsi="Times New Roman" w:cs="Times New Roman"/>
          <w:b/>
          <w:color w:val="000000" w:themeColor="text1"/>
        </w:rPr>
        <w:t>100 spatial grid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 </w:t>
      </w:r>
      <w:r w:rsidRPr="00664FF1">
        <w:rPr>
          <w:rFonts w:ascii="Times New Roman" w:eastAsia="SimSun" w:hAnsi="Times New Roman" w:cs="Times New Roman"/>
          <w:b/>
          <w:color w:val="000000" w:themeColor="text1"/>
        </w:rPr>
        <w:t xml:space="preserve">with data from specific dates plotted together. </w:t>
      </w:r>
      <w:r w:rsidRPr="00664FF1">
        <w:rPr>
          <w:rFonts w:ascii="Times New Roman" w:eastAsia="SimSun" w:hAnsi="Times New Roman" w:cs="Times New Roman"/>
          <w:color w:val="000000" w:themeColor="text1"/>
        </w:rPr>
        <w:t>Points represent grid box data on days 40, 80, 120, 160, and 200 from the simulation with enzyme production rates of 15.0</w:t>
      </w:r>
      <w:r w:rsidRPr="00664FF1">
        <w:rPr>
          <w:rFonts w:ascii="Times New Roman" w:eastAsia="SimSun" w:hAnsi="Times New Roman" w:cs="Times New Roman"/>
          <w:color w:val="000000" w:themeColor="text1"/>
        </w:rPr>
        <w:sym w:font="Symbol" w:char="F0B4"/>
      </w:r>
      <w:r w:rsidRPr="00664FF1">
        <w:rPr>
          <w:rFonts w:ascii="Times New Roman" w:eastAsia="SimSun" w:hAnsi="Times New Roman" w:cs="Times New Roman"/>
          <w:color w:val="000000" w:themeColor="text1"/>
        </w:rPr>
        <w:t>10</w:t>
      </w:r>
      <w:r w:rsidRPr="00664FF1">
        <w:rPr>
          <w:rFonts w:ascii="Times New Roman" w:eastAsia="SimSun" w:hAnsi="Times New Roman" w:cs="Times New Roman"/>
          <w:color w:val="000000" w:themeColor="text1"/>
          <w:vertAlign w:val="superscript"/>
        </w:rPr>
        <w:t>-5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 mg C mg</w:t>
      </w:r>
      <w:r w:rsidRPr="00664FF1">
        <w:rPr>
          <w:rFonts w:ascii="Times New Roman" w:eastAsia="SimSun" w:hAnsi="Times New Roman" w:cs="Times New Roman"/>
          <w:color w:val="000000" w:themeColor="text1"/>
          <w:vertAlign w:val="superscript"/>
        </w:rPr>
        <w:t>-1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 day</w:t>
      </w:r>
      <w:r w:rsidRPr="00664FF1">
        <w:rPr>
          <w:rFonts w:ascii="Times New Roman" w:eastAsia="SimSun" w:hAnsi="Times New Roman" w:cs="Times New Roman"/>
          <w:color w:val="000000" w:themeColor="text1"/>
          <w:vertAlign w:val="superscript"/>
        </w:rPr>
        <w:t>-1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 (both constitutive and inducible). High intensity of red denotes high density of points based on kernel density distribution. Blue points denote the means for each day. </w:t>
      </w: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  <w:r w:rsidRPr="00664FF1">
        <w:rPr>
          <w:rFonts w:ascii="Times New Roman" w:eastAsia="SimSu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2850BE6" wp14:editId="75266EA9">
            <wp:extent cx="5943600" cy="2098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A_Sensitivity_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F1" w:rsidRPr="00664FF1" w:rsidRDefault="00664FF1" w:rsidP="00664FF1">
      <w:pPr>
        <w:spacing w:line="480" w:lineRule="auto"/>
        <w:jc w:val="both"/>
        <w:rPr>
          <w:rFonts w:ascii="Times New Roman" w:eastAsia="SimSun" w:hAnsi="Times New Roman" w:cs="Times New Roman"/>
          <w:color w:val="000000" w:themeColor="text1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664FF1">
        <w:rPr>
          <w:rFonts w:ascii="Times New Roman" w:eastAsia="SimSun" w:hAnsi="Times New Roman" w:cs="Times New Roman"/>
          <w:b/>
          <w:color w:val="000000" w:themeColor="text1"/>
        </w:rPr>
        <w:t>Fig.A2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  </w:t>
      </w:r>
      <w:r w:rsidRPr="00664FF1">
        <w:rPr>
          <w:rFonts w:ascii="Times New Roman" w:eastAsia="SimSun" w:hAnsi="Times New Roman" w:cs="Times New Roman"/>
          <w:b/>
          <w:color w:val="000000" w:themeColor="text1"/>
        </w:rPr>
        <w:t>Cellulose degradation rate as a function of both substrate and enzyme concentration.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 Similar to </w:t>
      </w:r>
      <w:r w:rsidRPr="00664FF1">
        <w:rPr>
          <w:rFonts w:ascii="Times New Roman" w:eastAsia="SimSun" w:hAnsi="Times New Roman" w:cs="Times New Roman"/>
          <w:b/>
          <w:color w:val="000000" w:themeColor="text1"/>
        </w:rPr>
        <w:t>Fig.4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, </w:t>
      </w:r>
      <w:r w:rsidRPr="00664FF1">
        <w:rPr>
          <w:rFonts w:ascii="Times New Roman" w:eastAsia="Times New Roman" w:hAnsi="Times New Roman" w:cs="Times New Roman"/>
        </w:rPr>
        <w:t xml:space="preserve">grey points follow the best fit ECA equation (see </w:t>
      </w:r>
      <w:r w:rsidRPr="00664FF1">
        <w:rPr>
          <w:rFonts w:ascii="Times New Roman" w:eastAsia="Times New Roman" w:hAnsi="Times New Roman" w:cs="Times New Roman"/>
          <w:b/>
        </w:rPr>
        <w:t>Table A3</w:t>
      </w:r>
      <w:r w:rsidRPr="00664FF1">
        <w:rPr>
          <w:rFonts w:ascii="Times New Roman" w:eastAsia="Times New Roman" w:hAnsi="Times New Roman" w:cs="Times New Roman"/>
        </w:rPr>
        <w:t xml:space="preserve"> for the parameter values). Points in color represent averages over the grid of each day with colors denoting enzyme (</w:t>
      </w:r>
      <w:r w:rsidRPr="00664FF1">
        <w:rPr>
          <w:rFonts w:ascii="Times New Roman" w:eastAsia="Times New Roman" w:hAnsi="Times New Roman" w:cs="Times New Roman"/>
          <w:b/>
        </w:rPr>
        <w:t>A</w:t>
      </w:r>
      <w:r w:rsidRPr="00664FF1">
        <w:rPr>
          <w:rFonts w:ascii="Times New Roman" w:eastAsia="Times New Roman" w:hAnsi="Times New Roman" w:cs="Times New Roman"/>
        </w:rPr>
        <w:t>) or substrate concentration (</w:t>
      </w:r>
      <w:r w:rsidRPr="00664FF1">
        <w:rPr>
          <w:rFonts w:ascii="Times New Roman" w:eastAsia="Times New Roman" w:hAnsi="Times New Roman" w:cs="Times New Roman"/>
          <w:b/>
        </w:rPr>
        <w:t>B</w:t>
      </w:r>
      <w:r w:rsidRPr="00664FF1">
        <w:rPr>
          <w:rFonts w:ascii="Times New Roman" w:eastAsia="Times New Roman" w:hAnsi="Times New Roman" w:cs="Times New Roman"/>
        </w:rPr>
        <w:t xml:space="preserve">). 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In contrast to </w:t>
      </w:r>
      <w:r w:rsidRPr="00664FF1">
        <w:rPr>
          <w:rFonts w:ascii="Times New Roman" w:eastAsia="SimSun" w:hAnsi="Times New Roman" w:cs="Times New Roman"/>
          <w:b/>
          <w:color w:val="000000" w:themeColor="text1"/>
        </w:rPr>
        <w:t>Fig.4,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 the ECA equation is fitted with data from five simulations with different enzyme production rates </w:t>
      </w:r>
      <w:r w:rsidRPr="00664FF1">
        <w:rPr>
          <w:rFonts w:ascii="Times New Roman" w:eastAsia="Times New Roman" w:hAnsi="Times New Roman" w:cs="Times New Roman"/>
        </w:rPr>
        <w:t>(5</w:t>
      </w:r>
      <w:r w:rsidRPr="00664FF1">
        <w:rPr>
          <w:rFonts w:ascii="Times New Roman" w:eastAsia="SimSun" w:hAnsi="Times New Roman" w:cs="Times New Roman"/>
          <w:color w:val="000000" w:themeColor="text1"/>
        </w:rPr>
        <w:sym w:font="Symbol" w:char="F0B4"/>
      </w:r>
      <w:r w:rsidRPr="00664FF1">
        <w:rPr>
          <w:rFonts w:ascii="Times New Roman" w:eastAsia="Times New Roman" w:hAnsi="Times New Roman" w:cs="Times New Roman"/>
        </w:rPr>
        <w:t>10</w:t>
      </w:r>
      <w:r w:rsidRPr="00664FF1">
        <w:rPr>
          <w:rFonts w:ascii="Times New Roman" w:eastAsia="Times New Roman" w:hAnsi="Times New Roman" w:cs="Times New Roman"/>
          <w:vertAlign w:val="superscript"/>
        </w:rPr>
        <w:t>-5</w:t>
      </w:r>
      <w:r w:rsidRPr="00664FF1">
        <w:rPr>
          <w:rFonts w:ascii="Times New Roman" w:eastAsia="Times New Roman" w:hAnsi="Times New Roman" w:cs="Times New Roman"/>
        </w:rPr>
        <w:t>, 10</w:t>
      </w:r>
      <w:r w:rsidRPr="00664FF1">
        <w:rPr>
          <w:rFonts w:ascii="Times New Roman" w:eastAsia="SimSun" w:hAnsi="Times New Roman" w:cs="Times New Roman"/>
          <w:color w:val="000000" w:themeColor="text1"/>
        </w:rPr>
        <w:sym w:font="Symbol" w:char="F0B4"/>
      </w:r>
      <w:r w:rsidRPr="00664FF1">
        <w:rPr>
          <w:rFonts w:ascii="Times New Roman" w:eastAsia="Times New Roman" w:hAnsi="Times New Roman" w:cs="Times New Roman"/>
        </w:rPr>
        <w:t>10</w:t>
      </w:r>
      <w:r w:rsidRPr="00664FF1">
        <w:rPr>
          <w:rFonts w:ascii="Times New Roman" w:eastAsia="Times New Roman" w:hAnsi="Times New Roman" w:cs="Times New Roman"/>
          <w:vertAlign w:val="superscript"/>
        </w:rPr>
        <w:t>-5</w:t>
      </w:r>
      <w:r w:rsidRPr="00664FF1">
        <w:rPr>
          <w:rFonts w:ascii="Times New Roman" w:eastAsia="Times New Roman" w:hAnsi="Times New Roman" w:cs="Times New Roman"/>
        </w:rPr>
        <w:t>, 15</w:t>
      </w:r>
      <w:r w:rsidRPr="00664FF1">
        <w:rPr>
          <w:rFonts w:ascii="Times New Roman" w:eastAsia="SimSun" w:hAnsi="Times New Roman" w:cs="Times New Roman"/>
          <w:color w:val="000000" w:themeColor="text1"/>
        </w:rPr>
        <w:sym w:font="Symbol" w:char="F0B4"/>
      </w:r>
      <w:r w:rsidRPr="00664FF1">
        <w:rPr>
          <w:rFonts w:ascii="Times New Roman" w:eastAsia="Times New Roman" w:hAnsi="Times New Roman" w:cs="Times New Roman"/>
        </w:rPr>
        <w:t>10</w:t>
      </w:r>
      <w:r w:rsidRPr="00664FF1">
        <w:rPr>
          <w:rFonts w:ascii="Times New Roman" w:eastAsia="Times New Roman" w:hAnsi="Times New Roman" w:cs="Times New Roman"/>
          <w:vertAlign w:val="superscript"/>
        </w:rPr>
        <w:t>-5</w:t>
      </w:r>
      <w:r w:rsidRPr="00664FF1">
        <w:rPr>
          <w:rFonts w:ascii="Times New Roman" w:eastAsia="Times New Roman" w:hAnsi="Times New Roman" w:cs="Times New Roman"/>
        </w:rPr>
        <w:t>, 20</w:t>
      </w:r>
      <w:r w:rsidRPr="00664FF1">
        <w:rPr>
          <w:rFonts w:ascii="Times New Roman" w:eastAsia="SimSun" w:hAnsi="Times New Roman" w:cs="Times New Roman"/>
          <w:color w:val="000000" w:themeColor="text1"/>
        </w:rPr>
        <w:sym w:font="Symbol" w:char="F0B4"/>
      </w:r>
      <w:r w:rsidRPr="00664FF1">
        <w:rPr>
          <w:rFonts w:ascii="Times New Roman" w:eastAsia="Times New Roman" w:hAnsi="Times New Roman" w:cs="Times New Roman"/>
        </w:rPr>
        <w:t>10</w:t>
      </w:r>
      <w:r w:rsidRPr="00664FF1">
        <w:rPr>
          <w:rFonts w:ascii="Times New Roman" w:eastAsia="Times New Roman" w:hAnsi="Times New Roman" w:cs="Times New Roman"/>
          <w:vertAlign w:val="superscript"/>
        </w:rPr>
        <w:t>-5</w:t>
      </w:r>
      <w:r w:rsidRPr="00664FF1">
        <w:rPr>
          <w:rFonts w:ascii="Times New Roman" w:eastAsia="Times New Roman" w:hAnsi="Times New Roman" w:cs="Times New Roman"/>
        </w:rPr>
        <w:t>, and 30</w:t>
      </w:r>
      <w:r w:rsidRPr="00664FF1">
        <w:rPr>
          <w:rFonts w:ascii="Times New Roman" w:eastAsia="SimSun" w:hAnsi="Times New Roman" w:cs="Times New Roman"/>
          <w:color w:val="000000" w:themeColor="text1"/>
        </w:rPr>
        <w:sym w:font="Symbol" w:char="F0B4"/>
      </w:r>
      <w:r w:rsidRPr="00664FF1">
        <w:rPr>
          <w:rFonts w:ascii="Times New Roman" w:eastAsia="Times New Roman" w:hAnsi="Times New Roman" w:cs="Times New Roman"/>
        </w:rPr>
        <w:t>10</w:t>
      </w:r>
      <w:r w:rsidRPr="00664FF1">
        <w:rPr>
          <w:rFonts w:ascii="Times New Roman" w:eastAsia="Times New Roman" w:hAnsi="Times New Roman" w:cs="Times New Roman"/>
          <w:vertAlign w:val="superscript"/>
        </w:rPr>
        <w:t>-5</w:t>
      </w:r>
      <w:r w:rsidRPr="00664FF1">
        <w:rPr>
          <w:rFonts w:ascii="Times New Roman" w:eastAsia="Times New Roman" w:hAnsi="Times New Roman" w:cs="Times New Roman"/>
        </w:rPr>
        <w:t xml:space="preserve"> </w:t>
      </w:r>
      <w:r w:rsidRPr="00664FF1">
        <w:rPr>
          <w:rFonts w:ascii="Times New Roman" w:eastAsia="SimSun" w:hAnsi="Times New Roman" w:cs="Times New Roman"/>
          <w:color w:val="000000" w:themeColor="text1"/>
        </w:rPr>
        <w:t>mg C mg</w:t>
      </w:r>
      <w:r w:rsidRPr="00664FF1">
        <w:rPr>
          <w:rFonts w:ascii="Times New Roman" w:eastAsia="SimSun" w:hAnsi="Times New Roman" w:cs="Times New Roman"/>
          <w:color w:val="000000" w:themeColor="text1"/>
          <w:vertAlign w:val="superscript"/>
        </w:rPr>
        <w:t>-1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 day</w:t>
      </w:r>
      <w:r w:rsidRPr="00664FF1">
        <w:rPr>
          <w:rFonts w:ascii="Times New Roman" w:eastAsia="SimSun" w:hAnsi="Times New Roman" w:cs="Times New Roman"/>
          <w:color w:val="000000" w:themeColor="text1"/>
          <w:vertAlign w:val="superscript"/>
        </w:rPr>
        <w:t>-1</w:t>
      </w:r>
      <w:r w:rsidRPr="00664FF1">
        <w:rPr>
          <w:rFonts w:ascii="Times New Roman" w:eastAsia="Times New Roman" w:hAnsi="Times New Roman" w:cs="Times New Roman"/>
        </w:rPr>
        <w:t xml:space="preserve">, which are selected from scenarios in </w:t>
      </w:r>
      <w:r w:rsidRPr="00664FF1">
        <w:rPr>
          <w:rFonts w:ascii="Times New Roman" w:eastAsia="Times New Roman" w:hAnsi="Times New Roman" w:cs="Times New Roman"/>
          <w:b/>
        </w:rPr>
        <w:t>Table A3</w:t>
      </w:r>
      <w:r w:rsidRPr="00664FF1">
        <w:rPr>
          <w:rFonts w:ascii="Times New Roman" w:eastAsia="Times New Roman" w:hAnsi="Times New Roman" w:cs="Times New Roman"/>
        </w:rPr>
        <w:t>)</w:t>
      </w:r>
      <w:r w:rsidRPr="00664FF1">
        <w:rPr>
          <w:rFonts w:ascii="Times New Roman" w:eastAsia="SimSun" w:hAnsi="Times New Roman" w:cs="Times New Roman"/>
          <w:color w:val="000000" w:themeColor="text1"/>
        </w:rPr>
        <w:t xml:space="preserve">. </w:t>
      </w:r>
      <w:r w:rsidRPr="00664FF1">
        <w:rPr>
          <w:rFonts w:ascii="Times New Roman" w:eastAsia="Times New Roman" w:hAnsi="Times New Roman" w:cs="Times New Roman"/>
        </w:rPr>
        <w:t>The arrow in grey points toward increasing enzyme production rates across the simulations.</w:t>
      </w: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664FF1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E705030" wp14:editId="15C138F3">
            <wp:extent cx="5943600" cy="283464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porting Fig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F1" w:rsidRPr="00664FF1" w:rsidRDefault="00664FF1" w:rsidP="00664FF1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342B31" w:rsidRDefault="00664FF1" w:rsidP="00664FF1">
      <w:pPr>
        <w:spacing w:line="480" w:lineRule="auto"/>
      </w:pPr>
      <w:r w:rsidRPr="00664FF1">
        <w:rPr>
          <w:rFonts w:ascii="Times New Roman" w:eastAsia="Times New Roman" w:hAnsi="Times New Roman" w:cs="Times New Roman"/>
          <w:b/>
        </w:rPr>
        <w:t>Fig.A3 Same as Fig.4 but for different substrates. A,B)</w:t>
      </w:r>
      <w:r w:rsidRPr="00664FF1">
        <w:rPr>
          <w:rFonts w:ascii="Times New Roman" w:eastAsia="Times New Roman" w:hAnsi="Times New Roman" w:cs="Times New Roman"/>
        </w:rPr>
        <w:t xml:space="preserve"> Lignin (RMSE= 0.009 mg cm</w:t>
      </w:r>
      <w:r w:rsidRPr="00664FF1">
        <w:rPr>
          <w:rFonts w:ascii="Times New Roman" w:eastAsia="Times New Roman" w:hAnsi="Times New Roman" w:cs="Times New Roman"/>
          <w:vertAlign w:val="superscript"/>
        </w:rPr>
        <w:t>-3</w:t>
      </w:r>
      <w:r w:rsidRPr="00664FF1">
        <w:rPr>
          <w:rFonts w:ascii="Times New Roman" w:eastAsia="Times New Roman" w:hAnsi="Times New Roman" w:cs="Times New Roman"/>
        </w:rPr>
        <w:t xml:space="preserve"> d</w:t>
      </w:r>
      <w:r w:rsidRPr="00664FF1">
        <w:rPr>
          <w:rFonts w:ascii="Times New Roman" w:eastAsia="Times New Roman" w:hAnsi="Times New Roman" w:cs="Times New Roman"/>
          <w:vertAlign w:val="superscript"/>
        </w:rPr>
        <w:t>-1</w:t>
      </w:r>
      <w:r w:rsidRPr="00664FF1">
        <w:rPr>
          <w:rFonts w:ascii="Times New Roman" w:eastAsia="Times New Roman" w:hAnsi="Times New Roman" w:cs="Times New Roman"/>
        </w:rPr>
        <w:t xml:space="preserve">); </w:t>
      </w:r>
      <w:r w:rsidRPr="00664FF1">
        <w:rPr>
          <w:rFonts w:ascii="Times New Roman" w:eastAsia="Times New Roman" w:hAnsi="Times New Roman" w:cs="Times New Roman"/>
          <w:b/>
        </w:rPr>
        <w:t>C,D)</w:t>
      </w:r>
      <w:r w:rsidRPr="00664FF1">
        <w:rPr>
          <w:rFonts w:ascii="Times New Roman" w:eastAsia="Times New Roman" w:hAnsi="Times New Roman" w:cs="Times New Roman"/>
        </w:rPr>
        <w:t xml:space="preserve"> hemicellulose (RMSE= 0.019 mg cm</w:t>
      </w:r>
      <w:r w:rsidRPr="00664FF1">
        <w:rPr>
          <w:rFonts w:ascii="Times New Roman" w:eastAsia="Times New Roman" w:hAnsi="Times New Roman" w:cs="Times New Roman"/>
          <w:vertAlign w:val="superscript"/>
        </w:rPr>
        <w:t>-3</w:t>
      </w:r>
      <w:r w:rsidRPr="00664FF1">
        <w:rPr>
          <w:rFonts w:ascii="Times New Roman" w:eastAsia="Times New Roman" w:hAnsi="Times New Roman" w:cs="Times New Roman"/>
        </w:rPr>
        <w:t xml:space="preserve"> d</w:t>
      </w:r>
      <w:r w:rsidRPr="00664FF1">
        <w:rPr>
          <w:rFonts w:ascii="Times New Roman" w:eastAsia="Times New Roman" w:hAnsi="Times New Roman" w:cs="Times New Roman"/>
          <w:vertAlign w:val="superscript"/>
        </w:rPr>
        <w:t>-1</w:t>
      </w:r>
      <w:r w:rsidRPr="00664FF1">
        <w:rPr>
          <w:rFonts w:ascii="Times New Roman" w:eastAsia="Times New Roman" w:hAnsi="Times New Roman" w:cs="Times New Roman"/>
        </w:rPr>
        <w:t xml:space="preserve">); and </w:t>
      </w:r>
      <w:r w:rsidRPr="00664FF1">
        <w:rPr>
          <w:rFonts w:ascii="Times New Roman" w:eastAsia="Times New Roman" w:hAnsi="Times New Roman" w:cs="Times New Roman"/>
          <w:b/>
        </w:rPr>
        <w:t>E,F)</w:t>
      </w:r>
      <w:r w:rsidRPr="00664FF1">
        <w:rPr>
          <w:rFonts w:ascii="Times New Roman" w:eastAsia="Times New Roman" w:hAnsi="Times New Roman" w:cs="Times New Roman"/>
        </w:rPr>
        <w:t xml:space="preserve"> all substrates in the system (RMSE= 0.178 mg cm</w:t>
      </w:r>
      <w:r w:rsidRPr="00664FF1">
        <w:rPr>
          <w:rFonts w:ascii="Times New Roman" w:eastAsia="Times New Roman" w:hAnsi="Times New Roman" w:cs="Times New Roman"/>
          <w:vertAlign w:val="superscript"/>
        </w:rPr>
        <w:t>-3</w:t>
      </w:r>
      <w:r w:rsidRPr="00664FF1">
        <w:rPr>
          <w:rFonts w:ascii="Times New Roman" w:eastAsia="Times New Roman" w:hAnsi="Times New Roman" w:cs="Times New Roman"/>
        </w:rPr>
        <w:t xml:space="preserve"> d</w:t>
      </w:r>
      <w:r w:rsidRPr="00664FF1">
        <w:rPr>
          <w:rFonts w:ascii="Times New Roman" w:eastAsia="Times New Roman" w:hAnsi="Times New Roman" w:cs="Times New Roman"/>
          <w:vertAlign w:val="superscript"/>
        </w:rPr>
        <w:t>-1</w:t>
      </w:r>
      <w:r w:rsidRPr="00664FF1">
        <w:rPr>
          <w:rFonts w:ascii="Times New Roman" w:eastAsia="Times New Roman" w:hAnsi="Times New Roman" w:cs="Times New Roman"/>
        </w:rPr>
        <w:t xml:space="preserve">). See </w:t>
      </w:r>
      <w:r w:rsidRPr="00664FF1">
        <w:rPr>
          <w:rFonts w:ascii="Times New Roman" w:eastAsia="Times New Roman" w:hAnsi="Times New Roman" w:cs="Times New Roman"/>
          <w:b/>
        </w:rPr>
        <w:t>Table A5</w:t>
      </w:r>
      <w:r w:rsidRPr="00664FF1">
        <w:rPr>
          <w:rFonts w:ascii="Times New Roman" w:eastAsia="Times New Roman" w:hAnsi="Times New Roman" w:cs="Times New Roman"/>
        </w:rPr>
        <w:t xml:space="preserve"> for </w:t>
      </w:r>
      <w:bookmarkStart w:id="0" w:name="_GoBack"/>
      <w:bookmarkEnd w:id="0"/>
      <w:r w:rsidRPr="00664FF1">
        <w:rPr>
          <w:rFonts w:ascii="Times New Roman" w:eastAsia="Times New Roman" w:hAnsi="Times New Roman" w:cs="Times New Roman"/>
        </w:rPr>
        <w:t>ECA parameter values and all other substrates.</w:t>
      </w:r>
    </w:p>
    <w:sectPr w:rsidR="00342B31" w:rsidSect="00A2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F1"/>
    <w:rsid w:val="00664FF1"/>
    <w:rsid w:val="009565A6"/>
    <w:rsid w:val="00A2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E15E67-10C9-CF4D-B9BD-C58C2277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F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1</cp:revision>
  <dcterms:created xsi:type="dcterms:W3CDTF">2019-06-14T20:40:00Z</dcterms:created>
  <dcterms:modified xsi:type="dcterms:W3CDTF">2019-06-14T20:42:00Z</dcterms:modified>
</cp:coreProperties>
</file>