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DE4577" w:rsidR="00BA6D10" w:rsidRDefault="00E1209D" w:rsidP="00B34F9F">
      <w:pPr>
        <w:pStyle w:val="BodyText"/>
        <w:jc w:val="center"/>
        <w:rPr>
          <w:b/>
          <w:i w:val="0"/>
          <w:sz w:val="40"/>
          <w:lang w:val="en-AU"/>
        </w:rPr>
      </w:pPr>
      <w:r>
        <w:rPr>
          <w:b/>
          <w:i w:val="0"/>
          <w:sz w:val="40"/>
          <w:lang w:val="en-AU"/>
        </w:rPr>
        <w:t xml:space="preserve">Version </w:t>
      </w:r>
      <w:r w:rsidR="003570D7">
        <w:rPr>
          <w:b/>
          <w:i w:val="0"/>
          <w:sz w:val="40"/>
          <w:lang w:val="en-AU"/>
        </w:rPr>
        <w:t>5.0.0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BBA8871" w:rsidR="00CE126F" w:rsidRPr="00CF4E55" w:rsidRDefault="00B37706" w:rsidP="00E1209D">
      <w:pPr>
        <w:pStyle w:val="BodyText"/>
        <w:jc w:val="center"/>
        <w:rPr>
          <w:rFonts w:ascii="Arial" w:hAnsi="Arial" w:cs="Arial"/>
          <w:i w:val="0"/>
          <w:noProof/>
          <w:lang w:val="en-AU"/>
        </w:rPr>
      </w:pPr>
      <w:r>
        <w:rPr>
          <w:rFonts w:ascii="Arial" w:hAnsi="Arial" w:cs="Arial"/>
          <w:i w:val="0"/>
          <w:noProof/>
          <w:lang w:val="en-AU"/>
        </w:rPr>
        <w:t>September</w:t>
      </w:r>
      <w:r w:rsidR="006E551D">
        <w:rPr>
          <w:rFonts w:ascii="Arial" w:hAnsi="Arial" w:cs="Arial"/>
          <w:i w:val="0"/>
          <w:noProof/>
          <w:lang w:val="en-AU"/>
        </w:rPr>
        <w:t xml:space="preserve"> </w:t>
      </w:r>
      <w:r w:rsidR="00887038">
        <w:rPr>
          <w:rFonts w:ascii="Arial" w:hAnsi="Arial" w:cs="Arial"/>
          <w:i w:val="0"/>
          <w:noProof/>
          <w:lang w:val="en-AU"/>
        </w:rPr>
        <w:t>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52B072FF"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w:t>
      </w:r>
      <w:r w:rsidR="002D31BF">
        <w:rPr>
          <w:lang w:val="en-AU"/>
        </w:rPr>
        <w:t>.</w:t>
      </w:r>
    </w:p>
    <w:p w14:paraId="4756C9D1" w14:textId="04C92D9D"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r w:rsidR="008D020B">
        <w:rPr>
          <w:lang w:val="en-AU"/>
        </w:rPr>
        <w:t>Training and</w:t>
      </w:r>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6CAA49D"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071A1792" w14:textId="05289239" w:rsidR="008D020B" w:rsidRDefault="008D020B" w:rsidP="009A524A">
      <w:pPr>
        <w:widowControl/>
        <w:spacing w:before="0" w:after="0"/>
        <w:jc w:val="left"/>
        <w:rPr>
          <w:szCs w:val="24"/>
          <w:lang w:val="en-AU"/>
        </w:rPr>
      </w:pPr>
      <w:r>
        <w:rPr>
          <w:szCs w:val="24"/>
          <w:lang w:val="en-AU"/>
        </w:rPr>
        <w:t>Damian Merrick (HydroAlgorithmics)</w:t>
      </w:r>
    </w:p>
    <w:p w14:paraId="007E3F92" w14:textId="17B1706A" w:rsidR="008D020B" w:rsidRDefault="008D020B" w:rsidP="009A524A">
      <w:pPr>
        <w:widowControl/>
        <w:spacing w:before="0" w:after="0"/>
        <w:jc w:val="left"/>
        <w:rPr>
          <w:szCs w:val="24"/>
          <w:lang w:val="en-AU"/>
        </w:rPr>
      </w:pPr>
      <w:r>
        <w:rPr>
          <w:szCs w:val="24"/>
          <w:lang w:val="en-AU"/>
        </w:rPr>
        <w:t>Chis Nicol (Groundwater Logic)</w:t>
      </w:r>
    </w:p>
    <w:p w14:paraId="0D324DA1" w14:textId="77777777" w:rsidR="008D020B" w:rsidRDefault="008D020B" w:rsidP="009A524A">
      <w:pPr>
        <w:widowControl/>
        <w:spacing w:before="0" w:after="0"/>
        <w:jc w:val="left"/>
        <w:rPr>
          <w:szCs w:val="24"/>
          <w:lang w:val="en-AU"/>
        </w:rPr>
      </w:pP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54187C0" w14:textId="0FACC388" w:rsidR="00B37706" w:rsidRDefault="000D645A" w:rsidP="00E1209D">
      <w:pPr>
        <w:rPr>
          <w:lang w:val="en-AU"/>
        </w:rPr>
      </w:pPr>
      <w:r>
        <w:rPr>
          <w:lang w:val="en-AU"/>
        </w:rPr>
        <w:t xml:space="preserve">The present document </w:t>
      </w:r>
      <w:r w:rsidR="00EF1F32">
        <w:rPr>
          <w:lang w:val="en-AU"/>
        </w:rPr>
        <w:t>serve</w:t>
      </w:r>
      <w:r w:rsidR="00B37706">
        <w:rPr>
          <w:lang w:val="en-AU"/>
        </w:rPr>
        <w:t>s</w:t>
      </w:r>
      <w:r w:rsidR="00EF1F32">
        <w:rPr>
          <w:lang w:val="en-AU"/>
        </w:rPr>
        <w:t xml:space="preserve"> as manual </w:t>
      </w:r>
      <w:r w:rsidR="00B37706">
        <w:rPr>
          <w:lang w:val="en-AU"/>
        </w:rPr>
        <w:t xml:space="preserve">the current </w:t>
      </w:r>
      <w:r w:rsidR="00EF1F32">
        <w:rPr>
          <w:lang w:val="en-AU"/>
        </w:rPr>
        <w:t>version of PEST</w:t>
      </w:r>
      <w:r w:rsidR="005338E6">
        <w:rPr>
          <w:lang w:val="en-AU"/>
        </w:rPr>
        <w:t>++</w:t>
      </w:r>
      <w:r w:rsidR="00EF1F32">
        <w:rPr>
          <w:lang w:val="en-AU"/>
        </w:rPr>
        <w:t xml:space="preserve">. </w:t>
      </w:r>
    </w:p>
    <w:p w14:paraId="71D5FD1D" w14:textId="77777777" w:rsidR="00B37706" w:rsidRDefault="00B37706" w:rsidP="00E1209D">
      <w:pPr>
        <w:rPr>
          <w:lang w:val="en-AU"/>
        </w:rPr>
      </w:pP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95C3107" w:rsidR="00887038" w:rsidRDefault="00887038">
      <w:pPr>
        <w:widowControl/>
        <w:spacing w:before="0" w:after="0"/>
        <w:jc w:val="left"/>
        <w:rPr>
          <w:lang w:val="en-AU"/>
        </w:rPr>
      </w:pPr>
    </w:p>
    <w:p w14:paraId="20D1BE2D" w14:textId="297975A7" w:rsidR="00B37706" w:rsidRDefault="00B37706">
      <w:pPr>
        <w:widowControl/>
        <w:spacing w:before="0" w:after="0"/>
        <w:jc w:val="left"/>
        <w:rPr>
          <w:lang w:val="en-AU"/>
        </w:rPr>
      </w:pPr>
    </w:p>
    <w:p w14:paraId="33A34F13" w14:textId="1B1D69B7" w:rsidR="00B37706" w:rsidRDefault="00B37706">
      <w:pPr>
        <w:widowControl/>
        <w:spacing w:before="0" w:after="0"/>
        <w:jc w:val="left"/>
        <w:rPr>
          <w:lang w:val="en-AU"/>
        </w:rPr>
      </w:pPr>
    </w:p>
    <w:p w14:paraId="526D54D7" w14:textId="77777777" w:rsidR="00B37706" w:rsidRDefault="00B37706">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CB733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CB733E">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CB733E">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CB733E">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CB733E">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CB733E">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CB733E">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CB733E">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CB733E" w:rsidP="00755437">
      <w:pPr>
        <w:ind w:firstLine="720"/>
        <w:rPr>
          <w:lang w:val="en-AU"/>
        </w:rPr>
      </w:pPr>
      <w:r w:rsidRPr="00B23298">
        <w:rPr>
          <w:noProof/>
          <w:position w:val="-32"/>
          <w:lang w:val="en-AU"/>
        </w:rPr>
        <w:object w:dxaOrig="980" w:dyaOrig="740" w14:anchorId="13D8D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60546254"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CB733E" w:rsidRPr="007940A5">
        <w:rPr>
          <w:noProof/>
          <w:position w:val="-14"/>
          <w:lang w:val="en-AU"/>
        </w:rPr>
        <w:object w:dxaOrig="1380" w:dyaOrig="420" w14:anchorId="46481893">
          <v:shape id="_x0000_i1026" type="#_x0000_t75" alt="" style="width:66.9pt;height:16.75pt;mso-width-percent:0;mso-height-percent:0;mso-width-percent:0;mso-height-percent:0" o:ole="">
            <v:imagedata r:id="rId20" o:title=""/>
          </v:shape>
          <o:OLEObject Type="Embed" ProgID="Equation.3" ShapeID="_x0000_i1026" DrawAspect="Content" ObjectID="_166054625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3CB1DE65" w:rsidR="00856671" w:rsidRPr="008D020B"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r w:rsidR="008D020B">
        <w:t xml:space="preserve">  The workers that execute runs write all information related to communications with the master to </w:t>
      </w:r>
      <w:r w:rsidR="00FE78CC">
        <w:t xml:space="preserve">the </w:t>
      </w:r>
      <w:r w:rsidR="00FE78CC">
        <w:rPr>
          <w:i/>
          <w:iCs/>
        </w:rPr>
        <w:t xml:space="preserve">panther_agent.rec </w:t>
      </w:r>
      <w:r w:rsidR="008D020B">
        <w:t>file</w:t>
      </w:r>
      <w:r w:rsidR="00FE78CC">
        <w:t>, which is written in the local worker directory</w:t>
      </w:r>
      <w:r w:rsidR="008D020B">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 xml:space="preserve">possibility that the </w:t>
      </w:r>
      <w:r w:rsidR="006649C0">
        <w:lastRenderedPageBreak/>
        <w:t>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runs to finish 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w:t>
      </w:r>
      <w:r>
        <w:lastRenderedPageBreak/>
        <w:t xml:space="preserve">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5240507F" w:rsidR="00B77D10"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71E99FF0" w14:textId="3E79171A" w:rsidR="008D020B" w:rsidRDefault="008D020B" w:rsidP="00B77D10">
      <w:pPr>
        <w:rPr>
          <w:i/>
          <w:iCs/>
        </w:rPr>
      </w:pPr>
      <w:r>
        <w:rPr>
          <w:i/>
          <w:iCs/>
        </w:rPr>
        <w:t>panther_agent_freeze_on_fail()</w:t>
      </w:r>
    </w:p>
    <w:p w14:paraId="467820F4" w14:textId="5518ED0A" w:rsidR="008D020B" w:rsidRPr="008D020B" w:rsidRDefault="008D020B" w:rsidP="00B77D10">
      <w:r>
        <w:t xml:space="preserve">In some settings, when starting to use PEST++, it can be difficult to debug why runs may be failing in a parallel run environment.  This is especially true when workers are on separate physical hosts, which can make monitoring worker progress difficult and when a run fails, the panther run manager will immediate try to schedule another run on that same worker, which will cause the template files to be rewritten (nearly immediately) and any temporary files to be erased, making it nearly impossible to investigate the cause of the run failure.  If users want to “slow down the process” so they debug run failures, adding </w:t>
      </w:r>
      <w:r>
        <w:rPr>
          <w:i/>
          <w:iCs/>
        </w:rPr>
        <w:t xml:space="preserve">panther_agent_freeze_on_fail </w:t>
      </w:r>
      <w:r>
        <w:t xml:space="preserve">as </w:t>
      </w:r>
      <w:r>
        <w:rPr>
          <w:i/>
          <w:iCs/>
        </w:rPr>
        <w:t>true</w:t>
      </w:r>
      <w:r>
        <w:t xml:space="preserve"> to a (worker) control file will cause a worker to “freeze” on the occurrence of a run failure.  This freeze can only be undo</w:t>
      </w:r>
      <w:r w:rsidR="00747DF3">
        <w:t>ne</w:t>
      </w:r>
      <w:r>
        <w:t xml:space="preserve"> by forcing the worker to exit and restarting it, but, nevertheless, freezing a worker when a run failure occurs can be very useful to diagnosing issues related to parallelization of the PEST++ process because it allows direct inspection of all </w:t>
      </w:r>
      <w:r w:rsidR="00747DF3">
        <w:t>(temporary) files related to the failed run.</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55E2DFA3" w14:textId="0D71E6A9" w:rsidR="006649C0" w:rsidRPr="008D020B" w:rsidRDefault="008F3105" w:rsidP="00CF6749">
      <w:pPr>
        <w:sectPr w:rsidR="006649C0" w:rsidRPr="008D020B" w:rsidSect="00EF7F08">
          <w:headerReference w:type="default" r:id="rId24"/>
          <w:endnotePr>
            <w:numFmt w:val="decimal"/>
          </w:endnotePr>
          <w:pgSz w:w="11906" w:h="16838" w:code="9"/>
          <w:pgMar w:top="1440" w:right="1440" w:bottom="1440" w:left="1440" w:header="1296" w:footer="864" w:gutter="0"/>
          <w:cols w:space="720"/>
          <w:noEndnote/>
        </w:sectPr>
      </w:pPr>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w:t>
      </w:r>
      <w:r w:rsidR="0036754E">
        <w:rPr>
          <w:lang w:val="en-AU"/>
        </w:rPr>
        <w:t xml:space="preserve">“raw” </w:t>
      </w:r>
      <w:r w:rsidR="0031337B">
        <w:rPr>
          <w:lang w:val="en-AU"/>
        </w:rPr>
        <w:t xml:space="preserve">run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r w:rsidR="008D020B">
        <w:t xml:space="preserve"> These run storage files can be read and  processed using pyEMU.</w:t>
      </w: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CB733E" w:rsidP="005068AD">
      <w:pPr>
        <w:ind w:firstLine="720"/>
        <w:rPr>
          <w:lang w:val="en-AU"/>
        </w:rPr>
      </w:pPr>
      <w:r w:rsidRPr="009373F7">
        <w:rPr>
          <w:noProof/>
          <w:position w:val="-24"/>
          <w:lang w:val="en-AU"/>
        </w:rPr>
        <w:object w:dxaOrig="2240" w:dyaOrig="740" w14:anchorId="033CC7F4">
          <v:shape id="_x0000_i1025" type="#_x0000_t75" alt="" style="width:111.25pt;height:39.25pt;mso-width-percent:0;mso-height-percent:0;mso-width-percent:0;mso-height-percent:0" o:ole="">
            <v:imagedata r:id="rId25" o:title=""/>
          </v:shape>
          <o:OLEObject Type="Embed" ProgID="Equation.3" ShapeID="_x0000_i1025" DrawAspect="Content" ObjectID="_1660546256"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CB733E"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CB733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w:t>
      </w:r>
      <w:r>
        <w:rPr>
          <w:lang w:val="en-AU"/>
        </w:rPr>
        <w:lastRenderedPageBreak/>
        <w:t xml:space="preserve">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19271DE2" w:rsidR="007E50D5" w:rsidRDefault="007E50D5" w:rsidP="007E50D5">
      <w:pPr>
        <w:rPr>
          <w:lang w:val="en-AU"/>
        </w:rPr>
      </w:pPr>
      <w:r>
        <w:rPr>
          <w:lang w:val="en-AU"/>
        </w:rPr>
        <w:t>The</w:t>
      </w:r>
      <w:r w:rsidR="008F16DD">
        <w:rPr>
          <w:lang w:val="en-AU"/>
        </w:rPr>
        <w:t xml:space="preserve"> parameter adjust </w:t>
      </w:r>
      <w:r>
        <w:rPr>
          <w:lang w:val="en-AU"/>
        </w:rPr>
        <w:t xml:space="preserve">algorithm implemented by PESTPP-IES is described in detail by Chen </w:t>
      </w:r>
      <w:r>
        <w:rPr>
          <w:lang w:val="en-AU"/>
        </w:rPr>
        <w:lastRenderedPageBreak/>
        <w:t>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lastRenderedPageBreak/>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w:t>
      </w:r>
      <w:r w:rsidR="00546B73">
        <w:rPr>
          <w:lang w:val="en-AU"/>
        </w:rPr>
        <w:lastRenderedPageBreak/>
        <w:t>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w:t>
      </w:r>
      <w:r w:rsidR="00B01B66">
        <w:rPr>
          <w:lang w:val="en-AU"/>
        </w:rPr>
        <w:lastRenderedPageBreak/>
        <w:t xml:space="preserve">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2BEB40D0" w14:textId="40710E0C" w:rsidR="008F16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w:t>
      </w:r>
    </w:p>
    <w:p w14:paraId="6A7D2CBB" w14:textId="6CFDA5B7" w:rsidR="008F16DD" w:rsidRDefault="00853B5E" w:rsidP="000B1D74">
      <w:pPr>
        <w:rPr>
          <w:lang w:val="en-AU"/>
        </w:rPr>
      </w:pPr>
      <w:r>
        <w:rPr>
          <w:lang w:val="en-AU"/>
        </w:rPr>
        <w:t>That is worth saying again: i</w:t>
      </w:r>
      <w:r w:rsidR="008F16DD">
        <w:rPr>
          <w:lang w:val="en-AU"/>
        </w:rPr>
        <w:t>t is important to note that PESTPP-IES does not require that user-supplied parameter and observation ensembles share realization names.  If a user supplies either a parameter or observation ensemble, PESTPP-IES will check for realization name commonality between the initial parameter and observation ensemble, and if they share all realization names but are not aligned, PESTPP-IES will reorder the observation ensemble. If the realization names are not common between these two ensembles, but there are some shared names, PESTPP-IES will warn the user</w:t>
      </w:r>
      <w:r w:rsidR="002D2170">
        <w:rPr>
          <w:lang w:val="en-AU"/>
        </w:rPr>
        <w:t xml:space="preserve"> and continue</w:t>
      </w:r>
      <w:r w:rsidR="008F16DD">
        <w:rPr>
          <w:lang w:val="en-AU"/>
        </w:rPr>
        <w:t>.</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lastRenderedPageBreak/>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lastRenderedPageBreak/>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lastRenderedPageBreak/>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lastRenderedPageBreak/>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lastRenderedPageBreak/>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lastRenderedPageBreak/>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w:t>
      </w:r>
      <w:r w:rsidR="007E2A31">
        <w:rPr>
          <w:lang w:val="en-AU"/>
        </w:rPr>
        <w:lastRenderedPageBreak/>
        <w:t>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lastRenderedPageBreak/>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AC7DCF">
        <w:trPr>
          <w:cantSplit/>
        </w:trPr>
        <w:tc>
          <w:tcPr>
            <w:tcW w:w="279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219"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AC7DCF">
        <w:trPr>
          <w:cantSplit/>
        </w:trPr>
        <w:tc>
          <w:tcPr>
            <w:tcW w:w="279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219"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AC7DCF">
        <w:trPr>
          <w:cantSplit/>
        </w:trPr>
        <w:tc>
          <w:tcPr>
            <w:tcW w:w="279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219"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AC7DCF">
        <w:trPr>
          <w:cantSplit/>
        </w:trPr>
        <w:tc>
          <w:tcPr>
            <w:tcW w:w="2797" w:type="dxa"/>
            <w:shd w:val="clear" w:color="auto" w:fill="auto"/>
          </w:tcPr>
          <w:p w14:paraId="1D6AE84D" w14:textId="1F0DB2C7" w:rsidR="005258CB" w:rsidRPr="00C40A21" w:rsidRDefault="00323DE8" w:rsidP="00AE1165">
            <w:pPr>
              <w:rPr>
                <w:rFonts w:ascii="Arial" w:hAnsi="Arial" w:cs="Arial"/>
                <w:i/>
                <w:sz w:val="18"/>
              </w:rPr>
            </w:pPr>
            <w:r>
              <w:rPr>
                <w:rFonts w:ascii="Arial" w:hAnsi="Arial" w:cs="Arial"/>
                <w:i/>
                <w:sz w:val="18"/>
              </w:rPr>
              <w:t>c</w:t>
            </w:r>
            <w:r w:rsidR="002B2881" w:rsidRPr="00C40A21">
              <w:rPr>
                <w:rFonts w:ascii="Arial" w:hAnsi="Arial" w:cs="Arial"/>
                <w:i/>
                <w:sz w:val="18"/>
              </w:rPr>
              <w:t>ase</w:t>
            </w:r>
            <w:r>
              <w:rPr>
                <w:rFonts w:ascii="Arial" w:hAnsi="Arial" w:cs="Arial"/>
                <w:i/>
                <w:sz w:val="18"/>
              </w:rPr>
              <w:t>.</w:t>
            </w:r>
            <w:r w:rsidR="002B2881" w:rsidRPr="00C40A21">
              <w:rPr>
                <w:rFonts w:ascii="Arial" w:hAnsi="Arial" w:cs="Arial"/>
                <w:i/>
                <w:sz w:val="18"/>
              </w:rPr>
              <w:t>obs</w:t>
            </w:r>
            <w:r>
              <w:rPr>
                <w:rFonts w:ascii="Arial" w:hAnsi="Arial" w:cs="Arial"/>
                <w:i/>
                <w:sz w:val="18"/>
              </w:rPr>
              <w:t>+noise</w:t>
            </w:r>
            <w:r w:rsidR="002B2881" w:rsidRPr="00C40A21">
              <w:rPr>
                <w:rFonts w:ascii="Arial" w:hAnsi="Arial" w:cs="Arial"/>
                <w:i/>
                <w:sz w:val="18"/>
              </w:rPr>
              <w:t>.csv</w:t>
            </w:r>
            <w:r w:rsidR="00994687">
              <w:rPr>
                <w:rFonts w:ascii="Arial" w:hAnsi="Arial" w:cs="Arial"/>
                <w:i/>
                <w:sz w:val="18"/>
              </w:rPr>
              <w:t>/jcb</w:t>
            </w:r>
          </w:p>
        </w:tc>
        <w:tc>
          <w:tcPr>
            <w:tcW w:w="6219"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AC7DCF">
        <w:trPr>
          <w:cantSplit/>
        </w:trPr>
        <w:tc>
          <w:tcPr>
            <w:tcW w:w="279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219"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AC7DCF">
        <w:trPr>
          <w:cantSplit/>
        </w:trPr>
        <w:tc>
          <w:tcPr>
            <w:tcW w:w="279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219"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AC7DCF">
        <w:trPr>
          <w:cantSplit/>
        </w:trPr>
        <w:tc>
          <w:tcPr>
            <w:tcW w:w="279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219"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AC7DCF">
        <w:trPr>
          <w:cantSplit/>
        </w:trPr>
        <w:tc>
          <w:tcPr>
            <w:tcW w:w="279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219"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AC7DCF">
        <w:trPr>
          <w:cantSplit/>
        </w:trPr>
        <w:tc>
          <w:tcPr>
            <w:tcW w:w="279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219"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AC7DCF">
        <w:trPr>
          <w:cantSplit/>
          <w:trHeight w:val="842"/>
        </w:trPr>
        <w:tc>
          <w:tcPr>
            <w:tcW w:w="279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219"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AC7DCF">
        <w:trPr>
          <w:cantSplit/>
          <w:trHeight w:val="842"/>
        </w:trPr>
        <w:tc>
          <w:tcPr>
            <w:tcW w:w="279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219"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AC7DCF">
        <w:trPr>
          <w:cantSplit/>
          <w:trHeight w:val="842"/>
        </w:trPr>
        <w:tc>
          <w:tcPr>
            <w:tcW w:w="2797" w:type="dxa"/>
            <w:shd w:val="clear" w:color="auto" w:fill="auto"/>
          </w:tcPr>
          <w:p w14:paraId="3FD70284" w14:textId="63726731"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w:t>
            </w:r>
            <w:r w:rsidR="00AC7DCF">
              <w:rPr>
                <w:rFonts w:ascii="Arial" w:hAnsi="Arial" w:cs="Arial"/>
                <w:i/>
                <w:sz w:val="18"/>
              </w:rPr>
              <w:t>pdc.csv</w:t>
            </w:r>
          </w:p>
        </w:tc>
        <w:tc>
          <w:tcPr>
            <w:tcW w:w="6219" w:type="dxa"/>
            <w:shd w:val="clear" w:color="auto" w:fill="auto"/>
          </w:tcPr>
          <w:p w14:paraId="36885978" w14:textId="3E8D1A8B" w:rsidR="002A69A1" w:rsidRDefault="00AC7DCF" w:rsidP="00AE1165">
            <w:pPr>
              <w:rPr>
                <w:rFonts w:ascii="Arial" w:hAnsi="Arial" w:cs="Arial"/>
                <w:sz w:val="18"/>
              </w:rPr>
            </w:pPr>
            <w:r>
              <w:rPr>
                <w:rFonts w:ascii="Arial" w:hAnsi="Arial" w:cs="Arial"/>
                <w:sz w:val="18"/>
              </w:rPr>
              <w:t>A summary of prior-data conflict information</w:t>
            </w:r>
          </w:p>
        </w:tc>
      </w:tr>
      <w:tr w:rsidR="00A20930" w:rsidRPr="005546A4" w14:paraId="759977B8" w14:textId="77777777" w:rsidTr="00AC7DCF">
        <w:trPr>
          <w:cantSplit/>
          <w:trHeight w:val="842"/>
        </w:trPr>
        <w:tc>
          <w:tcPr>
            <w:tcW w:w="2797" w:type="dxa"/>
            <w:shd w:val="clear" w:color="auto" w:fill="auto"/>
          </w:tcPr>
          <w:p w14:paraId="7DB94F33" w14:textId="1CF308B0" w:rsidR="00A20930" w:rsidRDefault="00A20930" w:rsidP="00AE1165">
            <w:pPr>
              <w:rPr>
                <w:rFonts w:ascii="Arial" w:hAnsi="Arial" w:cs="Arial"/>
                <w:i/>
                <w:sz w:val="18"/>
              </w:rPr>
            </w:pPr>
            <w:r>
              <w:rPr>
                <w:rFonts w:ascii="Arial" w:hAnsi="Arial" w:cs="Arial"/>
                <w:i/>
                <w:sz w:val="18"/>
              </w:rPr>
              <w:t>case.N.pcs.csv</w:t>
            </w:r>
          </w:p>
        </w:tc>
        <w:tc>
          <w:tcPr>
            <w:tcW w:w="6219" w:type="dxa"/>
            <w:shd w:val="clear" w:color="auto" w:fill="auto"/>
          </w:tcPr>
          <w:p w14:paraId="4920423A" w14:textId="3AA73985" w:rsidR="00A20930" w:rsidRDefault="00A20930" w:rsidP="00AE1165">
            <w:pPr>
              <w:rPr>
                <w:rFonts w:ascii="Arial" w:hAnsi="Arial" w:cs="Arial"/>
                <w:sz w:val="18"/>
              </w:rPr>
            </w:pPr>
            <w:r>
              <w:rPr>
                <w:rFonts w:ascii="Arial" w:hAnsi="Arial" w:cs="Arial"/>
                <w:sz w:val="18"/>
              </w:rPr>
              <w:t>A summary of parameter changes by group compared to the initial parameter ensemble.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AC7DCF">
        <w:trPr>
          <w:cantSplit/>
        </w:trPr>
        <w:tc>
          <w:tcPr>
            <w:tcW w:w="2228"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6788"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AC7DCF">
        <w:trPr>
          <w:cantSplit/>
        </w:trPr>
        <w:tc>
          <w:tcPr>
            <w:tcW w:w="2228"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6788" w:type="dxa"/>
            <w:shd w:val="clear" w:color="auto" w:fill="auto"/>
          </w:tcPr>
          <w:p w14:paraId="445A2282" w14:textId="7C60B78A"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r w:rsidR="00AE4BE3">
              <w:rPr>
                <w:rFonts w:ascii="Arial" w:hAnsi="Arial" w:cs="Arial"/>
                <w:sz w:val="18"/>
              </w:rPr>
              <w:t xml:space="preserve">  Note that parallel workers write “panther_worker.rec”.</w:t>
            </w:r>
          </w:p>
        </w:tc>
      </w:tr>
      <w:tr w:rsidR="00E67FEA" w:rsidRPr="005546A4" w14:paraId="555DF701" w14:textId="77777777" w:rsidTr="00AC7DCF">
        <w:trPr>
          <w:cantSplit/>
        </w:trPr>
        <w:tc>
          <w:tcPr>
            <w:tcW w:w="2228"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6788"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AC7DCF">
        <w:trPr>
          <w:cantSplit/>
        </w:trPr>
        <w:tc>
          <w:tcPr>
            <w:tcW w:w="2228"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lastRenderedPageBreak/>
              <w:t>case.</w:t>
            </w:r>
            <w:r w:rsidR="000C3797">
              <w:rPr>
                <w:rFonts w:ascii="Arial" w:hAnsi="Arial" w:cs="Arial"/>
                <w:i/>
                <w:sz w:val="18"/>
              </w:rPr>
              <w:t>log</w:t>
            </w:r>
          </w:p>
        </w:tc>
        <w:tc>
          <w:tcPr>
            <w:tcW w:w="6788"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AC7DCF">
        <w:trPr>
          <w:cantSplit/>
        </w:trPr>
        <w:tc>
          <w:tcPr>
            <w:tcW w:w="2228"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6788" w:type="dxa"/>
            <w:shd w:val="clear" w:color="auto" w:fill="auto"/>
          </w:tcPr>
          <w:p w14:paraId="067049FA" w14:textId="7916DCBE" w:rsidR="00E67FEA" w:rsidRPr="00C40A21" w:rsidRDefault="00E67FEA" w:rsidP="00AE1165">
            <w:pPr>
              <w:rPr>
                <w:rFonts w:ascii="Arial" w:hAnsi="Arial" w:cs="Arial"/>
                <w:sz w:val="18"/>
              </w:rPr>
            </w:pPr>
            <w:r w:rsidRPr="00C40A21">
              <w:rPr>
                <w:rFonts w:ascii="Arial" w:hAnsi="Arial" w:cs="Arial"/>
                <w:sz w:val="18"/>
              </w:rPr>
              <w:t>Binary file used for model run management.</w:t>
            </w:r>
            <w:r w:rsidR="004C0497">
              <w:rPr>
                <w:rFonts w:ascii="Arial" w:hAnsi="Arial" w:cs="Arial"/>
                <w:sz w:val="18"/>
              </w:rPr>
              <w:t xml:space="preserve">  This file is typically removed after a successful PESTPP-IES run.</w:t>
            </w:r>
          </w:p>
        </w:tc>
      </w:tr>
      <w:tr w:rsidR="000C3797" w:rsidRPr="005546A4" w14:paraId="2FD97D9E" w14:textId="77777777" w:rsidTr="00AC7DCF">
        <w:trPr>
          <w:cantSplit/>
        </w:trPr>
        <w:tc>
          <w:tcPr>
            <w:tcW w:w="2228"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6788"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AC7DCF">
        <w:trPr>
          <w:cantSplit/>
        </w:trPr>
        <w:tc>
          <w:tcPr>
            <w:tcW w:w="2228"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6788"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r w:rsidR="00AC7DCF" w:rsidRPr="005546A4" w14:paraId="2F81D2E7" w14:textId="77777777" w:rsidTr="00AC7DCF">
        <w:trPr>
          <w:cantSplit/>
        </w:trPr>
        <w:tc>
          <w:tcPr>
            <w:tcW w:w="2228" w:type="dxa"/>
            <w:shd w:val="clear" w:color="auto" w:fill="auto"/>
          </w:tcPr>
          <w:p w14:paraId="2B808252" w14:textId="2A38282F" w:rsidR="00AC7DCF" w:rsidRDefault="00AC7DCF" w:rsidP="00AC7DCF">
            <w:pPr>
              <w:rPr>
                <w:rFonts w:ascii="Arial" w:hAnsi="Arial" w:cs="Arial"/>
                <w:i/>
                <w:sz w:val="18"/>
              </w:rPr>
            </w:pPr>
            <w:r>
              <w:rPr>
                <w:rFonts w:ascii="Arial" w:hAnsi="Arial" w:cs="Arial"/>
                <w:i/>
                <w:sz w:val="18"/>
              </w:rPr>
              <w:t>case.N.base.par</w:t>
            </w:r>
          </w:p>
        </w:tc>
        <w:tc>
          <w:tcPr>
            <w:tcW w:w="6788" w:type="dxa"/>
            <w:shd w:val="clear" w:color="auto" w:fill="auto"/>
          </w:tcPr>
          <w:p w14:paraId="7C143D55" w14:textId="4A4D57DB" w:rsidR="00AC7DCF" w:rsidRDefault="00AC7DCF" w:rsidP="00AC7DCF">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r w:rsidR="00AC7DCF" w:rsidRPr="005546A4" w14:paraId="49991BC0" w14:textId="77777777" w:rsidTr="00AC7DCF">
        <w:trPr>
          <w:cantSplit/>
        </w:trPr>
        <w:tc>
          <w:tcPr>
            <w:tcW w:w="2228" w:type="dxa"/>
            <w:shd w:val="clear" w:color="auto" w:fill="auto"/>
          </w:tcPr>
          <w:p w14:paraId="205E2340" w14:textId="11CA6048" w:rsidR="00AC7DCF" w:rsidRDefault="00AC7DCF" w:rsidP="00AC7DCF">
            <w:pPr>
              <w:rPr>
                <w:rFonts w:ascii="Arial" w:hAnsi="Arial" w:cs="Arial"/>
                <w:i/>
                <w:sz w:val="18"/>
              </w:rPr>
            </w:pPr>
            <w:r>
              <w:rPr>
                <w:rFonts w:ascii="Arial" w:hAnsi="Arial" w:cs="Arial"/>
                <w:i/>
                <w:sz w:val="18"/>
              </w:rPr>
              <w:t>case.N.base.rei</w:t>
            </w:r>
          </w:p>
        </w:tc>
        <w:tc>
          <w:tcPr>
            <w:tcW w:w="6788" w:type="dxa"/>
            <w:shd w:val="clear" w:color="auto" w:fill="auto"/>
          </w:tcPr>
          <w:p w14:paraId="567B0C70" w14:textId="1BDC613B" w:rsidR="00AC7DCF" w:rsidRDefault="00AC7DCF" w:rsidP="00AC7DCF">
            <w:pPr>
              <w:rPr>
                <w:rFonts w:ascii="Arial" w:hAnsi="Arial" w:cs="Arial"/>
                <w:sz w:val="18"/>
              </w:rPr>
            </w:pPr>
            <w:r>
              <w:rPr>
                <w:rFonts w:ascii="Arial" w:hAnsi="Arial" w:cs="Arial"/>
                <w:sz w:val="18"/>
              </w:rPr>
              <w:t>The “base” realization simulated values for the Nth iteration in a PEST-style residuals file.  Only written if the “base” realization is available.</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lastRenderedPageBreak/>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lastRenderedPageBreak/>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lastRenderedPageBreak/>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4944DB9F"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Defa</w:t>
            </w:r>
            <w:r w:rsidR="00CA59E8">
              <w:rPr>
                <w:rFonts w:ascii="Calibri" w:hAnsi="Calibri" w:cs="Calibri"/>
                <w:sz w:val="18"/>
                <w:szCs w:val="18"/>
                <w:lang w:val="en-AU"/>
              </w:rPr>
              <w:t>u</w:t>
            </w:r>
            <w:r>
              <w:rPr>
                <w:rFonts w:ascii="Calibri" w:hAnsi="Calibri" w:cs="Calibri"/>
                <w:sz w:val="18"/>
                <w:szCs w:val="18"/>
                <w:lang w:val="en-AU"/>
              </w:rPr>
              <w:t>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lastRenderedPageBreak/>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CB733E"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CB733E"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CB733E"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2C161" w14:textId="77777777" w:rsidR="00CB733E" w:rsidRDefault="00CB733E">
      <w:pPr>
        <w:spacing w:line="20" w:lineRule="exact"/>
      </w:pPr>
    </w:p>
  </w:endnote>
  <w:endnote w:type="continuationSeparator" w:id="0">
    <w:p w14:paraId="2C8A8E18" w14:textId="77777777" w:rsidR="00CB733E" w:rsidRDefault="00CB733E">
      <w:r>
        <w:t xml:space="preserve"> </w:t>
      </w:r>
    </w:p>
  </w:endnote>
  <w:endnote w:type="continuationNotice" w:id="1">
    <w:p w14:paraId="147F4074" w14:textId="77777777" w:rsidR="00CB733E" w:rsidRDefault="00CB733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8D020B" w:rsidRDefault="008D020B">
    <w:pPr>
      <w:pStyle w:val="Footer"/>
      <w:framePr w:wrap="auto" w:vAnchor="text" w:hAnchor="margin" w:xAlign="right" w:y="1"/>
      <w:rPr>
        <w:rStyle w:val="PageNumber"/>
      </w:rPr>
    </w:pPr>
  </w:p>
  <w:p w14:paraId="056D5890" w14:textId="77777777" w:rsidR="008D020B" w:rsidRDefault="008D02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8D020B" w:rsidRDefault="008D020B">
    <w:pPr>
      <w:pStyle w:val="Footer"/>
      <w:framePr w:wrap="auto" w:vAnchor="text" w:hAnchor="margin" w:xAlign="right" w:y="1"/>
      <w:rPr>
        <w:rStyle w:val="PageNumber"/>
      </w:rPr>
    </w:pPr>
  </w:p>
  <w:p w14:paraId="0271116C" w14:textId="77777777" w:rsidR="008D020B" w:rsidRDefault="008D02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FD8A1" w14:textId="77777777" w:rsidR="00CB733E" w:rsidRDefault="00CB733E">
      <w:r>
        <w:separator/>
      </w:r>
    </w:p>
  </w:footnote>
  <w:footnote w:type="continuationSeparator" w:id="0">
    <w:p w14:paraId="2C1C8BB9" w14:textId="77777777" w:rsidR="00CB733E" w:rsidRDefault="00CB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8D020B" w:rsidRDefault="008D02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8D020B" w:rsidRDefault="008D020B">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8D020B" w:rsidRDefault="008D020B">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8D020B" w:rsidRDefault="008D020B">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8D020B" w:rsidRDefault="008D020B">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8D020B" w:rsidRDefault="008D020B"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8D020B" w:rsidRDefault="008D020B"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8D020B" w:rsidRDefault="008D020B"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8D020B" w:rsidRDefault="008D020B"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8D020B" w:rsidRDefault="008D020B">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8D020B" w:rsidRDefault="008D020B">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8D020B" w:rsidRDefault="008D020B">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8D020B" w:rsidRPr="005F65CE" w:rsidRDefault="008D020B">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8D020B" w:rsidRPr="005F65CE" w:rsidRDefault="008D020B">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8D020B" w:rsidRDefault="008D020B">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8D020B" w:rsidRDefault="008D020B"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8D020B" w:rsidRDefault="008D020B">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8D020B" w:rsidRDefault="008D020B">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8D020B" w:rsidRDefault="008D020B">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92"/>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3F"/>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9AA"/>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5CFD"/>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170"/>
    <w:rsid w:val="002D2920"/>
    <w:rsid w:val="002D2B89"/>
    <w:rsid w:val="002D2E21"/>
    <w:rsid w:val="002D30DC"/>
    <w:rsid w:val="002D31BF"/>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3DE8"/>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0D7"/>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4E"/>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497"/>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E2B"/>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51D"/>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1FA7"/>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DF3"/>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3B5E"/>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9E4"/>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0B"/>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6DD"/>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80D"/>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30"/>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CC3"/>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C7DCF"/>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85E"/>
    <w:rsid w:val="00AE2CFE"/>
    <w:rsid w:val="00AE3340"/>
    <w:rsid w:val="00AE33F0"/>
    <w:rsid w:val="00AE35B5"/>
    <w:rsid w:val="00AE3657"/>
    <w:rsid w:val="00AE44C3"/>
    <w:rsid w:val="00AE47FB"/>
    <w:rsid w:val="00AE4BE3"/>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28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706"/>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9A2"/>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9E8"/>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33E"/>
    <w:rsid w:val="00CB749C"/>
    <w:rsid w:val="00CB783E"/>
    <w:rsid w:val="00CB78D5"/>
    <w:rsid w:val="00CC0890"/>
    <w:rsid w:val="00CC08A7"/>
    <w:rsid w:val="00CC0925"/>
    <w:rsid w:val="00CC1469"/>
    <w:rsid w:val="00CC14E7"/>
    <w:rsid w:val="00CC1626"/>
    <w:rsid w:val="00CC1C58"/>
    <w:rsid w:val="00CC1CEF"/>
    <w:rsid w:val="00CC1F68"/>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99D"/>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6A2"/>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D35"/>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8CC"/>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209</Pages>
  <Words>89827</Words>
  <Characters>512014</Characters>
  <Application>Microsoft Office Word</Application>
  <DocSecurity>0</DocSecurity>
  <Lines>4266</Lines>
  <Paragraphs>1201</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600640</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228</cp:revision>
  <cp:lastPrinted>2019-03-02T06:14:00Z</cp:lastPrinted>
  <dcterms:created xsi:type="dcterms:W3CDTF">2019-03-01T22:11:00Z</dcterms:created>
  <dcterms:modified xsi:type="dcterms:W3CDTF">2020-09-02T16:04:00Z</dcterms:modified>
</cp:coreProperties>
</file>