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8C6A879"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C72758">
        <w:rPr>
          <w:b/>
          <w:i w:val="0"/>
          <w:sz w:val="40"/>
          <w:lang w:val="en-AU"/>
        </w:rPr>
        <w:t>6</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ED8F521" w:rsidR="00CE126F" w:rsidRPr="00CF4E55" w:rsidRDefault="00C72758" w:rsidP="00E1209D">
      <w:pPr>
        <w:pStyle w:val="BodyText"/>
        <w:jc w:val="center"/>
        <w:rPr>
          <w:rFonts w:ascii="Arial" w:hAnsi="Arial" w:cs="Arial"/>
          <w:i w:val="0"/>
          <w:noProof/>
          <w:lang w:val="en-AU"/>
        </w:rPr>
      </w:pPr>
      <w:r>
        <w:rPr>
          <w:rFonts w:ascii="Arial" w:hAnsi="Arial" w:cs="Arial"/>
          <w:i w:val="0"/>
          <w:noProof/>
          <w:lang w:val="en-AU"/>
        </w:rPr>
        <w:t>November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E85768"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E85768">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E85768">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E85768">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E85768">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E85768">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E85768">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E85768">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E85768">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E85768">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E85768">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E85768">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E85768">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E85768">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E85768"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66083020"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E85768" w:rsidRPr="007940A5">
        <w:rPr>
          <w:noProof/>
          <w:position w:val="-14"/>
          <w:lang w:val="en-AU"/>
        </w:rPr>
        <w:object w:dxaOrig="1380" w:dyaOrig="420" w14:anchorId="69464249">
          <v:shape id="_x0000_i1026" type="#_x0000_t75" alt="" style="width:67pt;height:17pt;mso-width-percent:0;mso-height-percent:0;mso-width-percent:0;mso-height-percent:0" o:ole="">
            <v:imagedata r:id="rId21" o:title=""/>
          </v:shape>
          <o:OLEObject Type="Embed" ProgID="Equation.3" ShapeID="_x0000_i1026" DrawAspect="Content" ObjectID="_1666083021"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7777777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750D4752" w14:textId="3EC7D34F" w:rsidR="00265AC6" w:rsidRDefault="00265AC6" w:rsidP="00265AC6">
      <w:pPr>
        <w:rPr>
          <w:lang w:val="en-AU"/>
        </w:rPr>
      </w:pPr>
      <w:r>
        <w:rPr>
          <w:lang w:val="en-AU"/>
        </w:rPr>
        <w:t>PESTPP</w:t>
      </w:r>
      <w:r w:rsidR="0061671F">
        <w:rPr>
          <w:lang w:val="en-AU"/>
        </w:rPr>
        <w:t>-GLM</w:t>
      </w:r>
      <w:r w:rsidR="007A5EBD">
        <w:rPr>
          <w:lang w:val="en-AU"/>
        </w:rPr>
        <w:t>, a member of the PEST++ suite,</w:t>
      </w:r>
      <w:r>
        <w:rPr>
          <w:lang w:val="en-AU"/>
        </w:rPr>
        <w:t xml:space="preserve"> can also be run using the command</w:t>
      </w:r>
    </w:p>
    <w:p w14:paraId="19761166" w14:textId="0C5F543D" w:rsidR="00265AC6" w:rsidRDefault="001B5140" w:rsidP="00265AC6">
      <w:pPr>
        <w:ind w:firstLine="720"/>
        <w:rPr>
          <w:rFonts w:ascii="Courier New" w:hAnsi="Courier New" w:cs="Courier New"/>
          <w:i/>
          <w:sz w:val="20"/>
          <w:lang w:val="en-AU"/>
        </w:rPr>
      </w:pPr>
      <w:r>
        <w:rPr>
          <w:rFonts w:ascii="Courier New" w:hAnsi="Courier New" w:cs="Courier New"/>
          <w:sz w:val="20"/>
          <w:lang w:val="en-AU"/>
        </w:rPr>
        <w:t>PESTPP</w:t>
      </w:r>
      <w:r w:rsidR="00CA35E9">
        <w:rPr>
          <w:rFonts w:ascii="Courier New" w:hAnsi="Courier New" w:cs="Courier New"/>
          <w:sz w:val="20"/>
          <w:lang w:val="en-AU"/>
        </w:rPr>
        <w:t>-GLM</w:t>
      </w:r>
      <w:r>
        <w:rPr>
          <w:rFonts w:ascii="Courier New" w:hAnsi="Courier New" w:cs="Courier New"/>
          <w:sz w:val="20"/>
          <w:lang w:val="en-AU"/>
        </w:rPr>
        <w:t xml:space="preserve"> </w:t>
      </w:r>
      <w:r w:rsidR="00265AC6" w:rsidRPr="00265AC6">
        <w:rPr>
          <w:rFonts w:ascii="Courier New" w:hAnsi="Courier New" w:cs="Courier New"/>
          <w:i/>
          <w:sz w:val="20"/>
          <w:lang w:val="en-AU"/>
        </w:rPr>
        <w:t>case</w:t>
      </w:r>
      <w:r w:rsidR="00265AC6">
        <w:rPr>
          <w:rFonts w:ascii="Courier New" w:hAnsi="Courier New" w:cs="Courier New"/>
          <w:i/>
          <w:sz w:val="20"/>
          <w:lang w:val="en-AU"/>
        </w:rPr>
        <w:t xml:space="preserve"> /r</w:t>
      </w:r>
    </w:p>
    <w:p w14:paraId="61862C3A" w14:textId="35872852" w:rsidR="00265AC6" w:rsidRPr="00265AC6" w:rsidRDefault="00265AC6" w:rsidP="00265AC6">
      <w:pPr>
        <w:rPr>
          <w:lang w:val="en-AU"/>
        </w:rPr>
      </w:pPr>
      <w:r>
        <w:rPr>
          <w:lang w:val="en-AU"/>
        </w:rPr>
        <w:t>The “/r” switch informs</w:t>
      </w:r>
      <w:r w:rsidR="001B5140">
        <w:rPr>
          <w:lang w:val="en-AU"/>
        </w:rPr>
        <w:t xml:space="preserve"> PESTPP</w:t>
      </w:r>
      <w:r w:rsidR="00CA35E9">
        <w:rPr>
          <w:lang w:val="en-AU"/>
        </w:rPr>
        <w:t>-GLM</w:t>
      </w:r>
      <w:r w:rsidR="0028038E">
        <w:rPr>
          <w:lang w:val="en-AU"/>
        </w:rPr>
        <w:t xml:space="preserve"> </w:t>
      </w:r>
      <w:r>
        <w:rPr>
          <w:lang w:val="en-AU"/>
        </w:rPr>
        <w:t>that it must restart a previously</w:t>
      </w:r>
      <w:r w:rsidR="007A5EBD">
        <w:rPr>
          <w:lang w:val="en-AU"/>
        </w:rPr>
        <w:t xml:space="preserve"> </w:t>
      </w:r>
      <w:r>
        <w:rPr>
          <w:lang w:val="en-AU"/>
        </w:rPr>
        <w:t>halted run. It recommences execution</w:t>
      </w:r>
      <w:r w:rsidR="007A5EBD">
        <w:rPr>
          <w:lang w:val="en-AU"/>
        </w:rPr>
        <w:t xml:space="preserve"> of the previously terminated run</w:t>
      </w:r>
      <w:r>
        <w:rPr>
          <w:lang w:val="en-AU"/>
        </w:rPr>
        <w:t xml:space="preserve"> </w:t>
      </w:r>
      <w:r w:rsidR="00530160">
        <w:rPr>
          <w:lang w:val="en-AU"/>
        </w:rPr>
        <w:t>either at th</w:t>
      </w:r>
      <w:r w:rsidR="007A5EBD">
        <w:rPr>
          <w:lang w:val="en-AU"/>
        </w:rPr>
        <w:t>e</w:t>
      </w:r>
      <w:r w:rsidR="00530160">
        <w:rPr>
          <w:lang w:val="en-AU"/>
        </w:rPr>
        <w:t xml:space="preserve"> point</w:t>
      </w:r>
      <w:r w:rsidR="007A5EBD">
        <w:rPr>
          <w:lang w:val="en-AU"/>
        </w:rPr>
        <w:t xml:space="preserve"> where filling of the latest Jacobian matrix had been completed</w:t>
      </w:r>
      <w:r w:rsidR="00530160">
        <w:rPr>
          <w:lang w:val="en-AU"/>
        </w:rPr>
        <w:t>, or at the beginning of the current iteration, whichever is the most recent. Note th</w:t>
      </w:r>
      <w:r w:rsidR="00536261">
        <w:rPr>
          <w:lang w:val="en-AU"/>
        </w:rPr>
        <w:t>at</w:t>
      </w:r>
      <w:r w:rsidR="00530160">
        <w:rPr>
          <w:lang w:val="en-AU"/>
        </w:rPr>
        <w:t xml:space="preserve"> “/r” is case-insensitive; “/R” works just as well.</w:t>
      </w:r>
      <w:r w:rsidR="00073B10">
        <w:rPr>
          <w:lang w:val="en-AU"/>
        </w:rPr>
        <w:t xml:space="preserve"> </w:t>
      </w:r>
    </w:p>
    <w:p w14:paraId="735B936B" w14:textId="77777777" w:rsidR="00887A4B" w:rsidRDefault="00813754" w:rsidP="00813754">
      <w:pPr>
        <w:pStyle w:val="Heading2"/>
      </w:pPr>
      <w:bookmarkStart w:id="1988" w:name="_Toc32564118"/>
      <w:r>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r>
        <w:rPr>
          <w:i/>
          <w:iCs/>
        </w:rPr>
        <w:t>panther_echo()</w:t>
      </w:r>
    </w:p>
    <w:p w14:paraId="09D999BA" w14:textId="47BD4D9C" w:rsidR="00561D6B" w:rsidRPr="00561D6B" w:rsidRDefault="00561D6B" w:rsidP="00B77D10">
      <w:r>
        <w:t xml:space="preserve">If users are piping the master instance stdout and stderr to a file (through a redirect), then the panther master run summary, which echos to the file with a line return to overwrite the output in place), can fill up these file because the line return character is ignored.  In this case, suppling </w:t>
      </w:r>
      <w:r>
        <w:rPr>
          <w:i/>
          <w:iCs/>
        </w:rPr>
        <w:t>panther_echo(false)</w:t>
      </w:r>
      <w:r>
        <w:t xml:space="preserve"> will turn off this stdout updating during the run sequence.</w:t>
      </w:r>
    </w:p>
    <w:p w14:paraId="18BEF8E5" w14:textId="667BA4D8" w:rsidR="008639FB" w:rsidRDefault="008639FB" w:rsidP="008639FB">
      <w:pPr>
        <w:pStyle w:val="Heading2"/>
      </w:pPr>
      <w:bookmarkStart w:id="1994" w:name="_Toc32564124"/>
      <w:r>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32564125"/>
      <w:r>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E85768" w:rsidP="005068AD">
      <w:pPr>
        <w:ind w:firstLine="720"/>
        <w:rPr>
          <w:lang w:val="en-AU"/>
        </w:rPr>
      </w:pPr>
      <w:r w:rsidRPr="009373F7">
        <w:rPr>
          <w:noProof/>
          <w:position w:val="-24"/>
          <w:lang w:val="en-AU"/>
        </w:rPr>
        <w:object w:dxaOrig="2240" w:dyaOrig="740" w14:anchorId="3C9C04D4">
          <v:shape id="_x0000_i1025" type="#_x0000_t75" alt="" style="width:111pt;height:39pt;mso-width-percent:0;mso-height-percent:0;mso-width-percent:0;mso-height-percent:0" o:ole="">
            <v:imagedata r:id="rId26" o:title=""/>
          </v:shape>
          <o:OLEObject Type="Embed" ProgID="Equation.3" ShapeID="_x0000_i1025" DrawAspect="Content" ObjectID="_1666083022"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E85768"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32564159"/>
      <w:r>
        <w:t>7.3 Method</w:t>
      </w:r>
      <w:r w:rsidR="009656A1">
        <w:t xml:space="preserve"> of Sobol</w:t>
      </w:r>
      <w:bookmarkEnd w:id="2030"/>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E85768"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32564179"/>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78691F82"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6BA72365"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manager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668A2BA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34974686" w:rsidR="007D6D8F" w:rsidRPr="00B83EB5"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5AF6FF52" w:rsidR="003E1453" w:rsidRDefault="00C12845" w:rsidP="00E320DD">
      <w:pPr>
        <w:rPr>
          <w:lang w:val="en-AU"/>
        </w:rPr>
      </w:pPr>
      <w:r>
        <w:rPr>
          <w:lang w:val="en-AU"/>
        </w:rPr>
        <w:t>Unless</w:t>
      </w:r>
      <w:r w:rsidR="000B1D74">
        <w:rPr>
          <w:lang w:val="en-AU"/>
        </w:rPr>
        <w:t xml:space="preserve"> PESTPP-IES is advised to the contrary,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54F13197"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  If users wish to have bound enforcement similar to how PEST and PESTPP-GLM, they should use the </w:t>
      </w:r>
      <w:r w:rsidR="00B01B66">
        <w:rPr>
          <w:i/>
          <w:lang w:val="en-AU"/>
        </w:rPr>
        <w:t>ies_enforce_chglim</w:t>
      </w:r>
      <w:r w:rsidR="00B01B66">
        <w:rPr>
          <w:lang w:val="en-AU"/>
        </w:rPr>
        <w:t xml:space="preserve"> option, which enables parameter realizatio scaling to respect both parameter bounds and parameter change limits (e.g. FACPARMAX and RELPARMAX) – this enforcement approach scales the entire realization so that is respects both bounds and change limits.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40710E0C"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 xml:space="preserve">ations which comprise an observation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20CCB5AA" w:rsidR="008B285B" w:rsidRDefault="00C34ACD" w:rsidP="00A715A9">
      <w:pPr>
        <w:rPr>
          <w:lang w:val="en-AU"/>
        </w:rPr>
      </w:pPr>
      <w:r>
        <w:rPr>
          <w:lang w:val="en-AU"/>
        </w:rPr>
        <w:t>This phenomenon can be prevented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5BD154ED"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 realizations comprising the observation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494DE4FC"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77777777"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ies_use_approx(false)</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0E4786" w14:paraId="284852E2" w14:textId="77777777" w:rsidTr="0067675E">
        <w:trPr>
          <w:cantSplit/>
          <w:trHeight w:val="1081"/>
        </w:trPr>
        <w:tc>
          <w:tcPr>
            <w:tcW w:w="2982" w:type="dxa"/>
            <w:shd w:val="clear" w:color="auto" w:fill="auto"/>
          </w:tcPr>
          <w:p w14:paraId="4836916F" w14:textId="1A264BAC" w:rsidR="000E4786" w:rsidRDefault="000E4786" w:rsidP="00AE1165">
            <w:pPr>
              <w:rPr>
                <w:rFonts w:ascii="Calibri" w:hAnsi="Calibri"/>
                <w:i/>
                <w:sz w:val="18"/>
                <w:lang w:val="en-AU"/>
              </w:rPr>
            </w:pPr>
            <w:r>
              <w:rPr>
                <w:rFonts w:ascii="Calibri" w:hAnsi="Calibri"/>
                <w:i/>
                <w:sz w:val="18"/>
                <w:lang w:val="en-AU"/>
              </w:rPr>
              <w:t>ies_localize_how(parameters)</w:t>
            </w:r>
          </w:p>
        </w:tc>
        <w:tc>
          <w:tcPr>
            <w:tcW w:w="1296" w:type="dxa"/>
            <w:shd w:val="clear" w:color="auto" w:fill="auto"/>
          </w:tcPr>
          <w:p w14:paraId="70762A82" w14:textId="057AF2DD" w:rsidR="000E4786" w:rsidRDefault="000E4786" w:rsidP="00DF1D1E">
            <w:pPr>
              <w:spacing w:before="0" w:after="0"/>
              <w:rPr>
                <w:rFonts w:ascii="Calibri" w:hAnsi="Calibri" w:cs="Calibri"/>
                <w:sz w:val="18"/>
              </w:rPr>
            </w:pPr>
            <w:r>
              <w:rPr>
                <w:rFonts w:ascii="Calibri" w:hAnsi="Calibri" w:cs="Calibri"/>
                <w:sz w:val="18"/>
              </w:rPr>
              <w:t>“parameters” or “</w:t>
            </w:r>
            <w:r w:rsidR="007108E3">
              <w:rPr>
                <w:rFonts w:ascii="Calibri" w:hAnsi="Calibri" w:cs="Calibri"/>
                <w:sz w:val="18"/>
              </w:rPr>
              <w:t>observations</w:t>
            </w:r>
          </w:p>
        </w:tc>
        <w:tc>
          <w:tcPr>
            <w:tcW w:w="4738" w:type="dxa"/>
            <w:shd w:val="clear" w:color="auto" w:fill="auto"/>
          </w:tcPr>
          <w:p w14:paraId="0049BF9B" w14:textId="6D0102E0" w:rsidR="000E4786" w:rsidRDefault="000E4786" w:rsidP="00AE1165">
            <w:pPr>
              <w:rPr>
                <w:rFonts w:ascii="Calibri" w:hAnsi="Calibri" w:cs="Calibri"/>
                <w:sz w:val="18"/>
                <w:lang w:val="en-AU"/>
              </w:rPr>
            </w:pPr>
            <w:r>
              <w:rPr>
                <w:rFonts w:ascii="Calibri" w:hAnsi="Calibri" w:cs="Calibri"/>
                <w:sz w:val="18"/>
                <w:lang w:val="en-AU"/>
              </w:rPr>
              <w:t>A flag to process the localization matrix row-by-row (observations) or column-by-column (parameters).  Default is “parameters”</w:t>
            </w:r>
            <w:r w:rsidR="003178BF">
              <w:rPr>
                <w:rFonts w:ascii="Calibri" w:hAnsi="Calibri" w:cs="Calibri"/>
                <w:sz w:val="18"/>
                <w:lang w:val="en-AU"/>
              </w:rPr>
              <w:t>.</w:t>
            </w:r>
          </w:p>
        </w:tc>
      </w:tr>
      <w:tr w:rsidR="000E4786" w14:paraId="1756C426" w14:textId="77777777" w:rsidTr="0067675E">
        <w:trPr>
          <w:cantSplit/>
          <w:trHeight w:val="1081"/>
        </w:trPr>
        <w:tc>
          <w:tcPr>
            <w:tcW w:w="2982" w:type="dxa"/>
            <w:shd w:val="clear" w:color="auto" w:fill="auto"/>
          </w:tcPr>
          <w:p w14:paraId="5FE8FB01" w14:textId="1A150388" w:rsidR="000E4786" w:rsidRDefault="000E4786" w:rsidP="00AE1165">
            <w:pPr>
              <w:rPr>
                <w:rFonts w:ascii="Calibri" w:hAnsi="Calibri"/>
                <w:i/>
                <w:sz w:val="18"/>
                <w:lang w:val="en-AU"/>
              </w:rPr>
            </w:pPr>
            <w:r>
              <w:rPr>
                <w:rFonts w:ascii="Calibri" w:hAnsi="Calibri"/>
                <w:i/>
                <w:sz w:val="18"/>
                <w:lang w:val="en-AU"/>
              </w:rPr>
              <w:t>ies_num_threads(0)</w:t>
            </w:r>
          </w:p>
        </w:tc>
        <w:tc>
          <w:tcPr>
            <w:tcW w:w="1296" w:type="dxa"/>
            <w:shd w:val="clear" w:color="auto" w:fill="auto"/>
          </w:tcPr>
          <w:p w14:paraId="07F23D4B" w14:textId="0F3C10EF" w:rsidR="000E4786" w:rsidRDefault="003178BF" w:rsidP="00AE1165">
            <w:pPr>
              <w:rPr>
                <w:rFonts w:ascii="Calibri" w:hAnsi="Calibri" w:cs="Calibri"/>
                <w:sz w:val="18"/>
              </w:rPr>
            </w:pPr>
            <w:r>
              <w:rPr>
                <w:rFonts w:ascii="Calibri" w:hAnsi="Calibri" w:cs="Calibri"/>
                <w:sz w:val="18"/>
              </w:rPr>
              <w:t>i</w:t>
            </w:r>
            <w:r w:rsidR="000E4786">
              <w:rPr>
                <w:rFonts w:ascii="Calibri" w:hAnsi="Calibri" w:cs="Calibri"/>
                <w:sz w:val="18"/>
              </w:rPr>
              <w:t>nteger &gt; 1</w:t>
            </w:r>
          </w:p>
        </w:tc>
        <w:tc>
          <w:tcPr>
            <w:tcW w:w="4738" w:type="dxa"/>
            <w:shd w:val="clear" w:color="auto" w:fill="auto"/>
          </w:tcPr>
          <w:p w14:paraId="7326173F" w14:textId="72A9BFEC" w:rsidR="000E4786" w:rsidRDefault="000E4786" w:rsidP="00AE1165">
            <w:pPr>
              <w:rPr>
                <w:rFonts w:ascii="Calibri" w:hAnsi="Calibri" w:cs="Calibri"/>
                <w:sz w:val="18"/>
                <w:lang w:val="en-AU"/>
              </w:rPr>
            </w:pPr>
            <w:r>
              <w:rPr>
                <w:rFonts w:ascii="Calibri" w:hAnsi="Calibri" w:cs="Calibri"/>
                <w:sz w:val="18"/>
                <w:lang w:val="en-AU"/>
              </w:rPr>
              <w:t>The number of threads to use during the localized upgrade solution process</w:t>
            </w:r>
            <w:r w:rsidR="00DC6216">
              <w:rPr>
                <w:rFonts w:ascii="Calibri" w:hAnsi="Calibri" w:cs="Calibri"/>
                <w:sz w:val="18"/>
                <w:lang w:val="en-AU"/>
              </w:rPr>
              <w:t>, the automatic adaptive localization process and the generation of the initial parameter ensemble (if the prior parameter covariance matrix is none diagonal)</w:t>
            </w:r>
            <w:r>
              <w:rPr>
                <w:rFonts w:ascii="Calibri" w:hAnsi="Calibri" w:cs="Calibri"/>
                <w:sz w:val="18"/>
                <w:lang w:val="en-AU"/>
              </w:rPr>
              <w:t xml:space="preserve">.  If the localizer contains many (&gt;10K) rows, then multithreading can substantially speed up the upgrade calculation process.  </w:t>
            </w:r>
            <w:r w:rsidRPr="004307D0">
              <w:rPr>
                <w:rFonts w:ascii="Calibri" w:hAnsi="Calibri" w:cs="Calibri"/>
                <w:i/>
                <w:sz w:val="18"/>
                <w:lang w:val="en-AU"/>
              </w:rPr>
              <w:t>ies_num_threads</w:t>
            </w:r>
            <w:r w:rsidR="004307D0">
              <w:rPr>
                <w:rFonts w:ascii="Calibri" w:hAnsi="Calibri" w:cs="Calibri"/>
                <w:i/>
                <w:sz w:val="18"/>
                <w:lang w:val="en-AU"/>
              </w:rPr>
              <w:t>()</w:t>
            </w:r>
            <w:r>
              <w:rPr>
                <w:rFonts w:ascii="Calibri" w:hAnsi="Calibri" w:cs="Calibri"/>
                <w:sz w:val="18"/>
                <w:lang w:val="en-AU"/>
              </w:rPr>
              <w:t xml:space="preserve"> should not be greater than the number of physical cores on the host machine</w:t>
            </w:r>
            <w:r w:rsidR="003178BF">
              <w:rPr>
                <w:rFonts w:ascii="Calibri" w:hAnsi="Calibri" w:cs="Calibri"/>
                <w:sz w:val="18"/>
                <w:lang w:val="en-AU"/>
              </w:rPr>
              <w:t>.</w:t>
            </w:r>
            <w:r w:rsidR="00DC6216">
              <w:rPr>
                <w:rFonts w:ascii="Calibri" w:hAnsi="Calibri" w:cs="Calibri"/>
                <w:sz w:val="18"/>
                <w:lang w:val="en-AU"/>
              </w:rPr>
              <w:t xml:space="preserve"> Note also that if large numbers of parameters are in each group and the prior parameter covariance matrix is nondiagonal, users must take care not to saturate memory by using too many threads (this will manifest as a seg fault on linux/mac and an out or memory error on windows)</w:t>
            </w:r>
          </w:p>
        </w:tc>
      </w:tr>
      <w:tr w:rsidR="002E577A" w14:paraId="7F32171D" w14:textId="77777777" w:rsidTr="0067675E">
        <w:trPr>
          <w:cantSplit/>
          <w:trHeight w:val="1081"/>
        </w:trPr>
        <w:tc>
          <w:tcPr>
            <w:tcW w:w="2982" w:type="dxa"/>
            <w:shd w:val="clear" w:color="auto" w:fill="auto"/>
          </w:tcPr>
          <w:p w14:paraId="72592644" w14:textId="775B87D4" w:rsidR="002E577A" w:rsidRDefault="002E577A"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611DE341" w14:textId="76ED3E52" w:rsidR="002E577A" w:rsidRDefault="002E577A" w:rsidP="00AE1165">
            <w:pPr>
              <w:rPr>
                <w:rFonts w:ascii="Calibri" w:hAnsi="Calibri" w:cs="Calibri"/>
                <w:sz w:val="18"/>
              </w:rPr>
            </w:pPr>
            <w:r>
              <w:rPr>
                <w:rFonts w:ascii="Calibri" w:hAnsi="Calibri" w:cs="Calibri"/>
                <w:sz w:val="18"/>
              </w:rPr>
              <w:t>text</w:t>
            </w:r>
          </w:p>
        </w:tc>
        <w:tc>
          <w:tcPr>
            <w:tcW w:w="4738" w:type="dxa"/>
            <w:shd w:val="clear" w:color="auto" w:fill="auto"/>
          </w:tcPr>
          <w:p w14:paraId="52A42BD3" w14:textId="42273634" w:rsidR="002E577A" w:rsidRDefault="002E577A"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w:t>
            </w:r>
            <w:r w:rsidR="004307D0">
              <w:rPr>
                <w:rFonts w:ascii="Calibri" w:hAnsi="Calibri" w:cs="Calibri"/>
                <w:sz w:val="18"/>
                <w:lang w:val="en-AU"/>
              </w:rPr>
              <w:t>signifies use of (enhanced)</w:t>
            </w:r>
            <w:r>
              <w:rPr>
                <w:rFonts w:ascii="Calibri" w:hAnsi="Calibri" w:cs="Calibri"/>
                <w:sz w:val="18"/>
                <w:lang w:val="en-AU"/>
              </w:rPr>
              <w:t xml:space="preserve"> </w:t>
            </w:r>
            <w:r w:rsidR="004307D0">
              <w:rPr>
                <w:rFonts w:ascii="Calibri" w:hAnsi="Calibri" w:cs="Calibri"/>
                <w:sz w:val="18"/>
                <w:lang w:val="en-AU"/>
              </w:rPr>
              <w:t xml:space="preserve">Jacobian matrix format (a </w:t>
            </w:r>
            <w:r>
              <w:rPr>
                <w:rFonts w:ascii="Calibri" w:hAnsi="Calibri" w:cs="Calibri"/>
                <w:sz w:val="18"/>
                <w:lang w:val="en-AU"/>
              </w:rPr>
              <w:t>binary format</w:t>
            </w:r>
            <w:r w:rsidR="003178BF">
              <w:rPr>
                <w:rFonts w:ascii="Calibri" w:hAnsi="Calibri" w:cs="Calibri"/>
                <w:sz w:val="18"/>
                <w:lang w:val="en-AU"/>
              </w:rPr>
              <w:t>)</w:t>
            </w:r>
            <w:r w:rsidR="004307D0">
              <w:rPr>
                <w:rFonts w:ascii="Calibri" w:hAnsi="Calibri" w:cs="Calibri"/>
                <w:sz w:val="18"/>
                <w:lang w:val="en-AU"/>
              </w:rPr>
              <w:t>, while</w:t>
            </w:r>
            <w:r w:rsidR="003178BF">
              <w:rPr>
                <w:rFonts w:ascii="Calibri" w:hAnsi="Calibri" w:cs="Calibri"/>
                <w:sz w:val="18"/>
                <w:lang w:val="en-AU"/>
              </w:rPr>
              <w:t xml:space="preserve"> </w:t>
            </w:r>
            <w:r w:rsidRPr="004307D0">
              <w:rPr>
                <w:rFonts w:ascii="Calibri" w:hAnsi="Calibri" w:cs="Calibri"/>
                <w:i/>
                <w:sz w:val="18"/>
                <w:lang w:val="en-AU"/>
              </w:rPr>
              <w:t>.csv</w:t>
            </w:r>
            <w:r>
              <w:rPr>
                <w:rFonts w:ascii="Calibri" w:hAnsi="Calibri" w:cs="Calibri"/>
                <w:sz w:val="18"/>
                <w:lang w:val="en-AU"/>
              </w:rPr>
              <w:t xml:space="preserve"> </w:t>
            </w:r>
            <w:r w:rsidR="004307D0">
              <w:rPr>
                <w:rFonts w:ascii="Calibri" w:hAnsi="Calibri" w:cs="Calibri"/>
                <w:sz w:val="18"/>
                <w:lang w:val="en-AU"/>
              </w:rPr>
              <w:t xml:space="preserve">signifies </w:t>
            </w:r>
            <w:r>
              <w:rPr>
                <w:rFonts w:ascii="Calibri" w:hAnsi="Calibri" w:cs="Calibri"/>
                <w:sz w:val="18"/>
                <w:lang w:val="en-AU"/>
              </w:rPr>
              <w:t>a comma-</w:t>
            </w:r>
            <w:r w:rsidR="003178BF">
              <w:rPr>
                <w:rFonts w:ascii="Calibri" w:hAnsi="Calibri" w:cs="Calibri"/>
                <w:sz w:val="18"/>
                <w:lang w:val="en-AU"/>
              </w:rPr>
              <w:t>delimited</w:t>
            </w:r>
            <w:r>
              <w:rPr>
                <w:rFonts w:ascii="Calibri" w:hAnsi="Calibri" w:cs="Calibri"/>
                <w:sz w:val="18"/>
                <w:lang w:val="en-AU"/>
              </w:rPr>
              <w:t xml:space="preserve"> file. </w:t>
            </w:r>
            <w:r w:rsidR="003172EC">
              <w:rPr>
                <w:rFonts w:ascii="Calibri" w:hAnsi="Calibri" w:cs="Calibri"/>
                <w:sz w:val="18"/>
                <w:lang w:val="en-AU"/>
              </w:rPr>
              <w:t>Note</w:t>
            </w:r>
            <w:r w:rsidR="004307D0">
              <w:rPr>
                <w:rFonts w:ascii="Calibri" w:hAnsi="Calibri" w:cs="Calibri"/>
                <w:sz w:val="18"/>
                <w:lang w:val="en-AU"/>
              </w:rPr>
              <w:t xml:space="preserve"> that</w:t>
            </w:r>
            <w:r w:rsidR="003172EC">
              <w:rPr>
                <w:rFonts w:ascii="Calibri" w:hAnsi="Calibri" w:cs="Calibri"/>
                <w:sz w:val="18"/>
                <w:lang w:val="en-AU"/>
              </w:rPr>
              <w:t xml:space="preserve"> adjustable parameters not listed in localization matrix columns are implicitly treated as “fixed” </w:t>
            </w:r>
            <w:r w:rsidR="004307D0">
              <w:rPr>
                <w:rFonts w:ascii="Calibri" w:hAnsi="Calibri" w:cs="Calibri"/>
                <w:sz w:val="18"/>
                <w:lang w:val="en-AU"/>
              </w:rPr>
              <w:t>while</w:t>
            </w:r>
            <w:r w:rsidR="003172EC">
              <w:rPr>
                <w:rFonts w:ascii="Calibri" w:hAnsi="Calibri" w:cs="Calibri"/>
                <w:sz w:val="18"/>
                <w:lang w:val="en-AU"/>
              </w:rPr>
              <w:t xml:space="preserve"> non-zero weight</w:t>
            </w:r>
            <w:r w:rsidR="004307D0">
              <w:rPr>
                <w:rFonts w:ascii="Calibri" w:hAnsi="Calibri" w:cs="Calibri"/>
                <w:sz w:val="18"/>
                <w:lang w:val="en-AU"/>
              </w:rPr>
              <w:t>ed</w:t>
            </w:r>
            <w:r w:rsidR="003172EC">
              <w:rPr>
                <w:rFonts w:ascii="Calibri" w:hAnsi="Calibri" w:cs="Calibri"/>
                <w:sz w:val="18"/>
                <w:lang w:val="en-AU"/>
              </w:rPr>
              <w:t xml:space="preserve"> observations not listed in rows</w:t>
            </w:r>
            <w:r w:rsidR="004307D0">
              <w:rPr>
                <w:rFonts w:ascii="Calibri" w:hAnsi="Calibri" w:cs="Calibri"/>
                <w:sz w:val="18"/>
                <w:lang w:val="en-AU"/>
              </w:rPr>
              <w:t xml:space="preserve"> of this matrix</w:t>
            </w:r>
            <w:r w:rsidR="003172EC">
              <w:rPr>
                <w:rFonts w:ascii="Calibri" w:hAnsi="Calibri" w:cs="Calibri"/>
                <w:sz w:val="18"/>
                <w:lang w:val="en-AU"/>
              </w:rPr>
              <w:t xml:space="preserve"> are implicitly treated as zero</w:t>
            </w:r>
            <w:r w:rsidR="004307D0">
              <w:rPr>
                <w:rFonts w:ascii="Calibri" w:hAnsi="Calibri" w:cs="Calibri"/>
                <w:sz w:val="18"/>
                <w:lang w:val="en-AU"/>
              </w:rPr>
              <w:t>-</w:t>
            </w:r>
            <w:r w:rsidR="003172EC">
              <w:rPr>
                <w:rFonts w:ascii="Calibri" w:hAnsi="Calibri" w:cs="Calibri"/>
                <w:sz w:val="18"/>
                <w:lang w:val="en-AU"/>
              </w:rPr>
              <w:t>weighted.</w:t>
            </w:r>
          </w:p>
        </w:tc>
      </w:tr>
      <w:tr w:rsidR="004761D8" w14:paraId="28EE95C6" w14:textId="77777777" w:rsidTr="0067675E">
        <w:trPr>
          <w:cantSplit/>
          <w:trHeight w:val="1081"/>
        </w:trPr>
        <w:tc>
          <w:tcPr>
            <w:tcW w:w="2982" w:type="dxa"/>
            <w:shd w:val="clear" w:color="auto" w:fill="auto"/>
          </w:tcPr>
          <w:p w14:paraId="588FB34F" w14:textId="11CF8F7C" w:rsidR="004761D8" w:rsidRDefault="004761D8"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1BDED344" w14:textId="62C032FB" w:rsidR="004761D8" w:rsidRDefault="004761D8"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1D53B88C" w:rsidR="004761D8" w:rsidRDefault="004761D8" w:rsidP="00AE1165">
            <w:pPr>
              <w:rPr>
                <w:rFonts w:ascii="Calibri" w:hAnsi="Calibri" w:cs="Calibri"/>
                <w:sz w:val="18"/>
                <w:lang w:val="en-AU"/>
              </w:rPr>
            </w:pPr>
            <w:r>
              <w:rPr>
                <w:rFonts w:ascii="Calibri" w:hAnsi="Calibri" w:cs="Calibri"/>
                <w:sz w:val="18"/>
                <w:lang w:val="en-AU"/>
              </w:rPr>
              <w:t>A flag to draw from the (multivariate) Gaussian prior by parameter</w:t>
            </w:r>
            <w:r w:rsidR="00703EF1">
              <w:rPr>
                <w:rFonts w:ascii="Calibri" w:hAnsi="Calibri" w:cs="Calibri"/>
                <w:sz w:val="18"/>
                <w:lang w:val="en-AU"/>
              </w:rPr>
              <w:t>/observation</w:t>
            </w:r>
            <w:r>
              <w:rPr>
                <w:rFonts w:ascii="Calibri" w:hAnsi="Calibri" w:cs="Calibri"/>
                <w:sz w:val="18"/>
                <w:lang w:val="en-AU"/>
              </w:rPr>
              <w:t xml:space="preserve"> groups. </w:t>
            </w:r>
          </w:p>
        </w:tc>
      </w:tr>
      <w:tr w:rsidR="00AF2B85" w14:paraId="6EB6AD4B" w14:textId="77777777" w:rsidTr="0067675E">
        <w:trPr>
          <w:cantSplit/>
          <w:trHeight w:val="1081"/>
        </w:trPr>
        <w:tc>
          <w:tcPr>
            <w:tcW w:w="2982" w:type="dxa"/>
            <w:shd w:val="clear" w:color="auto" w:fill="auto"/>
          </w:tcPr>
          <w:p w14:paraId="35907D98" w14:textId="5B7A836D" w:rsidR="00AF2B85" w:rsidRDefault="00AF2B85"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032EF1A3" w14:textId="6FEFC8C3"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3DE71EC1" w:rsidR="00AF2B85" w:rsidRDefault="00AF2B85" w:rsidP="00AE1165">
            <w:pPr>
              <w:rPr>
                <w:rFonts w:ascii="Calibri" w:hAnsi="Calibri" w:cs="Calibri"/>
                <w:sz w:val="18"/>
                <w:lang w:val="en-AU"/>
              </w:rPr>
            </w:pPr>
            <w:r>
              <w:rPr>
                <w:rFonts w:ascii="Calibri" w:hAnsi="Calibri" w:cs="Calibri"/>
                <w:sz w:val="18"/>
                <w:lang w:val="en-AU"/>
              </w:rPr>
              <w:t>A flag to save parameter and observation ensembles in binary</w:t>
            </w:r>
            <w:r w:rsidR="003178BF">
              <w:rPr>
                <w:rFonts w:ascii="Calibri" w:hAnsi="Calibri" w:cs="Calibri"/>
                <w:sz w:val="18"/>
                <w:lang w:val="en-AU"/>
              </w:rPr>
              <w:t xml:space="preserve"> (i.e. JCB) </w:t>
            </w:r>
            <w:r>
              <w:rPr>
                <w:rFonts w:ascii="Calibri" w:hAnsi="Calibri" w:cs="Calibri"/>
                <w:sz w:val="18"/>
                <w:lang w:val="en-AU"/>
              </w:rPr>
              <w:t xml:space="preserve"> format</w:t>
            </w:r>
            <w:r w:rsidR="003178BF">
              <w:rPr>
                <w:rFonts w:ascii="Calibri" w:hAnsi="Calibri" w:cs="Calibri"/>
                <w:sz w:val="18"/>
                <w:lang w:val="en-AU"/>
              </w:rPr>
              <w:t xml:space="preserve"> instead of CSV format.</w:t>
            </w:r>
            <w:r>
              <w:rPr>
                <w:rFonts w:ascii="Calibri" w:hAnsi="Calibri" w:cs="Calibri"/>
                <w:sz w:val="18"/>
                <w:lang w:val="en-AU"/>
              </w:rPr>
              <w:t xml:space="preserve"> </w:t>
            </w:r>
          </w:p>
        </w:tc>
      </w:tr>
      <w:tr w:rsidR="00AF2B85" w14:paraId="3D439CEA" w14:textId="77777777" w:rsidTr="0067675E">
        <w:trPr>
          <w:cantSplit/>
          <w:trHeight w:val="1081"/>
        </w:trPr>
        <w:tc>
          <w:tcPr>
            <w:tcW w:w="2982" w:type="dxa"/>
            <w:shd w:val="clear" w:color="auto" w:fill="auto"/>
          </w:tcPr>
          <w:p w14:paraId="07C2F972" w14:textId="38F7370B" w:rsidR="00AF2B85" w:rsidRDefault="00AF2B85"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5DE84CF3" w14:textId="7F077224"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66D652FD" w:rsidR="00AF2B85" w:rsidRDefault="00AF2B85"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w:t>
            </w:r>
            <w:r w:rsidR="003178BF">
              <w:rPr>
                <w:rFonts w:ascii="Calibri" w:hAnsi="Calibri" w:cs="Calibri"/>
                <w:sz w:val="18"/>
                <w:lang w:val="en-AU"/>
              </w:rPr>
              <w:t>instead of</w:t>
            </w:r>
            <w:r>
              <w:rPr>
                <w:rFonts w:ascii="Calibri" w:hAnsi="Calibri" w:cs="Calibri"/>
                <w:sz w:val="18"/>
                <w:lang w:val="en-AU"/>
              </w:rPr>
              <w:t xml:space="preserve"> by variable name.  If true, each row of the CSV file is a realization.  If false, each column of the CSV</w:t>
            </w:r>
            <w:r w:rsidR="003178BF">
              <w:rPr>
                <w:rFonts w:ascii="Calibri" w:hAnsi="Calibri" w:cs="Calibri"/>
                <w:sz w:val="18"/>
                <w:lang w:val="en-AU"/>
              </w:rPr>
              <w:t xml:space="preserve"> file</w:t>
            </w:r>
            <w:r>
              <w:rPr>
                <w:rFonts w:ascii="Calibri" w:hAnsi="Calibri" w:cs="Calibri"/>
                <w:sz w:val="18"/>
                <w:lang w:val="en-AU"/>
              </w:rPr>
              <w:t xml:space="preserve"> is a realization. </w:t>
            </w:r>
          </w:p>
        </w:tc>
      </w:tr>
      <w:tr w:rsidR="00442AAB" w14:paraId="1C6E237D" w14:textId="77777777" w:rsidTr="0067675E">
        <w:trPr>
          <w:cantSplit/>
          <w:trHeight w:val="1081"/>
        </w:trPr>
        <w:tc>
          <w:tcPr>
            <w:tcW w:w="2982" w:type="dxa"/>
            <w:shd w:val="clear" w:color="auto" w:fill="auto"/>
          </w:tcPr>
          <w:p w14:paraId="1965B648" w14:textId="40C16913"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es_autoadaloc(false)</w:t>
            </w:r>
          </w:p>
        </w:tc>
        <w:tc>
          <w:tcPr>
            <w:tcW w:w="1296" w:type="dxa"/>
            <w:shd w:val="clear" w:color="auto" w:fill="auto"/>
          </w:tcPr>
          <w:p w14:paraId="6E0EAD2A" w14:textId="38950C02" w:rsidR="00442AAB" w:rsidRDefault="00442AAB" w:rsidP="00AE1165">
            <w:pPr>
              <w:rPr>
                <w:rFonts w:ascii="Calibri" w:hAnsi="Calibri" w:cs="Calibri"/>
                <w:sz w:val="18"/>
              </w:rPr>
            </w:pPr>
            <w:r>
              <w:rPr>
                <w:rFonts w:ascii="Calibri" w:hAnsi="Calibri" w:cs="Calibri"/>
                <w:sz w:val="18"/>
              </w:rPr>
              <w:t>Boolean</w:t>
            </w:r>
          </w:p>
        </w:tc>
        <w:tc>
          <w:tcPr>
            <w:tcW w:w="4738" w:type="dxa"/>
            <w:shd w:val="clear" w:color="auto" w:fill="auto"/>
          </w:tcPr>
          <w:p w14:paraId="44160943" w14:textId="473AA4FA" w:rsidR="00442AAB" w:rsidRDefault="00442AAB" w:rsidP="00AE1165">
            <w:pPr>
              <w:rPr>
                <w:rFonts w:ascii="Calibri" w:hAnsi="Calibri" w:cs="Calibri"/>
                <w:sz w:val="18"/>
                <w:lang w:val="en-AU"/>
              </w:rPr>
            </w:pPr>
            <w:r>
              <w:rPr>
                <w:rFonts w:ascii="Calibri" w:hAnsi="Calibri" w:cs="Calibri"/>
                <w:sz w:val="18"/>
                <w:lang w:val="en-AU"/>
              </w:rPr>
              <w:t>Flag to activate automatic adaptive localization</w:t>
            </w:r>
            <w:r w:rsidR="003178BF">
              <w:rPr>
                <w:rFonts w:ascii="Calibri" w:hAnsi="Calibri" w:cs="Calibri"/>
                <w:sz w:val="18"/>
                <w:lang w:val="en-AU"/>
              </w:rPr>
              <w:t>.</w:t>
            </w:r>
          </w:p>
        </w:tc>
      </w:tr>
      <w:tr w:rsidR="00442AAB" w14:paraId="0F2ADE46" w14:textId="77777777" w:rsidTr="0067675E">
        <w:trPr>
          <w:cantSplit/>
          <w:trHeight w:val="1081"/>
        </w:trPr>
        <w:tc>
          <w:tcPr>
            <w:tcW w:w="2982" w:type="dxa"/>
            <w:shd w:val="clear" w:color="auto" w:fill="auto"/>
          </w:tcPr>
          <w:p w14:paraId="761EC44D" w14:textId="40050A8A"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es_autoadaloc_sigma_dist(1.0)</w:t>
            </w:r>
          </w:p>
        </w:tc>
        <w:tc>
          <w:tcPr>
            <w:tcW w:w="1296" w:type="dxa"/>
            <w:shd w:val="clear" w:color="auto" w:fill="auto"/>
          </w:tcPr>
          <w:p w14:paraId="155DA4C7" w14:textId="2919F191" w:rsidR="00442AAB" w:rsidRDefault="00442AAB" w:rsidP="00AE1165">
            <w:pPr>
              <w:rPr>
                <w:rFonts w:ascii="Calibri" w:hAnsi="Calibri" w:cs="Calibri"/>
                <w:sz w:val="18"/>
              </w:rPr>
            </w:pPr>
            <w:r>
              <w:rPr>
                <w:rFonts w:ascii="Calibri" w:hAnsi="Calibri" w:cs="Calibri"/>
                <w:sz w:val="18"/>
              </w:rPr>
              <w:t>Real</w:t>
            </w:r>
          </w:p>
        </w:tc>
        <w:tc>
          <w:tcPr>
            <w:tcW w:w="4738" w:type="dxa"/>
            <w:shd w:val="clear" w:color="auto" w:fill="auto"/>
          </w:tcPr>
          <w:p w14:paraId="448721DC" w14:textId="7CC17D56" w:rsidR="00442AAB" w:rsidRDefault="00442AAB" w:rsidP="00AE1165">
            <w:pPr>
              <w:rPr>
                <w:rFonts w:ascii="Calibri" w:hAnsi="Calibri" w:cs="Calibri"/>
                <w:sz w:val="18"/>
                <w:lang w:val="en-AU"/>
              </w:rPr>
            </w:pPr>
            <w:r>
              <w:rPr>
                <w:rFonts w:ascii="Calibri" w:hAnsi="Calibri" w:cs="Calibri"/>
                <w:sz w:val="18"/>
                <w:lang w:val="en-AU"/>
              </w:rPr>
              <w:t>Real number representing the</w:t>
            </w:r>
            <w:r w:rsidR="004307D0">
              <w:rPr>
                <w:rFonts w:ascii="Calibri" w:hAnsi="Calibri" w:cs="Calibri"/>
                <w:sz w:val="18"/>
                <w:lang w:val="en-AU"/>
              </w:rPr>
              <w:t xml:space="preserve"> factor by which</w:t>
            </w:r>
            <w:r w:rsidR="003178BF">
              <w:rPr>
                <w:rFonts w:ascii="Calibri" w:hAnsi="Calibri" w:cs="Calibri"/>
                <w:sz w:val="18"/>
                <w:lang w:val="en-AU"/>
              </w:rPr>
              <w:t xml:space="preserve"> a correlation coefficient</w:t>
            </w:r>
            <w:r>
              <w:rPr>
                <w:rFonts w:ascii="Calibri" w:hAnsi="Calibri" w:cs="Calibri"/>
                <w:sz w:val="18"/>
                <w:lang w:val="en-AU"/>
              </w:rPr>
              <w:t xml:space="preserve"> must </w:t>
            </w:r>
            <w:r w:rsidR="004307D0">
              <w:rPr>
                <w:rFonts w:ascii="Calibri" w:hAnsi="Calibri" w:cs="Calibri"/>
                <w:sz w:val="18"/>
                <w:lang w:val="en-AU"/>
              </w:rPr>
              <w:t>exceed</w:t>
            </w:r>
            <w:r>
              <w:rPr>
                <w:rFonts w:ascii="Calibri" w:hAnsi="Calibri" w:cs="Calibri"/>
                <w:sz w:val="18"/>
                <w:lang w:val="en-AU"/>
              </w:rPr>
              <w:t xml:space="preserve"> the </w:t>
            </w:r>
            <w:r w:rsidR="003178BF">
              <w:rPr>
                <w:rFonts w:ascii="Calibri" w:hAnsi="Calibri" w:cs="Calibri"/>
                <w:sz w:val="18"/>
                <w:lang w:val="en-AU"/>
              </w:rPr>
              <w:t>standard deviation</w:t>
            </w:r>
            <w:r>
              <w:rPr>
                <w:rFonts w:ascii="Calibri" w:hAnsi="Calibri" w:cs="Calibri"/>
                <w:sz w:val="18"/>
                <w:lang w:val="en-AU"/>
              </w:rPr>
              <w:t xml:space="preserve"> of background correlation coefficients to be considered significant. Default is 1.0</w:t>
            </w:r>
          </w:p>
        </w:tc>
      </w:tr>
      <w:tr w:rsidR="0067675E" w14:paraId="2F4E604A" w14:textId="77777777" w:rsidTr="0067675E">
        <w:trPr>
          <w:cantSplit/>
          <w:trHeight w:val="1081"/>
        </w:trPr>
        <w:tc>
          <w:tcPr>
            <w:tcW w:w="2982" w:type="dxa"/>
            <w:shd w:val="clear" w:color="auto" w:fill="auto"/>
          </w:tcPr>
          <w:p w14:paraId="5BA69805" w14:textId="38463884" w:rsidR="0067675E" w:rsidRDefault="0067675E" w:rsidP="00AE1165">
            <w:pPr>
              <w:rPr>
                <w:rFonts w:ascii="Calibri" w:hAnsi="Calibri"/>
                <w:i/>
                <w:sz w:val="18"/>
                <w:lang w:val="en-AU"/>
              </w:rPr>
            </w:pPr>
            <w:r>
              <w:rPr>
                <w:rFonts w:ascii="Calibri" w:hAnsi="Calibri"/>
                <w:i/>
                <w:sz w:val="18"/>
                <w:lang w:val="en-AU"/>
              </w:rPr>
              <w:t>tie_by_group</w:t>
            </w:r>
            <w:r w:rsidR="0061671F">
              <w:rPr>
                <w:rFonts w:ascii="Calibri" w:hAnsi="Calibri"/>
                <w:i/>
                <w:sz w:val="18"/>
                <w:lang w:val="en-AU"/>
              </w:rPr>
              <w:t>(false)</w:t>
            </w:r>
          </w:p>
        </w:tc>
        <w:tc>
          <w:tcPr>
            <w:tcW w:w="1296" w:type="dxa"/>
            <w:shd w:val="clear" w:color="auto" w:fill="auto"/>
          </w:tcPr>
          <w:p w14:paraId="2122DDA5" w14:textId="16F17E00" w:rsidR="0067675E" w:rsidRDefault="0067675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664B0EB4" w:rsidR="0067675E" w:rsidRDefault="0061671F"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B01B66" w14:paraId="0296B764" w14:textId="77777777" w:rsidTr="0067675E">
        <w:trPr>
          <w:cantSplit/>
          <w:trHeight w:val="1081"/>
        </w:trPr>
        <w:tc>
          <w:tcPr>
            <w:tcW w:w="2982" w:type="dxa"/>
            <w:shd w:val="clear" w:color="auto" w:fill="auto"/>
          </w:tcPr>
          <w:p w14:paraId="64708E91" w14:textId="02AA8965" w:rsidR="00B01B66" w:rsidRPr="00B01B66" w:rsidRDefault="000C3797" w:rsidP="00AE1165">
            <w:pPr>
              <w:rPr>
                <w:rFonts w:ascii="Calibri" w:hAnsi="Calibri"/>
                <w:sz w:val="18"/>
                <w:lang w:val="en-AU"/>
              </w:rPr>
            </w:pPr>
            <w:r>
              <w:rPr>
                <w:rFonts w:ascii="Calibri" w:hAnsi="Calibri"/>
                <w:i/>
                <w:sz w:val="18"/>
                <w:lang w:val="en-AU"/>
              </w:rPr>
              <w:t>i</w:t>
            </w:r>
            <w:r w:rsidR="00B01B66">
              <w:rPr>
                <w:rFonts w:ascii="Calibri" w:hAnsi="Calibri"/>
                <w:i/>
                <w:sz w:val="18"/>
                <w:lang w:val="en-AU"/>
              </w:rPr>
              <w:t>es_enforce_chglim(false)</w:t>
            </w:r>
          </w:p>
        </w:tc>
        <w:tc>
          <w:tcPr>
            <w:tcW w:w="1296" w:type="dxa"/>
            <w:shd w:val="clear" w:color="auto" w:fill="auto"/>
          </w:tcPr>
          <w:p w14:paraId="4D1A4138" w14:textId="63AAB135" w:rsidR="00B01B66" w:rsidRDefault="00B01B66" w:rsidP="00AE1165">
            <w:pPr>
              <w:rPr>
                <w:rFonts w:ascii="Calibri" w:hAnsi="Calibri" w:cs="Calibri"/>
                <w:sz w:val="18"/>
              </w:rPr>
            </w:pPr>
            <w:r>
              <w:rPr>
                <w:rFonts w:ascii="Calibri" w:hAnsi="Calibri" w:cs="Calibri"/>
                <w:sz w:val="18"/>
              </w:rPr>
              <w:t>Boolean</w:t>
            </w:r>
          </w:p>
        </w:tc>
        <w:tc>
          <w:tcPr>
            <w:tcW w:w="4738" w:type="dxa"/>
            <w:shd w:val="clear" w:color="auto" w:fill="auto"/>
          </w:tcPr>
          <w:p w14:paraId="0344D471" w14:textId="265D182B" w:rsidR="00B01B66" w:rsidRPr="004307D0" w:rsidRDefault="00B01B66" w:rsidP="00AE1165">
            <w:pPr>
              <w:rPr>
                <w:rFonts w:asciiTheme="minorHAnsi" w:hAnsiTheme="minorHAnsi" w:cstheme="minorHAnsi"/>
                <w:sz w:val="18"/>
              </w:rPr>
            </w:pPr>
            <w:r>
              <w:rPr>
                <w:rFonts w:asciiTheme="minorHAnsi" w:hAnsiTheme="minorHAnsi" w:cstheme="minorHAnsi"/>
                <w:sz w:val="18"/>
              </w:rPr>
              <w:t>Flag to enforce parameter bounds transgression and parameter change limits (via FACPARMAX and RELPARMAX) in a way similar to PEST and PESTPP-GLM (by scaling the entire realization). Default is false.</w:t>
            </w:r>
          </w:p>
        </w:tc>
      </w:tr>
      <w:tr w:rsidR="00291C93" w14:paraId="32FCFF6E" w14:textId="77777777" w:rsidTr="0067675E">
        <w:trPr>
          <w:cantSplit/>
          <w:trHeight w:val="1081"/>
        </w:trPr>
        <w:tc>
          <w:tcPr>
            <w:tcW w:w="2982" w:type="dxa"/>
            <w:shd w:val="clear" w:color="auto" w:fill="auto"/>
          </w:tcPr>
          <w:p w14:paraId="62D0F36D" w14:textId="6259E0A4" w:rsidR="00291C93" w:rsidRDefault="00291C93" w:rsidP="00AE1165">
            <w:pPr>
              <w:rPr>
                <w:rFonts w:ascii="Calibri" w:hAnsi="Calibri"/>
                <w:i/>
                <w:sz w:val="18"/>
                <w:lang w:val="en-AU"/>
              </w:rPr>
            </w:pPr>
            <w:r>
              <w:rPr>
                <w:rFonts w:ascii="Calibri" w:hAnsi="Calibri"/>
                <w:i/>
                <w:sz w:val="18"/>
                <w:lang w:val="en-AU"/>
              </w:rPr>
              <w:t>ies_center_on(base)</w:t>
            </w:r>
          </w:p>
        </w:tc>
        <w:tc>
          <w:tcPr>
            <w:tcW w:w="1296" w:type="dxa"/>
            <w:shd w:val="clear" w:color="auto" w:fill="auto"/>
          </w:tcPr>
          <w:p w14:paraId="0517825B" w14:textId="2D0BD330" w:rsidR="00291C93" w:rsidRDefault="00291C93" w:rsidP="00AE1165">
            <w:pPr>
              <w:rPr>
                <w:rFonts w:ascii="Calibri" w:hAnsi="Calibri" w:cs="Calibri"/>
                <w:sz w:val="18"/>
              </w:rPr>
            </w:pPr>
            <w:r>
              <w:rPr>
                <w:rFonts w:ascii="Calibri" w:hAnsi="Calibri" w:cs="Calibri"/>
                <w:sz w:val="18"/>
              </w:rPr>
              <w:t>String</w:t>
            </w:r>
          </w:p>
        </w:tc>
        <w:tc>
          <w:tcPr>
            <w:tcW w:w="4738" w:type="dxa"/>
            <w:shd w:val="clear" w:color="auto" w:fill="auto"/>
          </w:tcPr>
          <w:p w14:paraId="71F083CB" w14:textId="0FDDD78B" w:rsidR="00291C93" w:rsidRDefault="00291C93"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w:t>
            </w:r>
          </w:p>
        </w:tc>
      </w:tr>
      <w:tr w:rsidR="001A568B" w14:paraId="757FF631" w14:textId="77777777" w:rsidTr="0067675E">
        <w:trPr>
          <w:cantSplit/>
          <w:trHeight w:val="1081"/>
        </w:trPr>
        <w:tc>
          <w:tcPr>
            <w:tcW w:w="2982" w:type="dxa"/>
            <w:shd w:val="clear" w:color="auto" w:fill="auto"/>
          </w:tcPr>
          <w:p w14:paraId="5B0F0F2F" w14:textId="1CA6C8B2" w:rsidR="001A568B" w:rsidRDefault="001A568B"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6BC654C4" w14:textId="045379D2" w:rsidR="001A568B" w:rsidRDefault="001A568B"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11752BC8" w:rsidR="001A568B" w:rsidRDefault="001A568B" w:rsidP="00AE1165">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434724" w14:paraId="5E2E8A03" w14:textId="77777777" w:rsidTr="0067675E">
        <w:trPr>
          <w:cantSplit/>
          <w:trHeight w:val="1081"/>
        </w:trPr>
        <w:tc>
          <w:tcPr>
            <w:tcW w:w="2982" w:type="dxa"/>
            <w:shd w:val="clear" w:color="auto" w:fill="auto"/>
          </w:tcPr>
          <w:p w14:paraId="3AB7F064" w14:textId="4AD5960E" w:rsidR="00434724" w:rsidRDefault="000C3797" w:rsidP="00AE1165">
            <w:pPr>
              <w:rPr>
                <w:rFonts w:ascii="Calibri" w:hAnsi="Calibri" w:cs="Calibri"/>
                <w:i/>
                <w:sz w:val="18"/>
                <w:szCs w:val="18"/>
                <w:lang w:val="en-AU"/>
              </w:rPr>
            </w:pPr>
            <w:r>
              <w:rPr>
                <w:rFonts w:ascii="Calibri" w:hAnsi="Calibri" w:cs="Calibri"/>
                <w:i/>
                <w:sz w:val="18"/>
                <w:szCs w:val="18"/>
                <w:lang w:val="en-AU"/>
              </w:rPr>
              <w:t>i</w:t>
            </w:r>
            <w:r w:rsidR="00434724">
              <w:rPr>
                <w:rFonts w:ascii="Calibri" w:hAnsi="Calibri" w:cs="Calibri"/>
                <w:i/>
                <w:sz w:val="18"/>
                <w:szCs w:val="18"/>
                <w:lang w:val="en-AU"/>
              </w:rPr>
              <w:t>es_no_noise(false)</w:t>
            </w:r>
          </w:p>
        </w:tc>
        <w:tc>
          <w:tcPr>
            <w:tcW w:w="1296" w:type="dxa"/>
            <w:shd w:val="clear" w:color="auto" w:fill="auto"/>
          </w:tcPr>
          <w:p w14:paraId="3D8E0CC3" w14:textId="76BBDBA1" w:rsidR="00434724" w:rsidRDefault="00434724"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8B3FF80" w:rsidR="00434724" w:rsidRDefault="00434724" w:rsidP="00AE1165">
            <w:pPr>
              <w:rPr>
                <w:rFonts w:ascii="Calibri" w:hAnsi="Calibri" w:cs="Calibri"/>
                <w:sz w:val="18"/>
                <w:szCs w:val="18"/>
                <w:lang w:val="en-AU"/>
              </w:rPr>
            </w:pPr>
            <w:r>
              <w:rPr>
                <w:rFonts w:ascii="Calibri" w:hAnsi="Calibri" w:cs="Calibri"/>
                <w:sz w:val="18"/>
                <w:szCs w:val="18"/>
                <w:lang w:val="en-AU"/>
              </w:rPr>
              <w:t xml:space="preserve">Flag to not generate and use realizations of measurement noise.  Default is False (that is, to use measurement noise). </w:t>
            </w:r>
          </w:p>
        </w:tc>
      </w:tr>
      <w:tr w:rsidR="00B63F7A" w14:paraId="2B87F9F3" w14:textId="77777777" w:rsidTr="0067675E">
        <w:trPr>
          <w:cantSplit/>
          <w:trHeight w:val="1081"/>
        </w:trPr>
        <w:tc>
          <w:tcPr>
            <w:tcW w:w="2982" w:type="dxa"/>
            <w:shd w:val="clear" w:color="auto" w:fill="auto"/>
          </w:tcPr>
          <w:p w14:paraId="1D5F9F1A" w14:textId="0C02EC67" w:rsidR="00B63F7A" w:rsidRDefault="000C3797" w:rsidP="00AE1165">
            <w:pPr>
              <w:rPr>
                <w:rFonts w:ascii="Calibri" w:hAnsi="Calibri" w:cs="Calibri"/>
                <w:i/>
                <w:sz w:val="18"/>
                <w:szCs w:val="18"/>
                <w:lang w:val="en-AU"/>
              </w:rPr>
            </w:pPr>
            <w:r>
              <w:rPr>
                <w:rFonts w:ascii="Calibri" w:hAnsi="Calibri" w:cs="Calibri"/>
                <w:i/>
                <w:sz w:val="18"/>
                <w:szCs w:val="18"/>
                <w:lang w:val="en-AU"/>
              </w:rPr>
              <w:t>i</w:t>
            </w:r>
            <w:r w:rsidR="00B63F7A">
              <w:rPr>
                <w:rFonts w:ascii="Calibri" w:hAnsi="Calibri" w:cs="Calibri"/>
                <w:i/>
                <w:sz w:val="18"/>
                <w:szCs w:val="18"/>
                <w:lang w:val="en-AU"/>
              </w:rPr>
              <w:t>es_drop_conflicts(false)</w:t>
            </w:r>
          </w:p>
        </w:tc>
        <w:tc>
          <w:tcPr>
            <w:tcW w:w="1296" w:type="dxa"/>
            <w:shd w:val="clear" w:color="auto" w:fill="auto"/>
          </w:tcPr>
          <w:p w14:paraId="786763B6" w14:textId="7F4E5526" w:rsidR="00B63F7A" w:rsidRDefault="00B63F7A"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316930F5" w14:textId="4944DB9F" w:rsidR="00B63F7A" w:rsidRDefault="00054348"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w:t>
            </w:r>
            <w:r w:rsidR="00CA59E8">
              <w:rPr>
                <w:rFonts w:ascii="Calibri" w:hAnsi="Calibri" w:cs="Calibri"/>
                <w:sz w:val="18"/>
                <w:szCs w:val="18"/>
                <w:lang w:val="en-AU"/>
              </w:rPr>
              <w:t>u</w:t>
            </w:r>
            <w:r>
              <w:rPr>
                <w:rFonts w:ascii="Calibri" w:hAnsi="Calibri" w:cs="Calibri"/>
                <w:sz w:val="18"/>
                <w:szCs w:val="18"/>
                <w:lang w:val="en-AU"/>
              </w:rPr>
              <w:t>lt is False.</w:t>
            </w:r>
          </w:p>
        </w:tc>
      </w:tr>
      <w:tr w:rsidR="00ED6C57" w14:paraId="1C1817D8" w14:textId="77777777" w:rsidTr="0067675E">
        <w:trPr>
          <w:cantSplit/>
          <w:trHeight w:val="1081"/>
        </w:trPr>
        <w:tc>
          <w:tcPr>
            <w:tcW w:w="2982" w:type="dxa"/>
            <w:shd w:val="clear" w:color="auto" w:fill="auto"/>
          </w:tcPr>
          <w:p w14:paraId="02373572" w14:textId="51F71903" w:rsidR="00ED6C57" w:rsidRDefault="00ED6C57"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1B0A0313" w14:textId="59DC4DFC" w:rsidR="00ED6C57" w:rsidRDefault="00ED6C57"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6A24AD45" w14:textId="61C6BFAD" w:rsidR="00ED6C57" w:rsidRDefault="00ED6C57"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754957">
              <w:rPr>
                <w:rFonts w:ascii="Calibri" w:hAnsi="Calibri" w:cs="Calibri"/>
                <w:sz w:val="18"/>
                <w:szCs w:val="18"/>
                <w:lang w:val="en-AU"/>
              </w:rPr>
              <w:t>.</w:t>
            </w:r>
          </w:p>
        </w:tc>
      </w:tr>
      <w:tr w:rsidR="000C3797" w14:paraId="521FB219" w14:textId="77777777" w:rsidTr="0067675E">
        <w:trPr>
          <w:cantSplit/>
          <w:trHeight w:val="1081"/>
        </w:trPr>
        <w:tc>
          <w:tcPr>
            <w:tcW w:w="2982" w:type="dxa"/>
            <w:shd w:val="clear" w:color="auto" w:fill="auto"/>
          </w:tcPr>
          <w:p w14:paraId="3395914C" w14:textId="4EEBDAC4" w:rsidR="000C3797" w:rsidRDefault="000C3797" w:rsidP="00AE1165">
            <w:pPr>
              <w:rPr>
                <w:rFonts w:ascii="Calibri" w:hAnsi="Calibri" w:cs="Calibri"/>
                <w:i/>
                <w:sz w:val="18"/>
                <w:szCs w:val="18"/>
                <w:lang w:val="en-AU"/>
              </w:rPr>
            </w:pPr>
            <w:r>
              <w:rPr>
                <w:rFonts w:ascii="Calibri" w:hAnsi="Calibri" w:cs="Calibri"/>
                <w:i/>
                <w:sz w:val="18"/>
                <w:szCs w:val="18"/>
                <w:lang w:val="en-AU"/>
              </w:rPr>
              <w:t>ies_save_rescov(true)</w:t>
            </w:r>
          </w:p>
        </w:tc>
        <w:tc>
          <w:tcPr>
            <w:tcW w:w="1296" w:type="dxa"/>
            <w:shd w:val="clear" w:color="auto" w:fill="auto"/>
          </w:tcPr>
          <w:p w14:paraId="0BF3DE2A" w14:textId="442C9865" w:rsidR="000C3797" w:rsidRDefault="000C3797"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259EA4A9" w14:textId="019BD069" w:rsidR="000C3797" w:rsidRPr="000C3797" w:rsidRDefault="000C3797" w:rsidP="00AE1165">
            <w:pPr>
              <w:rPr>
                <w:rFonts w:ascii="Calibri" w:hAnsi="Calibri" w:cs="Calibri"/>
                <w:sz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w:t>
            </w:r>
          </w:p>
        </w:tc>
      </w:tr>
      <w:tr w:rsidR="000C3797" w14:paraId="52847EC8" w14:textId="77777777" w:rsidTr="0067675E">
        <w:trPr>
          <w:cantSplit/>
          <w:trHeight w:val="1081"/>
        </w:trPr>
        <w:tc>
          <w:tcPr>
            <w:tcW w:w="2982" w:type="dxa"/>
            <w:shd w:val="clear" w:color="auto" w:fill="auto"/>
          </w:tcPr>
          <w:p w14:paraId="1E6F1FA2" w14:textId="6907463C" w:rsidR="000C3797" w:rsidRDefault="000C3797"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281D44E6" w14:textId="60ADBF3D" w:rsidR="000C3797" w:rsidRDefault="000C3797"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05E8E421" w14:textId="6E3525D1" w:rsidR="000C3797" w:rsidRDefault="000C3797" w:rsidP="00AE1165">
            <w:pPr>
              <w:rPr>
                <w:rFonts w:ascii="Calibri" w:hAnsi="Calibri" w:cs="Calibri"/>
                <w:sz w:val="18"/>
                <w:szCs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2D09A2" w14:paraId="332D10CB" w14:textId="77777777" w:rsidTr="0067675E">
        <w:trPr>
          <w:cantSplit/>
          <w:trHeight w:val="1081"/>
        </w:trPr>
        <w:tc>
          <w:tcPr>
            <w:tcW w:w="2982" w:type="dxa"/>
            <w:shd w:val="clear" w:color="auto" w:fill="auto"/>
          </w:tcPr>
          <w:p w14:paraId="57C41FF0" w14:textId="798C59AC"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1A0A130E" w14:textId="0AEEB04A"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F89C3E6" w14:textId="1A9FAFBD" w:rsidR="002D09A2" w:rsidRPr="00C40A21" w:rsidRDefault="002D09A2" w:rsidP="002D09A2">
            <w:pPr>
              <w:rPr>
                <w:rFonts w:ascii="Calibri" w:hAnsi="Calibri" w:cs="Calibri"/>
                <w:sz w:val="18"/>
                <w:lang w:val="en-AU"/>
              </w:rPr>
            </w:pPr>
            <w:r w:rsidRPr="00C40A21">
              <w:rPr>
                <w:rFonts w:ascii="Arial" w:hAnsi="Arial" w:cs="Arial"/>
                <w:sz w:val="18"/>
              </w:rPr>
              <w:t>Seed for the random number generator</w:t>
            </w:r>
            <w:r>
              <w:rPr>
                <w:rFonts w:ascii="Arial" w:hAnsi="Arial" w:cs="Arial"/>
                <w:sz w:val="18"/>
              </w:rPr>
              <w:t>.</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E85768"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calling program to initiate the “workers”. It is 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E85768"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E85768"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Evans, M., Moshonov,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7A9AD" w14:textId="77777777" w:rsidR="00E85768" w:rsidRDefault="00E85768">
      <w:pPr>
        <w:spacing w:line="20" w:lineRule="exact"/>
      </w:pPr>
    </w:p>
  </w:endnote>
  <w:endnote w:type="continuationSeparator" w:id="0">
    <w:p w14:paraId="58263E72" w14:textId="77777777" w:rsidR="00E85768" w:rsidRDefault="00E85768">
      <w:r>
        <w:t xml:space="preserve"> </w:t>
      </w:r>
    </w:p>
  </w:endnote>
  <w:endnote w:type="continuationNotice" w:id="1">
    <w:p w14:paraId="1D05F037" w14:textId="77777777" w:rsidR="00E85768" w:rsidRDefault="00E8576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30537" w14:textId="77777777" w:rsidR="00E85768" w:rsidRDefault="00E85768">
      <w:r>
        <w:separator/>
      </w:r>
    </w:p>
  </w:footnote>
  <w:footnote w:type="continuationSeparator" w:id="0">
    <w:p w14:paraId="43221F10" w14:textId="77777777" w:rsidR="00E85768" w:rsidRDefault="00E857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758"/>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76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32</Pages>
  <Words>89933</Words>
  <Characters>512624</Characters>
  <Application>Microsoft Office Word</Application>
  <DocSecurity>0</DocSecurity>
  <Lines>4271</Lines>
  <Paragraphs>1202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601355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239</cp:revision>
  <cp:lastPrinted>2019-03-02T06:14:00Z</cp:lastPrinted>
  <dcterms:created xsi:type="dcterms:W3CDTF">2019-03-01T22:11:00Z</dcterms:created>
  <dcterms:modified xsi:type="dcterms:W3CDTF">2020-11-05T19:04:00Z</dcterms:modified>
</cp:coreProperties>
</file>