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C912" w14:textId="3A00962F" w:rsidR="005632EC" w:rsidRDefault="005632EC" w:rsidP="00865C7C">
      <w:pPr>
        <w:pStyle w:val="Title"/>
      </w:pPr>
    </w:p>
    <w:p w14:paraId="438E4C83" w14:textId="451A0ED0" w:rsidR="005632EC" w:rsidRDefault="005632EC" w:rsidP="005632EC"/>
    <w:p w14:paraId="13B71782" w14:textId="720D96D0" w:rsidR="005632EC" w:rsidRDefault="005632EC" w:rsidP="005632EC"/>
    <w:p w14:paraId="0E5F996F" w14:textId="048DF226" w:rsidR="005632EC" w:rsidRDefault="005632EC" w:rsidP="005632EC"/>
    <w:p w14:paraId="548F3F78" w14:textId="77777777" w:rsidR="005632EC" w:rsidRPr="005632EC" w:rsidRDefault="005632EC" w:rsidP="005632EC"/>
    <w:tbl>
      <w:tblPr>
        <w:tblStyle w:val="TableGrid"/>
        <w:tblpPr w:leftFromText="180" w:rightFromText="180" w:vertAnchor="text" w:horzAnchor="margin" w:tblpY="198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14"/>
      </w:tblGrid>
      <w:tr w:rsidR="005632EC" w14:paraId="333C9BC2" w14:textId="77777777" w:rsidTr="009F450A">
        <w:tc>
          <w:tcPr>
            <w:tcW w:w="10214" w:type="dxa"/>
          </w:tcPr>
          <w:p w14:paraId="6FBFFC3D" w14:textId="5044AFF0" w:rsidR="005632EC" w:rsidRDefault="0000315E" w:rsidP="009F450A">
            <w:pPr>
              <w:pStyle w:val="DocumentTitle"/>
            </w:pPr>
            <w:r>
              <w:t>Prompt Engineering Essentials</w:t>
            </w:r>
          </w:p>
        </w:tc>
      </w:tr>
      <w:tr w:rsidR="005632EC" w14:paraId="4F6EEEF6" w14:textId="77777777" w:rsidTr="009F450A">
        <w:tc>
          <w:tcPr>
            <w:tcW w:w="10214" w:type="dxa"/>
          </w:tcPr>
          <w:p w14:paraId="37303506" w14:textId="46242024" w:rsidR="005632EC" w:rsidRPr="005632EC" w:rsidRDefault="005632EC" w:rsidP="009F450A">
            <w:pPr>
              <w:rPr>
                <w:rFonts w:asciiTheme="majorHAnsi" w:hAnsiTheme="majorHAnsi" w:cstheme="majorHAnsi"/>
                <w:sz w:val="48"/>
                <w:szCs w:val="48"/>
              </w:rPr>
            </w:pPr>
            <w:r w:rsidRPr="005632EC">
              <w:rPr>
                <w:rFonts w:asciiTheme="majorHAnsi" w:hAnsiTheme="majorHAnsi" w:cstheme="majorHAnsi"/>
                <w:sz w:val="48"/>
                <w:szCs w:val="48"/>
              </w:rPr>
              <w:t>Getting Reliable Results from Google Gemini</w:t>
            </w:r>
          </w:p>
        </w:tc>
      </w:tr>
      <w:tr w:rsidR="005632EC" w14:paraId="332E5B27" w14:textId="77777777" w:rsidTr="009F450A">
        <w:tc>
          <w:tcPr>
            <w:tcW w:w="10214" w:type="dxa"/>
          </w:tcPr>
          <w:p w14:paraId="6DD22DA7" w14:textId="10E5E1A4" w:rsidR="005632EC" w:rsidRPr="005632EC" w:rsidRDefault="005632EC" w:rsidP="009F450A">
            <w:pPr>
              <w:spacing w:before="240"/>
              <w:rPr>
                <w:rFonts w:asciiTheme="majorHAnsi" w:hAnsiTheme="majorHAnsi" w:cstheme="majorHAnsi"/>
                <w:sz w:val="32"/>
                <w:szCs w:val="32"/>
              </w:rPr>
            </w:pPr>
            <w:r w:rsidRPr="005632EC">
              <w:rPr>
                <w:rFonts w:asciiTheme="majorHAnsi" w:hAnsiTheme="majorHAnsi" w:cstheme="majorHAnsi"/>
                <w:sz w:val="32"/>
                <w:szCs w:val="32"/>
              </w:rPr>
              <w:t>Course Syllabus  |  One-Day Professional Workshop  |  6 Contact Hours</w:t>
            </w:r>
          </w:p>
        </w:tc>
      </w:tr>
      <w:tr w:rsidR="00BB6D08" w14:paraId="0E45D684" w14:textId="77777777" w:rsidTr="009F450A">
        <w:tc>
          <w:tcPr>
            <w:tcW w:w="10214" w:type="dxa"/>
          </w:tcPr>
          <w:p w14:paraId="4AADF2BB" w14:textId="40036F84" w:rsidR="00BB6D08" w:rsidRPr="00BB6D08" w:rsidRDefault="006608E3" w:rsidP="009F450A">
            <w:pPr>
              <w:spacing w:before="2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University of Nebraska at Omaha</w:t>
            </w:r>
          </w:p>
        </w:tc>
      </w:tr>
    </w:tbl>
    <w:p w14:paraId="59FF8341" w14:textId="30479F9E" w:rsidR="005632EC" w:rsidRPr="00BB6D08" w:rsidRDefault="005632EC">
      <w:r>
        <w:t xml:space="preserve"> </w:t>
      </w:r>
      <w:r>
        <w:br w:type="page"/>
      </w:r>
    </w:p>
    <w:p>
      <w:pPr>
        <w:pStyle w:val="Title"/>
        <w:spacing w:after="200" w:line="264" w:lineRule="auto"/>
      </w:pPr>
      <w:r>
        <w:t xml:space="preserve">Course Syllabus</w:t>
      </w:r>
    </w:p>
    <w:p>
      <w:pPr>
        <w:pStyle w:val="Heading1"/>
        <w:keepNext/>
        <w:spacing w:after="100" w:before="320" w:line="264" w:lineRule="auto"/>
      </w:pPr>
      <w:r>
        <w:t xml:space="preserve">Course Information</w:t>
      </w:r>
    </w:p>
    <w:tbl>
      <w:tblPr>
        <w:tblStyle w:val="TableGrid"/>
        <w:tblW w:w="10224" w:type="dxa"/>
        <w:tblBorders>
          <w:top w:val="single" w:sz="4" w:space="0" w:color="BCBBBA"/>
          <w:left w:val="single" w:sz="4" w:space="0" w:color="BCBBBA"/>
          <w:bottom w:val="single" w:sz="4" w:space="0" w:color="BCBBBA"/>
          <w:right w:val="single" w:sz="4" w:space="0" w:color="BCBBBA"/>
          <w:insideH w:val="single" w:sz="4" w:space="0" w:color="BCBBBA"/>
          <w:insideV w:val="single" w:sz="4" w:space="0" w:color="BCBBBA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400"/>
        <w:gridCol w:w="7824"/>
      </w:tblGrid>
      <w:tr>
        <w:trPr>
          <w:cantSplit/>
        </w:trPr>
        <w:tc>
          <w:tcPr>
            <w:tcW w:w="2400" w:type="dxa"/>
            <w:shd w:val="clear" w:color="auto" w:fill="EFEFEF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22"/>
                <w:szCs w:val="22"/>
              </w:rPr>
              <w:t xml:space="preserve">Course title</w:t>
            </w:r>
          </w:p>
        </w:tc>
        <w:tc>
          <w:tcPr>
            <w:tcW w:w="7824" w:type="dxa"/>
            <w:vAlign w:val="center"/>
          </w:tcPr>
          <w:p>
            <w:pPr>
              <w:spacing w:after="0" w:line="264" w:lineRule="auto"/>
            </w:pPr>
            <w:r>
              <w:rPr>
                <w:sz w:val="22"/>
                <w:szCs w:val="22"/>
              </w:rPr>
              <w:t xml:space="preserve">Prompt Engineering Essentials: Getting Reliable Results from Google Gemini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FEFEF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22"/>
                <w:szCs w:val="22"/>
              </w:rPr>
              <w:t xml:space="preserve">AI tool</w:t>
            </w:r>
          </w:p>
        </w:tc>
        <w:tc>
          <w:tcPr>
            <w:tcW w:w="7824" w:type="dxa"/>
            <w:vAlign w:val="center"/>
          </w:tcPr>
          <w:p>
            <w:pPr>
              <w:spacing w:after="0" w:line="264" w:lineRule="auto"/>
            </w:pPr>
            <w:r>
              <w:rPr>
                <w:sz w:val="22"/>
                <w:szCs w:val="22"/>
              </w:rPr>
              <w:t xml:space="preserve">Google Gemini (gemini.google.com)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FEFEF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22"/>
                <w:szCs w:val="22"/>
              </w:rPr>
              <w:t xml:space="preserve">Format</w:t>
            </w:r>
          </w:p>
        </w:tc>
        <w:tc>
          <w:tcPr>
            <w:tcW w:w="7824" w:type="dxa"/>
            <w:vAlign w:val="center"/>
          </w:tcPr>
          <w:p>
            <w:pPr>
              <w:spacing w:after="0" w:line="264" w:lineRule="auto"/>
            </w:pPr>
            <w:r>
              <w:rPr>
                <w:sz w:val="22"/>
                <w:szCs w:val="22"/>
              </w:rPr>
              <w:t xml:space="preserve">In-person, hands-on workshop, one day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FEFEF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22"/>
                <w:szCs w:val="22"/>
              </w:rPr>
              <w:t xml:space="preserve">Date and time</w:t>
            </w:r>
          </w:p>
        </w:tc>
        <w:tc>
          <w:tcPr>
            <w:tcW w:w="7824" w:type="dxa"/>
            <w:vAlign w:val="center"/>
          </w:tcPr>
          <w:p>
            <w:pPr>
              <w:spacing w:after="0" w:line="264" w:lineRule="auto"/>
            </w:pPr>
            <w:r>
              <w:rPr>
                <w:sz w:val="22"/>
                <w:szCs w:val="22"/>
                <w:highlight w:val="yellow"/>
              </w:rPr>
              <w:t xml:space="preserve">[Date]</w:t>
            </w:r>
            <w:r>
              <w:rPr>
                <w:sz w:val="22"/>
                <w:szCs w:val="22"/>
              </w:rPr>
              <w:t xml:space="preserve">, 9:00 a.m. – 4:00 p.m. (6 contact hours; 60-minute lunch break)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FEFEF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w="7824" w:type="dxa"/>
            <w:vAlign w:val="center"/>
          </w:tcPr>
          <w:p>
            <w:pPr>
              <w:spacing w:after="0" w:line="264" w:lineRule="auto"/>
            </w:pPr>
            <w:r>
              <w:rPr>
                <w:sz w:val="22"/>
                <w:szCs w:val="22"/>
                <w:highlight w:val="yellow"/>
              </w:rPr>
              <w:t xml:space="preserve">[Building and room]</w:t>
            </w:r>
            <w:r>
              <w:rPr>
                <w:sz w:val="22"/>
                <w:szCs w:val="22"/>
              </w:rPr>
              <w:t xml:space="preserve">, University of Nebraska at Omaha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FEFEF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22"/>
                <w:szCs w:val="22"/>
              </w:rPr>
              <w:t xml:space="preserve">Instructor</w:t>
            </w:r>
          </w:p>
        </w:tc>
        <w:tc>
          <w:tcPr>
            <w:tcW w:w="7824" w:type="dxa"/>
            <w:vAlign w:val="center"/>
          </w:tcPr>
          <w:p>
            <w:pPr>
              <w:spacing w:after="0" w:line="264" w:lineRule="auto"/>
            </w:pPr>
            <w:r>
              <w:rPr>
                <w:sz w:val="22"/>
                <w:szCs w:val="22"/>
                <w:highlight w:val="yellow"/>
              </w:rPr>
              <w:t xml:space="preserve">[Instructor name]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FEFEF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22"/>
                <w:szCs w:val="22"/>
              </w:rPr>
              <w:t xml:space="preserve">Contact</w:t>
            </w:r>
          </w:p>
        </w:tc>
        <w:tc>
          <w:tcPr>
            <w:tcW w:w="7824" w:type="dxa"/>
            <w:vAlign w:val="center"/>
          </w:tcPr>
          <w:p>
            <w:pPr>
              <w:spacing w:after="0" w:line="264" w:lineRule="auto"/>
            </w:pPr>
            <w:r>
              <w:rPr>
                <w:sz w:val="22"/>
                <w:szCs w:val="22"/>
                <w:highlight w:val="yellow"/>
              </w:rPr>
              <w:t xml:space="preserve">[Email]</w:t>
            </w:r>
            <w:r>
              <w:rPr>
                <w:sz w:val="22"/>
                <w:szCs w:val="22"/>
              </w:rPr>
              <w:t xml:space="preserve">  ·  </w:t>
            </w:r>
            <w:r>
              <w:rPr>
                <w:sz w:val="22"/>
                <w:szCs w:val="22"/>
                <w:highlight w:val="yellow"/>
              </w:rPr>
              <w:t xml:space="preserve">[Phone]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FEFEF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22"/>
                <w:szCs w:val="22"/>
              </w:rPr>
              <w:t xml:space="preserve">Offered by</w:t>
            </w:r>
          </w:p>
        </w:tc>
        <w:tc>
          <w:tcPr>
            <w:tcW w:w="7824" w:type="dxa"/>
            <w:vAlign w:val="center"/>
          </w:tcPr>
          <w:p>
            <w:pPr>
              <w:spacing w:after="0" w:line="264" w:lineRule="auto"/>
            </w:pPr>
            <w:r>
              <w:rPr>
                <w:sz w:val="22"/>
                <w:szCs w:val="22"/>
                <w:highlight w:val="yellow"/>
              </w:rPr>
              <w:t xml:space="preserve">[College, department, or unit]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FEFEF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22"/>
                <w:szCs w:val="22"/>
              </w:rPr>
              <w:t xml:space="preserve">Credit</w:t>
            </w:r>
          </w:p>
        </w:tc>
        <w:tc>
          <w:tcPr>
            <w:tcW w:w="7824" w:type="dxa"/>
            <w:vAlign w:val="center"/>
          </w:tcPr>
          <w:p>
            <w:pPr>
              <w:spacing w:after="0" w:line="264" w:lineRule="auto"/>
            </w:pPr>
            <w:r>
              <w:rPr>
                <w:sz w:val="22"/>
                <w:szCs w:val="22"/>
              </w:rPr>
              <w:t xml:space="preserve">Non-credit professional development. Certificate of completion </w:t>
            </w:r>
            <w:r>
              <w:rPr>
                <w:sz w:val="22"/>
                <w:szCs w:val="22"/>
                <w:highlight w:val="yellow"/>
              </w:rPr>
              <w:t xml:space="preserve">[confirm whether offered]</w:t>
            </w:r>
            <w:r>
              <w:rPr>
                <w:sz w:val="22"/>
                <w:szCs w:val="22"/>
              </w:rPr>
              <w:t xml:space="preserve">.</w:t>
            </w:r>
          </w:p>
        </w:tc>
      </w:tr>
    </w:tbl>
    <w:p>
      <w:pPr>
        <w:spacing w:after="60" w:line="264" w:lineRule="auto"/>
      </w:pPr>
    </w:p>
    <w:p>
      <w:pPr>
        <w:pStyle w:val="Heading1"/>
        <w:keepNext/>
        <w:spacing w:after="100" w:before="320" w:line="264" w:lineRule="auto"/>
      </w:pPr>
      <w:r>
        <w:t xml:space="preserve">Course Description</w:t>
      </w:r>
    </w:p>
    <w:p>
      <w:pPr>
        <w:spacing w:after="140" w:line="264" w:lineRule="auto"/>
      </w:pPr>
      <w:r>
        <w:t xml:space="preserve">Google Gemini can draft, summarize, and organize information in seconds, but the quality of what it produces depends on how it is asked. This one-day, hands-on workshop teaches working professionals with little or no AI experience how to write prompts that get useful, reliable results from Gemini, and how to use it responsibly at work.</w:t>
      </w:r>
    </w:p>
    <w:p>
      <w:pPr>
        <w:spacing w:after="140" w:line="264" w:lineRule="auto"/>
      </w:pPr>
      <w:r>
        <w:t xml:space="preserve">Participants learn how large language models generate text and why they sometimes get things wrong; practise the five elements of an effective prompt (the CRAFT framework, which matches Google's own Gemini prompting guidance); apply prompt engineering techniques such as examples, grounding in source material, and step-by-step refinement; and learn to check Gemini's output and protect sensitive information. Nearly half of the day is spent working directly in Gemini. Each participant leaves with a tested, reusable prompt saved in their own Gemini account.</w:t>
      </w:r>
    </w:p>
    <w:p>
      <w:pPr>
        <w:pStyle w:val="Heading1"/>
        <w:keepNext/>
        <w:spacing w:after="100" w:before="320" w:line="264" w:lineRule="auto"/>
      </w:pPr>
      <w:r>
        <w:t xml:space="preserve">Who This Course Is For</w:t>
      </w:r>
    </w:p>
    <w:p>
      <w:pPr>
        <w:numPr>
          <w:ilvl w:val="0"/>
          <w:numId w:val="1"/>
        </w:numPr>
        <w:spacing w:after="80" w:line="264" w:lineRule="auto"/>
      </w:pPr>
      <w:r>
        <w:t xml:space="preserve">Professionals in any field (business, education, healthcare, government, nonprofit) who have access to Gemini and want to use it in their daily work</w:t>
      </w:r>
    </w:p>
    <w:p>
      <w:pPr>
        <w:numPr>
          <w:ilvl w:val="0"/>
          <w:numId w:val="1"/>
        </w:numPr>
        <w:spacing w:after="80" w:line="264" w:lineRule="auto"/>
      </w:pPr>
      <w:r>
        <w:t xml:space="preserve">No AI, data science, or programming experience is needed</w:t>
      </w:r>
    </w:p>
    <w:p>
      <w:pPr>
        <w:numPr>
          <w:ilvl w:val="0"/>
          <w:numId w:val="1"/>
        </w:numPr>
        <w:spacing w:after="80" w:line="264" w:lineRule="auto"/>
      </w:pPr>
      <w:r>
        <w:t xml:space="preserve">Participants should be comfortable using a web browser and writing everyday workplace documents such as emails, reports, and summaries</w:t>
      </w:r>
    </w:p>
    <w:p>
      <w:pPr>
        <w:pStyle w:val="Heading1"/>
        <w:keepNext/>
        <w:spacing w:after="100" w:before="320" w:line="264" w:lineRule="auto"/>
      </w:pPr>
      <w:r>
        <w:t xml:space="preserve">Learning Outcomes</w:t>
      </w:r>
    </w:p>
    <w:p>
      <w:pPr>
        <w:spacing w:after="80" w:line="264" w:lineRule="auto"/>
      </w:pPr>
      <w:r>
        <w:t xml:space="preserve">By the end of the workshop, participants will be able to:</w:t>
      </w:r>
    </w:p>
    <w:p>
      <w:pPr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Explain</w:t>
      </w:r>
      <w:r>
        <w:t xml:space="preserve"> in plain language how Gemini generates responses, and name four limitations that affect how to use it.</w:t>
      </w:r>
    </w:p>
    <w:p>
      <w:pPr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Write</w:t>
      </w:r>
      <w:r>
        <w:t xml:space="preserve"> prompts that include the five CRAFT elements: context, role, ask, format, and tone &amp; audience.</w:t>
      </w:r>
    </w:p>
    <w:p>
      <w:pPr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Improve</w:t>
      </w:r>
      <w:r>
        <w:t xml:space="preserve"> a Gemini response using prompt engineering techniques: examples, fenced source text, grounding rules, and follow-up refinement.</w:t>
      </w:r>
    </w:p>
    <w:p>
      <w:pPr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Evaluate</w:t>
      </w:r>
      <w:r>
        <w:t xml:space="preserve"> Gemini's output for accuracy and completeness, and decide what information is safe to share with it, given the account in use.</w:t>
      </w:r>
    </w:p>
    <w:p>
      <w:pPr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Build, test, and save</w:t>
      </w:r>
      <w:r>
        <w:t xml:space="preserve"> a reusable prompt for a recurring task in their own work.</w:t>
      </w:r>
    </w:p>
    <w:p>
      <w:pPr>
        <w:pStyle w:val="Heading1"/>
        <w:keepNext/>
        <w:spacing w:after="100" w:before="320" w:line="264" w:lineRule="auto"/>
      </w:pPr>
      <w:r>
        <w:t xml:space="preserve">Course Materials and Technology</w:t>
      </w:r>
    </w:p>
    <w:p>
      <w:pPr>
        <w:numPr>
          <w:ilvl w:val="0"/>
          <w:numId w:val="1"/>
        </w:numPr>
        <w:spacing w:after="80" w:line="264" w:lineRule="auto"/>
      </w:pPr>
      <w:r>
        <w:rPr>
          <w:b/>
          <w:bCs/>
        </w:rPr>
        <w:t xml:space="preserve">A laptop or tablet</w:t>
      </w:r>
      <w:r>
        <w:t xml:space="preserve"> with a current web browser, and a charger.</w:t>
      </w:r>
    </w:p>
    <w:p>
      <w:pPr>
        <w:numPr>
          <w:ilvl w:val="0"/>
          <w:numId w:val="1"/>
        </w:numPr>
        <w:spacing w:after="80" w:line="264" w:lineRule="auto"/>
      </w:pPr>
      <w:r>
        <w:rPr>
          <w:b/>
          <w:bCs/>
        </w:rPr>
        <w:t xml:space="preserve">Access to Google Gemini</w:t>
      </w:r>
      <w:r>
        <w:t xml:space="preserve"> at gemini.google.com. Use your work or school Google account if your organization provides Gemini with it; otherwise a personal Google account works. No paid plan is needed. Please sign in and try it before the workshop.</w:t>
      </w:r>
    </w:p>
    <w:p>
      <w:pPr>
        <w:numPr>
          <w:ilvl w:val="0"/>
          <w:numId w:val="1"/>
        </w:numPr>
        <w:spacing w:after="80" w:line="264" w:lineRule="auto"/>
      </w:pPr>
      <w:r>
        <w:rPr>
          <w:b/>
          <w:bCs/>
        </w:rPr>
        <w:t xml:space="preserve">The Participant Workbook</w:t>
      </w:r>
      <w:r>
        <w:t xml:space="preserve">, provided by the instructor in print and digital form. It contains every exercise, source text, and the capstone template, ready to copy into Gemini.</w:t>
      </w:r>
    </w:p>
    <w:p>
      <w:pPr>
        <w:numPr>
          <w:ilvl w:val="0"/>
          <w:numId w:val="1"/>
        </w:numPr>
        <w:spacing w:after="80" w:line="264" w:lineRule="auto"/>
      </w:pPr>
      <w:r>
        <w:rPr>
          <w:b/>
          <w:bCs/>
        </w:rPr>
        <w:t xml:space="preserve">Slides and resources</w:t>
      </w:r>
      <w:r>
        <w:t xml:space="preserve">, shared with participants after the workshop.</w:t>
      </w:r>
    </w:p>
    <w:p>
      <w:pPr>
        <w:spacing w:after="140" w:line="264" w:lineRule="auto"/>
      </w:pPr>
      <w:r>
        <w:t xml:space="preserve">Wi-Fi is provided. If you can't set up an account beforehand, arrive at 8:30 a.m. and we'll help you.</w:t>
      </w:r>
    </w:p>
    <w:p>
      <w:pPr>
        <w:pStyle w:val="Heading1"/>
        <w:keepNext/>
        <w:spacing w:after="100" w:before="320" w:line="264" w:lineRule="auto"/>
      </w:pPr>
      <w:r>
        <w:t xml:space="preserve">Schedule</w:t>
      </w:r>
    </w:p>
    <w:tbl>
      <w:tblPr>
        <w:tblStyle w:val="TableGrid"/>
        <w:tblW w:w="10224" w:type="dxa"/>
        <w:tblBorders>
          <w:top w:val="single" w:sz="4" w:space="0" w:color="BCBBBA"/>
          <w:left w:val="single" w:sz="4" w:space="0" w:color="BCBBBA"/>
          <w:bottom w:val="single" w:sz="4" w:space="0" w:color="BCBBBA"/>
          <w:right w:val="single" w:sz="4" w:space="0" w:color="BCBBBA"/>
          <w:insideH w:val="single" w:sz="4" w:space="0" w:color="BCBBBA"/>
          <w:insideV w:val="single" w:sz="4" w:space="0" w:color="BCBBBA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650"/>
        <w:gridCol w:w="2350"/>
        <w:gridCol w:w="6224"/>
      </w:tblGrid>
      <w:tr>
        <w:trPr>
          <w:cantSplit/>
          <w:tblHeader/>
        </w:trPr>
        <w:tc>
          <w:tcPr>
            <w:tcW w:w="1650" w:type="dxa"/>
            <w:shd w:val="clear" w:color="auto" w:fill="000000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w="2350" w:type="dxa"/>
            <w:shd w:val="clear" w:color="auto" w:fill="000000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Session</w:t>
            </w:r>
          </w:p>
        </w:tc>
        <w:tc>
          <w:tcPr>
            <w:tcW w:w="6224" w:type="dxa"/>
            <w:shd w:val="clear" w:color="auto" w:fill="000000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Topics and activities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9:00 – 9:30</w:t>
            </w:r>
          </w:p>
        </w:tc>
        <w:tc>
          <w:tcPr>
            <w:tcW w:w="23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Welcome and orientation</w:t>
            </w:r>
          </w:p>
        </w:tc>
        <w:tc>
          <w:tcPr>
            <w:tcW w:w="62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Introductions; pre-check; ground rules; signing in to Gemini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9:30 – 10:30</w:t>
            </w:r>
          </w:p>
        </w:tc>
        <w:tc>
          <w:tcPr>
            <w:tcW w:w="23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01  Foundations</w:t>
            </w:r>
          </w:p>
        </w:tc>
        <w:tc>
          <w:tcPr>
            <w:tcW w:w="62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How Gemini generates text, and four limits: fabrication, inconsistency, limited knowledge, privacy. The CRAFT framework.</w:t>
            </w:r>
          </w:p>
          <w:p>
            <w:pPr>
              <w:spacing w:after="0" w:line="264" w:lineRule="auto"/>
            </w:pPr>
            <w:r>
              <w:rPr>
                <w:b/>
                <w:bCs/>
                <w:sz w:val="21"/>
                <w:szCs w:val="21"/>
              </w:rPr>
              <w:t xml:space="preserve">Activities:</w:t>
            </w:r>
            <w:r>
              <w:rPr>
                <w:sz w:val="21"/>
                <w:szCs w:val="21"/>
              </w:rPr>
              <w:t xml:space="preserve"> Poke Gemini; Prompt makeover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10:30 – 10:45</w:t>
            </w:r>
          </w:p>
        </w:tc>
        <w:tc>
          <w:tcPr>
            <w:tcW w:w="23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Break</w:t>
            </w:r>
          </w:p>
        </w:tc>
        <w:tc>
          <w:tcPr>
            <w:tcW w:w="6224" w:type="dxa"/>
            <w:vAlign w:val="center"/>
          </w:tcPr>
          <w:p>
            <w:pPr>
              <w:spacing w:after="0" w:line="264" w:lineRule="auto"/>
            </w:pP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10:45 – 12:00</w:t>
            </w:r>
          </w:p>
        </w:tc>
        <w:tc>
          <w:tcPr>
            <w:tcW w:w="23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02  Core skills</w:t>
            </w:r>
          </w:p>
        </w:tc>
        <w:tc>
          <w:tcPr>
            <w:tcW w:w="62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Examples, fenced source text, grounding rules, and output structure; refining results with five follow-up moves.</w:t>
            </w:r>
          </w:p>
          <w:p>
            <w:pPr>
              <w:spacing w:after="0" w:line="264" w:lineRule="auto"/>
            </w:pPr>
            <w:r>
              <w:rPr>
                <w:b/>
                <w:bCs/>
                <w:sz w:val="21"/>
                <w:szCs w:val="21"/>
              </w:rPr>
              <w:t xml:space="preserve">Activities:</w:t>
            </w:r>
            <w:r>
              <w:rPr>
                <w:sz w:val="21"/>
                <w:szCs w:val="21"/>
              </w:rPr>
              <w:t xml:space="preserve"> Grounded summary; Four turns to great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12:00 – 1:00</w:t>
            </w:r>
          </w:p>
        </w:tc>
        <w:tc>
          <w:tcPr>
            <w:tcW w:w="23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Lunch</w:t>
            </w:r>
          </w:p>
        </w:tc>
        <w:tc>
          <w:tcPr>
            <w:tcW w:w="6224" w:type="dxa"/>
            <w:vAlign w:val="center"/>
          </w:tcPr>
          <w:p>
            <w:pPr>
              <w:spacing w:after="0" w:line="264" w:lineRule="auto"/>
            </w:pP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1:00 – 2:15</w:t>
            </w:r>
          </w:p>
        </w:tc>
        <w:tc>
          <w:tcPr>
            <w:tcW w:w="23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03  Applied practice</w:t>
            </w:r>
          </w:p>
        </w:tc>
        <w:tc>
          <w:tcPr>
            <w:tcW w:w="62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Work versus personal Gemini accounts; checking what you paste (the data traffic light); verifying what you get.</w:t>
            </w:r>
          </w:p>
          <w:p>
            <w:pPr>
              <w:spacing w:after="0" w:line="264" w:lineRule="auto"/>
            </w:pPr>
            <w:r>
              <w:rPr>
                <w:b/>
                <w:bCs/>
                <w:sz w:val="21"/>
                <w:szCs w:val="21"/>
              </w:rPr>
              <w:t xml:space="preserve">Activity:</w:t>
            </w:r>
            <w:r>
              <w:rPr>
                <w:sz w:val="21"/>
                <w:szCs w:val="21"/>
              </w:rPr>
              <w:t xml:space="preserve"> Group case on communicating a hybrid work pilot; gallery walk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2:15 – 2:30</w:t>
            </w:r>
          </w:p>
        </w:tc>
        <w:tc>
          <w:tcPr>
            <w:tcW w:w="23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Break</w:t>
            </w:r>
          </w:p>
        </w:tc>
        <w:tc>
          <w:tcPr>
            <w:tcW w:w="6224" w:type="dxa"/>
            <w:vAlign w:val="center"/>
          </w:tcPr>
          <w:p>
            <w:pPr>
              <w:spacing w:after="0" w:line="264" w:lineRule="auto"/>
            </w:pP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2:30 – 3:30</w:t>
            </w:r>
          </w:p>
        </w:tc>
        <w:tc>
          <w:tcPr>
            <w:tcW w:w="23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04  Capstone</w:t>
            </w:r>
          </w:p>
        </w:tc>
        <w:tc>
          <w:tcPr>
            <w:tcW w:w="62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Build, test, and revise a reusable prompt for your own work, and save it in Gemini; share-outs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3:30 – 4:00</w:t>
            </w:r>
          </w:p>
        </w:tc>
        <w:tc>
          <w:tcPr>
            <w:tcW w:w="235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05  Wrap-up</w:t>
            </w:r>
          </w:p>
        </w:tc>
        <w:tc>
          <w:tcPr>
            <w:tcW w:w="62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Review; post-check; personal action plan; course feedback</w:t>
            </w:r>
          </w:p>
        </w:tc>
      </w:tr>
    </w:tbl>
    <w:p>
      <w:pPr>
        <w:spacing w:after="60" w:line="264" w:lineRule="auto"/>
      </w:pPr>
    </w:p>
    <w:p>
      <w:pPr>
        <w:pStyle w:val="Heading1"/>
        <w:keepNext/>
        <w:spacing w:after="100" w:before="320" w:line="264" w:lineRule="auto"/>
      </w:pPr>
      <w:r>
        <w:t xml:space="preserve">Instructional Approach</w:t>
      </w:r>
    </w:p>
    <w:p>
      <w:pPr>
        <w:spacing w:after="140" w:line="264" w:lineRule="auto"/>
      </w:pPr>
      <w:r>
        <w:t xml:space="preserve">The workshop is built around practice. About 45% of the day is hands-on work in Gemini, 19% is discussion, and 22% is short presentations and live demonstrations. No presentation runs longer than 12 minutes before participants try the idea themselves. Most activities are done in pairs or small groups.</w:t>
      </w:r>
    </w:p>
    <w:p>
      <w:pPr>
        <w:spacing w:after="140" w:line="264" w:lineRule="auto"/>
      </w:pPr>
      <w:r>
        <w:t xml:space="preserve">The day is designed to be easy to follow for everyone, including participants who find long presentations hard to focus on: the slides carry one idea at a time, every activity is shown on screen with numbered steps, a visible timer, and a clear finish line, and the schedule alternates short explanations with hands-on work and movement.</w:t>
      </w:r>
    </w:p>
    <w:p>
      <w:pPr>
        <w:spacing w:after="140" w:line="264" w:lineRule="auto"/>
      </w:pPr>
      <w:r>
        <w:t xml:space="preserve">Every exercise uses fictional information about a fictional company, so no real personal or organizational data is entered into an AI tool at any point in the course.</w:t>
      </w:r>
    </w:p>
    <w:p>
      <w:pPr>
        <w:pStyle w:val="Heading1"/>
        <w:keepNext/>
        <w:spacing w:after="100" w:before="320" w:line="264" w:lineRule="auto"/>
      </w:pPr>
      <w:r>
        <w:t xml:space="preserve">Assessment and Completion</w:t>
      </w:r>
    </w:p>
    <w:p>
      <w:pPr>
        <w:spacing w:after="80" w:line="264" w:lineRule="auto"/>
      </w:pPr>
      <w:r>
        <w:t xml:space="preserve">There are no grades. Participants receive feedback throughout the day from peers and the instructor.</w:t>
      </w:r>
    </w:p>
    <w:p>
      <w:pPr>
        <w:numPr>
          <w:ilvl w:val="0"/>
          <w:numId w:val="1"/>
        </w:numPr>
        <w:spacing w:after="80" w:line="264" w:lineRule="auto"/>
      </w:pPr>
      <w:r>
        <w:rPr>
          <w:b/>
          <w:bCs/>
        </w:rPr>
        <w:t xml:space="preserve">Pre- and post-check.</w:t>
      </w:r>
      <w:r>
        <w:t xml:space="preserve"> An anonymous, ungraded eight-question check at the start and end of the day shows what the workshop changed.</w:t>
      </w:r>
    </w:p>
    <w:p>
      <w:pPr>
        <w:numPr>
          <w:ilvl w:val="0"/>
          <w:numId w:val="1"/>
        </w:numPr>
        <w:spacing w:after="80" w:line="264" w:lineRule="auto"/>
      </w:pPr>
      <w:r>
        <w:rPr>
          <w:b/>
          <w:bCs/>
        </w:rPr>
        <w:t xml:space="preserve">In-class activities.</w:t>
      </w:r>
      <w:r>
        <w:t xml:space="preserve"> Seven hands-on activities, each with clear success criteria.</w:t>
      </w:r>
    </w:p>
    <w:p>
      <w:pPr>
        <w:numPr>
          <w:ilvl w:val="0"/>
          <w:numId w:val="1"/>
        </w:numPr>
        <w:spacing w:after="80" w:line="264" w:lineRule="auto"/>
      </w:pPr>
      <w:r>
        <w:rPr>
          <w:b/>
          <w:bCs/>
        </w:rPr>
        <w:t xml:space="preserve">Capstone.</w:t>
      </w:r>
      <w:r>
        <w:t xml:space="preserve"> A reusable prompt, tested on two inputs, saved in Gemini, and reviewed against a four-part rubric: CRAFT elements, techniques, evaluation and safety, and reusability.</w:t>
      </w:r>
    </w:p>
    <w:p>
      <w:pPr>
        <w:numPr>
          <w:ilvl w:val="0"/>
          <w:numId w:val="1"/>
        </w:numPr>
        <w:spacing w:after="80" w:line="264" w:lineRule="auto"/>
      </w:pPr>
      <w:r>
        <w:rPr>
          <w:b/>
          <w:bCs/>
        </w:rPr>
        <w:t xml:space="preserve">Certificate of completion</w:t>
      </w:r>
      <w:r>
        <w:t xml:space="preserve"> </w:t>
      </w:r>
      <w:r>
        <w:rPr>
          <w:highlight w:val="yellow"/>
        </w:rPr>
        <w:t xml:space="preserve">[confirm whether offered]</w:t>
      </w:r>
      <w:r>
        <w:t xml:space="preserve">: awarded for attending the full day and completing the capstone.</w:t>
      </w:r>
    </w:p>
    <w:p>
      <w:pPr>
        <w:pStyle w:val="Heading1"/>
        <w:keepNext/>
        <w:spacing w:after="100" w:before="320" w:line="264" w:lineRule="auto"/>
      </w:pPr>
      <w:r>
        <w:t xml:space="preserve">Responsible Use of AI</w:t>
      </w:r>
    </w:p>
    <w:p>
      <w:pPr>
        <w:spacing w:after="80" w:line="264" w:lineRule="auto"/>
      </w:pPr>
      <w:r>
        <w:t xml:space="preserve">Responsible use is part of the curriculum. During the workshop and afterwards, participants are asked to:</w:t>
      </w:r>
    </w:p>
    <w:p>
      <w:pPr>
        <w:numPr>
          <w:ilvl w:val="0"/>
          <w:numId w:val="1"/>
        </w:numPr>
        <w:spacing w:after="80" w:line="264" w:lineRule="auto"/>
      </w:pPr>
      <w:r>
        <w:t xml:space="preserve">Follow their organization's policies on AI tools and data.</w:t>
      </w:r>
    </w:p>
    <w:p>
      <w:pPr>
        <w:numPr>
          <w:ilvl w:val="0"/>
          <w:numId w:val="1"/>
        </w:numPr>
        <w:spacing w:after="80" w:line="264" w:lineRule="auto"/>
      </w:pPr>
      <w:r>
        <w:t xml:space="preserve">Know which Google account they are using. With a work or school account covered by their organization's Gemini license, chats are not used to train Google's models or reviewed by people. With a personal Google account, chats may be read by human reviewers and used to improve Google's products.</w:t>
      </w:r>
    </w:p>
    <w:p>
      <w:pPr>
        <w:numPr>
          <w:ilvl w:val="0"/>
          <w:numId w:val="1"/>
        </w:numPr>
        <w:spacing w:after="80" w:line="264" w:lineRule="auto"/>
      </w:pPr>
      <w:r>
        <w:t xml:space="preserve">Never enter personal, confidential, or regulated information (for example student records, health information, personnel matters, customer data, financial information, or passwords) into Gemini unless their organization has approved that use.</w:t>
      </w:r>
    </w:p>
    <w:p>
      <w:pPr>
        <w:numPr>
          <w:ilvl w:val="0"/>
          <w:numId w:val="1"/>
        </w:numPr>
        <w:spacing w:after="80" w:line="264" w:lineRule="auto"/>
      </w:pPr>
      <w:r>
        <w:t xml:space="preserve">Check facts, figures, and claims before using Gemini's output, including any sources it links to, and take responsibility for anything they share or publish.</w:t>
      </w:r>
    </w:p>
    <w:p>
      <w:pPr>
        <w:numPr>
          <w:ilvl w:val="0"/>
          <w:numId w:val="1"/>
        </w:numPr>
        <w:spacing w:after="80" w:line="264" w:lineRule="auto"/>
      </w:pPr>
      <w:r>
        <w:t xml:space="preserve">Be open about AI assistance wherever their organization or profession expects it.</w:t>
      </w:r>
    </w:p>
    <w:p>
      <w:pPr>
        <w:spacing w:after="140" w:line="264" w:lineRule="auto"/>
      </w:pPr>
      <w:r>
        <w:t xml:space="preserve">For students enrolled in UNO credit courses, use of AI in coursework is governed by the </w:t>
      </w:r>
      <w:hyperlink r:id="rIdLink1" w:history="1">
        <w:r>
          <w:rPr>
            <w:rStyle w:val="Hyperlink"/>
          </w:rPr>
          <w:t xml:space="preserve">UNO Academic Integrity Policy</w:t>
        </w:r>
      </w:hyperlink>
      <w:r>
        <w:t xml:space="preserve"> and each instructor's course policy.</w:t>
      </w:r>
    </w:p>
    <w:p>
      <w:pPr>
        <w:pStyle w:val="Heading1"/>
        <w:keepNext/>
        <w:spacing w:after="100" w:before="320" w:line="264" w:lineRule="auto"/>
      </w:pPr>
      <w:r>
        <w:t xml:space="preserve">Participation and Attendance</w:t>
      </w:r>
    </w:p>
    <w:p>
      <w:pPr>
        <w:spacing w:after="140" w:line="264" w:lineRule="auto"/>
      </w:pPr>
      <w:r>
        <w:t xml:space="preserve">The workshop is interactive, and each session builds on the one before. Please plan to attend the full day and arrive by 9:00 a.m. If you must miss part of the day, let the instructor know in advance. A certificate of completion </w:t>
      </w:r>
      <w:r>
        <w:rPr>
          <w:highlight w:val="yellow"/>
        </w:rPr>
        <w:t xml:space="preserve">[confirm whether offered]</w:t>
      </w:r>
      <w:r>
        <w:t xml:space="preserve"> requires full attendance.</w:t>
      </w:r>
    </w:p>
    <w:p>
      <w:pPr>
        <w:pStyle w:val="Heading1"/>
        <w:keepNext/>
        <w:spacing w:after="100" w:before="320" w:line="264" w:lineRule="auto"/>
      </w:pPr>
      <w:r>
        <w:t xml:space="preserve">Accessibility</w:t>
      </w:r>
    </w:p>
    <w:p>
      <w:pPr>
        <w:spacing w:after="140" w:line="264" w:lineRule="auto"/>
      </w:pPr>
      <w:r>
        <w:t xml:space="preserve">Reasonable disability accommodations are provided for students who are registered with the Accessibility Services Center (ASC) and make their requests sufficiently in advance. For more information, contact ASC (Location: 104 HK | 402.554.2872 | unoaccessibility@unomaha.edu).</w:t>
      </w:r>
    </w:p>
    <w:p>
      <w:pPr>
        <w:spacing w:after="140" w:line="264" w:lineRule="auto"/>
      </w:pPr>
      <w:r>
        <w:t xml:space="preserve">Participants who are not UNO students and need an accommodation for this workshop should contact </w:t>
      </w:r>
      <w:r>
        <w:rPr>
          <w:highlight w:val="yellow"/>
        </w:rPr>
        <w:t xml:space="preserve">[organizer contact]</w:t>
      </w:r>
      <w:r>
        <w:t xml:space="preserve"> at least two weeks before the course date.</w:t>
      </w:r>
    </w:p>
    <w:p>
      <w:pPr>
        <w:pStyle w:val="Heading1"/>
        <w:keepNext/>
        <w:spacing w:after="100" w:before="320" w:line="264" w:lineRule="auto"/>
      </w:pPr>
      <w:r>
        <w:t xml:space="preserve">Title IX and a Respectful Learning Environment</w:t>
      </w:r>
    </w:p>
    <w:p>
      <w:pPr>
        <w:spacing w:after="140" w:line="264" w:lineRule="auto"/>
      </w:pPr>
      <w:r>
        <w:t xml:space="preserve">UNO seeks to provide an environment that promotes equal opportunity free from discrimination and harassment. If you have experienced sexual misconduct (sexual assault, dating/domestic violence, stalking, sexual exploitation, or sexual harassment) we encourage you to make a report. It is important to know that your instructor is expected to contact the Title IX Coordinator should you disclose that you have been the victim of sexual misconduct. Upon receiving a report, the Title IX Office will reach out to you with resources and reporting options.</w:t>
      </w:r>
    </w:p>
    <w:p>
      <w:pPr>
        <w:spacing w:after="140" w:line="264" w:lineRule="auto"/>
      </w:pPr>
      <w:r>
        <w:t xml:space="preserve">Confidential resources and contact details are listed on the </w:t>
      </w:r>
      <w:hyperlink r:id="rIdLink2" w:history="1">
        <w:r>
          <w:rPr>
            <w:rStyle w:val="Hyperlink"/>
          </w:rPr>
          <w:t xml:space="preserve">UNO Title IX website</w:t>
        </w:r>
      </w:hyperlink>
      <w:r>
        <w:t xml:space="preserve">.</w:t>
      </w:r>
    </w:p>
    <w:p>
      <w:pPr>
        <w:spacing w:after="140" w:line="264" w:lineRule="auto"/>
      </w:pPr>
      <w:r>
        <w:t xml:space="preserve">Participants are expected to treat one another with respect. Conversations about AI can touch on strong feelings about work and technology, and all views are welcome.</w:t>
      </w:r>
    </w:p>
    <w:p>
      <w:pPr>
        <w:pStyle w:val="Heading1"/>
        <w:keepNext/>
        <w:spacing w:after="100" w:before="320" w:line="264" w:lineRule="auto"/>
      </w:pPr>
      <w:r>
        <w:t xml:space="preserve">Resources After the Course</w:t>
      </w:r>
    </w:p>
    <w:p>
      <w:pPr>
        <w:numPr>
          <w:ilvl w:val="0"/>
          <w:numId w:val="1"/>
        </w:numPr>
        <w:spacing w:after="80" w:line="264" w:lineRule="auto"/>
      </w:pPr>
      <w:r>
        <w:t xml:space="preserve">Your Participant Workbook, including the quick-reference page and your capstone prompt</w:t>
      </w:r>
    </w:p>
    <w:p>
      <w:pPr>
        <w:numPr>
          <w:ilvl w:val="0"/>
          <w:numId w:val="1"/>
        </w:numPr>
        <w:spacing w:after="80" w:line="264" w:lineRule="auto"/>
      </w:pPr>
      <w:hyperlink r:id="rIdLink3" w:history="1">
        <w:r>
          <w:rPr>
            <w:rStyle w:val="Hyperlink"/>
          </w:rPr>
          <w:t xml:space="preserve">Google Workspace with Gemini prompt guide</w:t>
        </w:r>
      </w:hyperlink>
    </w:p>
    <w:p>
      <w:pPr>
        <w:numPr>
          <w:ilvl w:val="0"/>
          <w:numId w:val="1"/>
        </w:numPr>
        <w:spacing w:after="80" w:line="264" w:lineRule="auto"/>
      </w:pPr>
      <w:hyperlink r:id="rIdLink4" w:history="1">
        <w:r>
          <w:rPr>
            <w:rStyle w:val="Hyperlink"/>
          </w:rPr>
          <w:t xml:space="preserve">Gemini Apps Help: getting started</w:t>
        </w:r>
      </w:hyperlink>
    </w:p>
    <w:p>
      <w:pPr>
        <w:numPr>
          <w:ilvl w:val="0"/>
          <w:numId w:val="1"/>
        </w:numPr>
        <w:spacing w:after="80" w:line="264" w:lineRule="auto"/>
      </w:pPr>
      <w:hyperlink r:id="rIdLink5" w:history="1">
        <w:r>
          <w:rPr>
            <w:rStyle w:val="Hyperlink"/>
          </w:rPr>
          <w:t xml:space="preserve">Gemini Apps Privacy Hub</w:t>
        </w:r>
      </w:hyperlink>
    </w:p>
    <w:p>
      <w:pPr>
        <w:spacing w:after="140" w:before="200" w:line="264" w:lineRule="auto"/>
      </w:pPr>
      <w:r>
        <w:rPr>
          <w:i/>
          <w:iCs/>
          <w:color w:val="636568"/>
        </w:rPr>
        <w:t xml:space="preserve">This syllabus may change. Participants will be told about any changes before the workshop.</w:t>
      </w:r>
    </w:p>
    <w:sectPr w:rsidR="009B2A5C" w:rsidRPr="009B2A5C" w:rsidSect="003A7CD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2240" w:h="15840"/>
      <w:pgMar w:top="1440" w:right="1008" w:bottom="1440" w:left="100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AFEDE" w14:textId="77777777" w:rsidR="00E830E6" w:rsidRDefault="00E830E6" w:rsidP="00E73C99">
      <w:r>
        <w:separator/>
      </w:r>
    </w:p>
  </w:endnote>
  <w:endnote w:type="continuationSeparator" w:id="0">
    <w:p w14:paraId="6A5AD1C4" w14:textId="77777777" w:rsidR="00E830E6" w:rsidRDefault="00E830E6" w:rsidP="00E73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altName w:val="Minion Pro"/>
    <w:panose1 w:val="020B0604020202020204"/>
    <w:charset w:val="4D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37627551"/>
      <w:docPartObj>
        <w:docPartGallery w:val="Page Numbers (Bottom of Page)"/>
        <w:docPartUnique/>
      </w:docPartObj>
    </w:sdtPr>
    <w:sdtContent>
      <w:p w14:paraId="26B7603F" w14:textId="265D72AC" w:rsidR="0062484C" w:rsidRDefault="0062484C" w:rsidP="00093F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DCD8E0A" w14:textId="77777777" w:rsidR="008A6A0B" w:rsidRDefault="008A6A0B" w:rsidP="006248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02158780"/>
      <w:docPartObj>
        <w:docPartGallery w:val="Page Numbers (Bottom of Page)"/>
        <w:docPartUnique/>
      </w:docPartObj>
    </w:sdtPr>
    <w:sdtContent>
      <w:p w14:paraId="516F97E2" w14:textId="4A05A3CA" w:rsidR="0062484C" w:rsidRDefault="0062484C" w:rsidP="00093F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60"/>
      <w:gridCol w:w="854"/>
    </w:tblGrid>
    <w:tr w:rsidR="008A6A0B" w:rsidRPr="0062484C" w14:paraId="771A81BE" w14:textId="77777777" w:rsidTr="00A17382">
      <w:trPr>
        <w:trHeight w:val="432"/>
      </w:trPr>
      <w:tc>
        <w:tcPr>
          <w:tcW w:w="9360" w:type="dxa"/>
          <w:vAlign w:val="bottom"/>
        </w:tcPr>
        <w:p w14:paraId="2DD75600" w14:textId="4EF0582C" w:rsidR="008A6A0B" w:rsidRPr="008A6A0B" w:rsidRDefault="008A6A0B" w:rsidP="009B2A5C">
          <w:pPr>
            <w:pStyle w:val="Footer"/>
            <w:ind w:right="360"/>
            <w:rPr>
              <w:rFonts w:asciiTheme="majorHAnsi" w:hAnsiTheme="majorHAnsi" w:cstheme="majorHAnsi"/>
              <w:sz w:val="14"/>
              <w:szCs w:val="14"/>
            </w:rPr>
          </w:pPr>
          <w:r w:rsidRPr="008A6A0B">
            <w:rPr>
              <w:rFonts w:asciiTheme="majorHAnsi" w:hAnsiTheme="majorHAnsi" w:cstheme="majorHAnsi"/>
              <w:iCs/>
              <w:color w:val="262626"/>
              <w:sz w:val="14"/>
              <w:szCs w:val="14"/>
            </w:rPr>
            <w:t>The University of Nebraska does not discriminate based on race, color, ethnicity, national origin, sex, pregnancy, sexual orientation, gender identity, religion, disability, age, genetic information, veteran status, marital status, and/or political affiliation in its programs, activities, or employment.</w:t>
          </w:r>
        </w:p>
      </w:tc>
      <w:tc>
        <w:tcPr>
          <w:tcW w:w="854" w:type="dxa"/>
          <w:vAlign w:val="bottom"/>
        </w:tcPr>
        <w:p w14:paraId="390B070E" w14:textId="77777777" w:rsidR="008A6A0B" w:rsidRPr="0062484C" w:rsidRDefault="008A6A0B" w:rsidP="009B2A5C">
          <w:pPr>
            <w:pStyle w:val="Footer"/>
            <w:rPr>
              <w:rFonts w:asciiTheme="majorHAnsi" w:hAnsiTheme="majorHAnsi" w:cstheme="majorHAnsi"/>
              <w:sz w:val="20"/>
              <w:szCs w:val="20"/>
            </w:rPr>
          </w:pPr>
        </w:p>
      </w:tc>
    </w:tr>
  </w:tbl>
  <w:p w14:paraId="6D386A6F" w14:textId="72ACAAE8" w:rsidR="008A6A0B" w:rsidRPr="008A6A0B" w:rsidRDefault="008A6A0B">
    <w:pPr>
      <w:pStyle w:val="Footer"/>
      <w:rPr>
        <w:rFonts w:asciiTheme="majorHAnsi" w:hAnsiTheme="majorHAnsi" w:cstheme="majorHAnsi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8523E" w14:textId="77777777" w:rsidR="00E830E6" w:rsidRDefault="00E830E6" w:rsidP="00E73C99">
      <w:r>
        <w:separator/>
      </w:r>
    </w:p>
  </w:footnote>
  <w:footnote w:type="continuationSeparator" w:id="0">
    <w:p w14:paraId="145C7C26" w14:textId="77777777" w:rsidR="00E830E6" w:rsidRDefault="00E830E6" w:rsidP="00E73C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F1118" w14:textId="07339152" w:rsidR="003A7CDD" w:rsidRDefault="00E830E6">
    <w:pPr>
      <w:pStyle w:val="Header"/>
    </w:pPr>
    <w:r>
      <w:rPr>
        <w:noProof/>
      </w:rPr>
      <w:pict w14:anchorId="605A9F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UNO_TEMP_WM_DOC_GEN_COVER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O_TEMP_WM_DOC_GEN_COV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5"/>
      <w:gridCol w:w="4999"/>
    </w:tblGrid>
    <w:tr w:rsidR="009B2A5C" w14:paraId="5187664F" w14:textId="77777777" w:rsidTr="00A17382">
      <w:trPr>
        <w:trHeight w:val="576"/>
      </w:trPr>
      <w:tc>
        <w:tcPr>
          <w:tcW w:w="5215" w:type="dxa"/>
          <w:vAlign w:val="center"/>
        </w:tcPr>
        <w:p w14:paraId="2A4F3AC9" w14:textId="07A8ACF8" w:rsidR="00D83D9B" w:rsidRPr="005632EC" w:rsidRDefault="00435E17" w:rsidP="005632EC">
          <w:pPr>
            <w:pStyle w:val="Header"/>
          </w:pPr>
          <w:r w:rsidRPr="006B12F1">
            <w:t>PROMPT ENGINEERING ESSENTIALS  |  SYLLABUS</w:t>
          </w:r>
        </w:p>
      </w:tc>
      <w:tc>
        <w:tcPr>
          <w:tcW w:w="4999" w:type="dxa"/>
          <w:vAlign w:val="center"/>
        </w:tcPr>
        <w:p w14:paraId="3C8EE8D7" w14:textId="08BAA525" w:rsidR="00D83D9B" w:rsidRDefault="00D83D9B" w:rsidP="00A17382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7B5E3BAD" wp14:editId="03B804C4">
                <wp:extent cx="2837959" cy="243436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4802" cy="25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B65E613" w14:textId="05295CB3" w:rsidR="008A6A0B" w:rsidRDefault="008A6A0B" w:rsidP="008A6A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01AEA" w14:textId="66EAEC9F" w:rsidR="003A7CDD" w:rsidRDefault="00AF7C17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19306956" wp14:editId="2033711E">
          <wp:simplePos x="0" y="0"/>
          <wp:positionH relativeFrom="column">
            <wp:posOffset>-640081</wp:posOffset>
          </wp:positionH>
          <wp:positionV relativeFrom="paragraph">
            <wp:posOffset>-457200</wp:posOffset>
          </wp:positionV>
          <wp:extent cx="7763069" cy="10045869"/>
          <wp:effectExtent l="0" t="0" r="0" b="0"/>
          <wp:wrapNone/>
          <wp:docPr id="1153357662" name="Picture 11" descr="A white paper with black and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3357662" name="Picture 11" descr="A white paper with black and red text&#10;&#10;AI-generated content may be incorrect.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3164" cy="102012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300"/>
      </w:pPr>
      <w:rPr>
        <w:rFonts w:ascii="Calibri" w:hAnsi="Calibri"/>
        <w:color w:val="D61920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0" w:hanging="360"/>
      </w:pPr>
      <w:rPr>
        <w:b/>
        <w:color w:val="D619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6E"/>
    <w:rsid w:val="0000315E"/>
    <w:rsid w:val="00123127"/>
    <w:rsid w:val="001838B0"/>
    <w:rsid w:val="00250DA6"/>
    <w:rsid w:val="002E4E89"/>
    <w:rsid w:val="00363627"/>
    <w:rsid w:val="0037240F"/>
    <w:rsid w:val="003A7CDD"/>
    <w:rsid w:val="003B2F6B"/>
    <w:rsid w:val="00435E17"/>
    <w:rsid w:val="005632EC"/>
    <w:rsid w:val="00580DD8"/>
    <w:rsid w:val="0059796E"/>
    <w:rsid w:val="005C7FEC"/>
    <w:rsid w:val="00623F00"/>
    <w:rsid w:val="0062484C"/>
    <w:rsid w:val="006608E3"/>
    <w:rsid w:val="006B12F1"/>
    <w:rsid w:val="007D1DB2"/>
    <w:rsid w:val="00865C7C"/>
    <w:rsid w:val="008A6A0B"/>
    <w:rsid w:val="008B06E5"/>
    <w:rsid w:val="008F4400"/>
    <w:rsid w:val="00944971"/>
    <w:rsid w:val="009A6683"/>
    <w:rsid w:val="009B2A5C"/>
    <w:rsid w:val="009F450A"/>
    <w:rsid w:val="00A17382"/>
    <w:rsid w:val="00AF656F"/>
    <w:rsid w:val="00AF7C17"/>
    <w:rsid w:val="00BB6D08"/>
    <w:rsid w:val="00C44C59"/>
    <w:rsid w:val="00D11C97"/>
    <w:rsid w:val="00D15DB2"/>
    <w:rsid w:val="00D83D9B"/>
    <w:rsid w:val="00DD4DA1"/>
    <w:rsid w:val="00E73C99"/>
    <w:rsid w:val="00E830E6"/>
    <w:rsid w:val="00F25E47"/>
    <w:rsid w:val="00FA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9E5FA"/>
  <w15:chartTrackingRefBased/>
  <w15:docId w15:val="{FB4785F4-F043-AD4F-B4DC-D9CDAD3E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D9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D61920" w:themeColor="accen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A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D61920" w:themeColor="accent2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D9B"/>
    <w:rPr>
      <w:rFonts w:asciiTheme="majorHAnsi" w:eastAsiaTheme="majorEastAsia" w:hAnsiTheme="majorHAnsi" w:cstheme="majorBidi"/>
      <w:color w:val="D61920" w:themeColor="accent2"/>
      <w:sz w:val="32"/>
      <w:szCs w:val="32"/>
    </w:rPr>
  </w:style>
  <w:style w:type="paragraph" w:styleId="NoSpacing">
    <w:name w:val="No Spacing"/>
    <w:link w:val="NoSpacingChar"/>
    <w:uiPriority w:val="1"/>
    <w:qFormat/>
    <w:rsid w:val="0059796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59796E"/>
    <w:rPr>
      <w:rFonts w:eastAsiaTheme="minorEastAsia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8A6A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0B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A6A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0B"/>
    <w:rPr>
      <w:rFonts w:eastAsiaTheme="minorEastAsia"/>
    </w:rPr>
  </w:style>
  <w:style w:type="table" w:styleId="TableGrid">
    <w:name w:val="Table Grid"/>
    <w:basedOn w:val="TableNormal"/>
    <w:uiPriority w:val="39"/>
    <w:rsid w:val="008A6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2484C"/>
  </w:style>
  <w:style w:type="paragraph" w:styleId="Title">
    <w:name w:val="Title"/>
    <w:basedOn w:val="Normal"/>
    <w:next w:val="Normal"/>
    <w:link w:val="TitleChar"/>
    <w:uiPriority w:val="10"/>
    <w:qFormat/>
    <w:rsid w:val="00D83D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asicParagraph">
    <w:name w:val="[Basic Paragraph]"/>
    <w:basedOn w:val="Normal"/>
    <w:uiPriority w:val="99"/>
    <w:rsid w:val="00D83D9B"/>
    <w:pPr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9B2A5C"/>
    <w:rPr>
      <w:rFonts w:asciiTheme="majorHAnsi" w:eastAsiaTheme="majorEastAsia" w:hAnsiTheme="majorHAnsi" w:cstheme="majorBidi"/>
      <w:color w:val="D61920" w:themeColor="accent2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A173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738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17382"/>
    <w:rPr>
      <w:color w:val="D61920" w:themeColor="hyperlink"/>
      <w:u w:val="single"/>
    </w:rPr>
  </w:style>
  <w:style w:type="paragraph" w:customStyle="1" w:styleId="DocumentTitle">
    <w:name w:val="Document Title"/>
    <w:basedOn w:val="Normal"/>
    <w:qFormat/>
    <w:rsid w:val="00865C7C"/>
    <w:rPr>
      <w:rFonts w:asciiTheme="majorHAnsi" w:hAnsiTheme="majorHAnsi" w:cstheme="majorHAnsi"/>
      <w:iCs/>
      <w:color w:val="262626" w:themeColor="text1" w:themeTint="D9"/>
      <w:sz w:val="96"/>
      <w:szCs w:val="96"/>
    </w:rPr>
  </w:style>
  <w:style w:type="paragraph" w:customStyle="1" w:styleId="DocumentSubtitle">
    <w:name w:val="Document Subtitle"/>
    <w:basedOn w:val="Normal"/>
    <w:qFormat/>
    <w:rsid w:val="005632EC"/>
    <w:pPr>
      <w:framePr w:hSpace="180" w:wrap="around" w:vAnchor="text" w:hAnchor="margin" w:y="648"/>
    </w:pPr>
    <w:rPr>
      <w:rFonts w:asciiTheme="majorHAnsi" w:hAnsiTheme="majorHAnsi" w:cstheme="majorHAnsi"/>
      <w:sz w:val="48"/>
      <w:szCs w:val="48"/>
    </w:rPr>
  </w:style>
  <w:style w:type="paragraph" w:customStyle="1" w:styleId="DocumentStatement">
    <w:name w:val="Document Statement"/>
    <w:basedOn w:val="Normal"/>
    <w:qFormat/>
    <w:rsid w:val="005632EC"/>
    <w:pPr>
      <w:framePr w:hSpace="180" w:wrap="around" w:vAnchor="text" w:hAnchor="margin" w:y="648"/>
      <w:spacing w:before="240"/>
    </w:pPr>
    <w:rPr>
      <w:rFonts w:asciiTheme="majorHAnsi" w:hAnsiTheme="majorHAnsi" w:cstheme="majorHAnsi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608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8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8E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8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8E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8E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8E3"/>
    <w:rPr>
      <w:rFonts w:ascii="Times New Roman" w:eastAsiaTheme="minorEastAsia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Numbering" Type="http://schemas.openxmlformats.org/officeDocument/2006/relationships/numbering" Target="numbering.xml"/><Relationship Id="rIdLink1" Type="http://schemas.openxmlformats.org/officeDocument/2006/relationships/hyperlink" Target="https://www.unomaha.edu/campus-policies/academic-integrity.php" TargetMode="External"/><Relationship Id="rIdLink2" Type="http://schemas.openxmlformats.org/officeDocument/2006/relationships/hyperlink" Target="https://www.unomaha.edu/university-compliance/civil-rights/title-ix-information/index.php" TargetMode="External"/><Relationship Id="rIdLink3" Type="http://schemas.openxmlformats.org/officeDocument/2006/relationships/hyperlink" Target="https://workspace.google.com/learning/content/gemini-prompt-guide" TargetMode="External"/><Relationship Id="rIdLink4" Type="http://schemas.openxmlformats.org/officeDocument/2006/relationships/hyperlink" Target="https://support.google.com/gemini/answer/13275745" TargetMode="External"/><Relationship Id="rIdLink5" Type="http://schemas.openxmlformats.org/officeDocument/2006/relationships/hyperlink" Target="https://support.google.com/gemini/answer/1359496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UNOTheme">
  <a:themeElements>
    <a:clrScheme name="UNO-Word Theme">
      <a:dk1>
        <a:srgbClr val="000000"/>
      </a:dk1>
      <a:lt1>
        <a:srgbClr val="FFFFFF"/>
      </a:lt1>
      <a:dk2>
        <a:srgbClr val="454545"/>
      </a:dk2>
      <a:lt2>
        <a:srgbClr val="E7E6E6"/>
      </a:lt2>
      <a:accent1>
        <a:srgbClr val="000000"/>
      </a:accent1>
      <a:accent2>
        <a:srgbClr val="D61920"/>
      </a:accent2>
      <a:accent3>
        <a:srgbClr val="454545"/>
      </a:accent3>
      <a:accent4>
        <a:srgbClr val="6A0000"/>
      </a:accent4>
      <a:accent5>
        <a:srgbClr val="AB0000"/>
      </a:accent5>
      <a:accent6>
        <a:srgbClr val="FF0000"/>
      </a:accent6>
      <a:hlink>
        <a:srgbClr val="D61920"/>
      </a:hlink>
      <a:folHlink>
        <a:srgbClr val="BCBAB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B4EE1ED631E14D85A24939D16C8936" ma:contentTypeVersion="13" ma:contentTypeDescription="Create a new document." ma:contentTypeScope="" ma:versionID="6017f67bb77ff6d9be2d221c77aa995f">
  <xsd:schema xmlns:xsd="http://www.w3.org/2001/XMLSchema" xmlns:xs="http://www.w3.org/2001/XMLSchema" xmlns:p="http://schemas.microsoft.com/office/2006/metadata/properties" xmlns:ns2="95982f6c-2172-479f-8b01-dd33fa6fbe04" xmlns:ns3="f6da95f1-0d27-4b84-83fb-450c771ae8a8" targetNamespace="http://schemas.microsoft.com/office/2006/metadata/properties" ma:root="true" ma:fieldsID="a3e421abf5162528b1592d7606c61c29" ns2:_="" ns3:_="">
    <xsd:import namespace="95982f6c-2172-479f-8b01-dd33fa6fbe04"/>
    <xsd:import namespace="f6da95f1-0d27-4b84-83fb-450c771ae8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82f6c-2172-479f-8b01-dd33fa6fb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a95f1-0d27-4b84-83fb-450c771ae8a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FFF460-5255-42D6-B924-1A291657A4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73DDD5-E92D-4B03-8F2D-54860B919E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7E3D3B-DD2B-4694-86D1-70AA67EF2E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982f6c-2172-479f-8b01-dd33fa6fbe04"/>
    <ds:schemaRef ds:uri="f6da95f1-0d27-4b84-83fb-450c771ae8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4EFB71-4295-D740-8641-3583C43A6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Engineering Essentials: Course Syllabus</dc:title>
  <dc:subject>Document Subtitle</dc:subject>
  <dc:creator>Angie Kennedy</dc:creator>
  <cp:keywords/>
  <dc:description/>
  <cp:lastModifiedBy>Mason Hatfield</cp:lastModifiedBy>
  <cp:revision>3</cp:revision>
  <cp:lastPrinted>2025-07-09T20:03:00Z</cp:lastPrinted>
  <dcterms:created xsi:type="dcterms:W3CDTF">2025-07-09T19:52:00Z</dcterms:created>
  <dcterms:modified xsi:type="dcterms:W3CDTF">2025-07-09T20:09:00Z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0x01010053B4EE1ED631E14D85A24939D16C8936</vt:lpwstr>
  </property>
  <property fmtid="{D5CDD505-2E9C-101B-9397-08002B2CF9AE}" pid="3" name="Order">
    <vt:r8>3100</vt:r8>
  </property>
</Properties>
</file>