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b/>
          <w:color w:val="20364B"/>
          <w:sz w:val="46"/>
        </w:rPr>
        <w:t>BASELINE REST FLUIG-DATASUL</w:t>
      </w:r>
    </w:p>
    <w:p>
      <w:pPr>
        <w:spacing w:after="280"/>
      </w:pPr>
      <w:r>
        <w:rPr>
          <w:color w:val="667085"/>
          <w:sz w:val="25"/>
        </w:rPr>
        <w:t>Padrão técnico v1.0 para integração Widget, Dataset, Datasul REST e Progress ABL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364B"/>
                <w:sz w:val="18"/>
              </w:rPr>
              <w:t>Campo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364B"/>
                <w:sz w:val="18"/>
              </w:rPr>
              <w:t>Definição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Organização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IT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REST Fluig-Datasul v1.0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 do marco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03/09/2026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Projeto pioneiro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Controle de Embalagens - Branco Peres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Integração validada de ponta a ponta em ambiente de teste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3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MARCO: </w:t>
            </w:r>
            <w:r>
              <w:t>O Controle de Embalagens é definido como o primeiro projeto da Data IT concebido para operar integralmente por APIs REST na integração entre Fluig e Datasul.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Estabelecer uma referência técnica reutilizável para novas integrações entre interfaces Fluig e o Datasul, eliminando contratos informais, filtros fixos, exposição de credenciais e diferenças de comportamento entre chamadas de teste e chamadas realizadas pelo widget.</w:t>
      </w:r>
    </w:p>
    <w:p>
      <w:r>
        <w:t>A baseline registra o contrato que foi efetivamente validado: o widget executa um dataset Fluig; o dataset atua como proxy seguro; o serviço autorizado realiza a autenticação; a API Datasul recebe os parâmetros pelo framework ut-api; e a procedure ABL aplica a regra e devolve JSON.</w:t>
      </w:r>
    </w:p>
    <w:p>
      <w:r>
        <w:br w:type="page"/>
      </w:r>
    </w:p>
    <w:p>
      <w:pPr>
        <w:pStyle w:val="Heading1"/>
      </w:pPr>
      <w:r>
        <w:t>2. Arquitetura de referência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300"/>
        <w:gridCol w:w="3610"/>
      </w:tblGrid>
      <w:t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364B"/>
                <w:sz w:val="18"/>
              </w:rPr>
              <w:t>Camada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364B"/>
                <w:sz w:val="18"/>
              </w:rPr>
              <w:t>Responsabilidade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364B"/>
                <w:sz w:val="18"/>
              </w:rPr>
              <w:t>Não deve fazer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Widget Fluig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Capturar o filtro, controlar chamadas assíncronas e apresentar o resultado.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Conectar diretamente com banco, manter credenciais ou implementar regra Datasul.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Dataset Fluig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Receber constraints, montar o endpoint, chamar o serviço autorizado e normalizar o retorno.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Registrar corpo bruto, cookies, tokens ou duplicar regra de negócio.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Serviço autorizado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Centralizar domínio, autenticação Basic e credenciais por ambiente.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Misturar domínio com path ou expor senha no código.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Datasul / ut-api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Interpretar queryParams, validar limite e acionar a procedure.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Confiar em parâmetros sem limite ou devolver dados de sessão.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Progress ABL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Executar filtros, regras Datasul e montar o JSON de resposta.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Retornar o oInput completo ou manter valores de teste chumbados.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PASOE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Executar os agentes ABL com o PROPATH e o r-code corretos.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Manter agentes com versões diferentes após publicação.</w:t>
            </w:r>
          </w:p>
        </w:tc>
      </w:tr>
    </w:tbl>
    <w:p>
      <w:pPr>
        <w:spacing w:after="0"/>
      </w:pPr>
    </w:p>
    <w:p>
      <w:pPr>
        <w:pStyle w:val="Heading1"/>
      </w:pPr>
      <w:r>
        <w:t>3. Contrato validado</w:t>
      </w:r>
    </w:p>
    <w:p>
      <w:pPr>
        <w:pStyle w:val="Heading2"/>
      </w:pPr>
      <w:r>
        <w:t>3.1 Chamada do Widget ao Dataset</w:t>
      </w:r>
    </w:p>
    <w:p>
      <w:r>
        <w:t>Para o endpoint assíncrono do Fluig `/api/public/ecm/dataset/search`, os filtros devem ser enviados em `filterFields`, como pares nome/valor:</w:t>
      </w:r>
    </w:p>
    <w:p>
      <w:pPr>
        <w:pStyle w:val="CodeBlock"/>
        <w:keepLines/>
        <w:shd w:fill="F7F8FA"/>
      </w:pPr>
      <w:r>
        <w:t>filterFields: [</w:t>
        <w:br/>
        <w:t xml:space="preserve">    "filtro", filtro,</w:t>
        <w:br/>
        <w:t xml:space="preserve">    "limit", limite</w:t>
        <w:br/>
        <w:t>]</w:t>
      </w:r>
    </w:p>
    <w:p>
      <w:r>
        <w:t>A propriedade `constraints` não pertence ao contrato desse endpoint e, quando utilizada, pode ser ignorada. O resultado observado é o dataset executar sem filtro.</w:t>
      </w:r>
    </w:p>
    <w:p>
      <w:pPr>
        <w:pStyle w:val="Heading2"/>
      </w:pPr>
      <w:r>
        <w:t>3.2 Chamada do Dataset à API Datasul</w:t>
      </w:r>
    </w:p>
    <w:p>
      <w:pPr>
        <w:pStyle w:val="CodeBlock"/>
        <w:keepLines/>
        <w:shd w:fill="F7F8FA"/>
      </w:pPr>
      <w:r>
        <w:t>GET /dts/datasul-rest/resources/prg/esp/v1/cd-ressuprimento/</w:t>
        <w:br/>
        <w:t xml:space="preserve">    ?filtro=11205</w:t>
        <w:br/>
        <w:t xml:space="preserve">    &amp;limit=20</w:t>
      </w:r>
    </w:p>
    <w:p>
      <w:r>
        <w:t>O domínio permanece no cadastro do serviço autorizado. O dataset informa somente o endpoint relativo e os query parameters.</w:t>
      </w:r>
    </w:p>
    <w:p>
      <w:pPr>
        <w:pStyle w:val="Heading2"/>
      </w:pPr>
      <w:r>
        <w:t>3.3 Entrada recebida pelo ut-api</w:t>
      </w:r>
    </w:p>
    <w:p>
      <w:pPr>
        <w:pStyle w:val="CodeBlock"/>
        <w:keepLines/>
        <w:shd w:fill="F7F8FA"/>
      </w:pPr>
      <w:r>
        <w:t>{</w:t>
        <w:br/>
        <w:t xml:space="preserve">  "queryParams": {</w:t>
        <w:br/>
        <w:t xml:space="preserve">    "filtro": ["11205"],</w:t>
        <w:br/>
        <w:t xml:space="preserve">    "limit": ["20"]</w:t>
        <w:br/>
        <w:t xml:space="preserve">  }</w:t>
        <w:br/>
        <w:t>}</w:t>
      </w:r>
    </w:p>
    <w:p>
      <w:r>
        <w:t>Os valores chegam como `JsonArray`. A leitura ABL validada utiliza `GetJsonArray()` e posição 1.</w:t>
      </w:r>
    </w:p>
    <w:p>
      <w:pPr>
        <w:pStyle w:val="Heading2"/>
      </w:pPr>
      <w:r>
        <w:t>3.4 Resposta da API</w:t>
      </w:r>
    </w:p>
    <w:p>
      <w:pPr>
        <w:pStyle w:val="CodeBlock"/>
        <w:keepLines/>
        <w:shd w:fill="F7F8FA"/>
      </w:pPr>
      <w:r>
        <w:t>{</w:t>
        <w:br/>
        <w:t xml:space="preserve">  "sucesso": true,</w:t>
        <w:br/>
        <w:t xml:space="preserve">  "total": 1,</w:t>
        <w:br/>
        <w:t xml:space="preserve">  "dados": [</w:t>
        <w:br/>
        <w:t xml:space="preserve">    {</w:t>
        <w:br/>
        <w:t xml:space="preserve">      "codEstabel": "11205",</w:t>
        <w:br/>
        <w:t xml:space="preserve">      "nomeEstabel": "RODRIGO BRANCO PERES E OUTRO"</w:t>
        <w:br/>
        <w:t xml:space="preserve">    }</w:t>
        <w:br/>
        <w:t xml:space="preserve">  ],</w:t>
        <w:br/>
        <w:t xml:space="preserve">  "filtroRecebido": "11205",</w:t>
        <w:br/>
        <w:t xml:space="preserve">  "limitRecebido": 20</w:t>
        <w:br/>
        <w:t>}</w:t>
      </w:r>
    </w:p>
    <w:p>
      <w:pPr>
        <w:pStyle w:val="Heading1"/>
      </w:pPr>
      <w:r>
        <w:t>4. Configuração do serviço autorizado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364B"/>
                <w:sz w:val="18"/>
              </w:rPr>
              <w:t>Parâmetro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364B"/>
                <w:sz w:val="18"/>
              </w:rPr>
              <w:t>Baseline de teste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Tipo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Código/Nome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DATASUL_REST_BP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Descrição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API REST Datasul - BP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Domínio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http://fluig-web-teste.brancoperes.com.br:8190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Autenticação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Basic, com credenciais mantidas no cadastro do Fluig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URL de teste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/dts/datasul-rest/resources/prg/esp/v1/cd-ressuprimento/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REGRA: </w:t>
            </w:r>
            <w:r>
              <w:t>O domínio contém somente protocolo, host e porta, sem barra final e sem path. O endpoint permanece no Dataset. Usuário e senha não devem ser copiados para documentação ou fonte.</w:t>
            </w:r>
          </w:p>
        </w:tc>
      </w:tr>
    </w:tbl>
    <w:p>
      <w:pPr>
        <w:spacing w:after="0"/>
      </w:pPr>
    </w:p>
    <w:p>
      <w:pPr>
        <w:pStyle w:val="Heading1"/>
      </w:pPr>
      <w:r>
        <w:t>5. Regras obrigatórias da baseline</w:t>
      </w:r>
    </w:p>
    <w:p>
      <w:pPr>
        <w:pStyle w:val="ListBullet"/>
        <w:spacing w:after="80"/>
        <w:ind w:left="547" w:hanging="274"/>
      </w:pPr>
      <w:r>
        <w:t>Nenhum filtro de negócio pode ficar chumbado no Dataset, Widget ou Progress.</w:t>
      </w:r>
    </w:p>
    <w:p>
      <w:pPr>
        <w:pStyle w:val="ListBullet"/>
        <w:spacing w:after="80"/>
        <w:ind w:left="547" w:hanging="274"/>
      </w:pPr>
      <w:r>
        <w:t>O limite deve possuir valor padrão e teto no servidor; para esta consulta, padrão 20 e máximo 100.</w:t>
      </w:r>
    </w:p>
    <w:p>
      <w:pPr>
        <w:pStyle w:val="ListBullet"/>
        <w:spacing w:after="80"/>
        <w:ind w:left="547" w:hanging="274"/>
      </w:pPr>
      <w:r>
        <w:t>O filtro deve ser aplicado no Progress antes da montagem do array JSON.</w:t>
      </w:r>
    </w:p>
    <w:p>
      <w:pPr>
        <w:pStyle w:val="ListBullet"/>
        <w:spacing w:after="80"/>
        <w:ind w:left="547" w:hanging="274"/>
      </w:pPr>
      <w:r>
        <w:t>O Dataset não deve refazer a filtragem recebida da API; sua função é transportar e normalizar.</w:t>
      </w:r>
    </w:p>
    <w:p>
      <w:pPr>
        <w:pStyle w:val="ListBullet"/>
        <w:spacing w:after="80"/>
        <w:ind w:left="547" w:hanging="274"/>
      </w:pPr>
      <w:r>
        <w:t>O corpo bruto de requisições e respostas não pode ser registrado quando houver possibilidade de conter headers de autenticação.</w:t>
      </w:r>
    </w:p>
    <w:p>
      <w:pPr>
        <w:pStyle w:val="ListBullet"/>
        <w:spacing w:after="80"/>
        <w:ind w:left="547" w:hanging="274"/>
      </w:pPr>
      <w:r>
        <w:t>Nunca devolver `oInput:GetJsonText()` em respostas de diagnóstico.</w:t>
      </w:r>
    </w:p>
    <w:p>
      <w:pPr>
        <w:pStyle w:val="ListBullet"/>
        <w:spacing w:after="80"/>
        <w:ind w:left="547" w:hanging="274"/>
      </w:pPr>
      <w:r>
        <w:t>Erros devem usar contrato legível, sem stack trace, cookies, access token ou refresh token.</w:t>
      </w:r>
    </w:p>
    <w:p>
      <w:pPr>
        <w:pStyle w:val="ListBullet"/>
        <w:spacing w:after="80"/>
        <w:ind w:left="547" w:hanging="274"/>
      </w:pPr>
      <w:r>
        <w:t>Cada ambiente deve possuir serviço autorizado, endpoint, PROPATH e PASOE claramente identificados.</w:t>
      </w:r>
    </w:p>
    <w:p>
      <w:pPr>
        <w:pStyle w:val="Heading1"/>
      </w:pPr>
      <w:r>
        <w:t>6. Convenções técnicas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364B"/>
                <w:sz w:val="18"/>
              </w:rPr>
              <w:t>Item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364B"/>
                <w:sz w:val="18"/>
              </w:rPr>
              <w:t>Convenção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Entrada de consulta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Query parameters para GET; payload JSON para POST/PUT quando houver alteração.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Nomes JSON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camelCase na fronteira REST: codEstabel, nomeEstabel, filtroRecebido.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Sucesso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`sucesso: true`, `total` e coleção em `dados`.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Falha funcional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`sucesso: false` e `mensagem` legível.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2xx para execução aceita; códigos adequados para falhas de autenticação, validação ou servidor.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Paginação/limite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Sempre definida para consultas potencialmente volumosas.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Dataset search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Utilizar `filterFields` no POST `/api/public/ecm/dataset/search`.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Concorrência no autocomplete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Cancelar ou ignorar respostas de consultas anteriores.</w:t>
            </w:r>
          </w:p>
        </w:tc>
      </w:tr>
    </w:tbl>
    <w:p>
      <w:pPr>
        <w:spacing w:after="0"/>
      </w:pPr>
    </w:p>
    <w:p>
      <w:pPr>
        <w:pStyle w:val="Heading1"/>
      </w:pPr>
      <w:r>
        <w:t>7. Publicação e atualização do PASOE</w:t>
      </w:r>
    </w:p>
    <w:p>
      <w:r>
        <w:t>A existência de um `.r` novo no disco não garante que todos os agentes PASOE estejam executando essa versão. Durante a validação inicial, chamadas alternaram entre versões porque agentes distintos mantinham r-codes diferentes carregados em memória.</w:t>
      </w:r>
    </w:p>
    <w:p>
      <w:pPr>
        <w:pStyle w:val="ListNumber"/>
        <w:spacing w:after="80"/>
        <w:ind w:left="547" w:hanging="274"/>
      </w:pPr>
      <w:r>
        <w:t>Compilar o fonte no ambiente correto e confirmar data/hora do `.r`.</w:t>
      </w:r>
    </w:p>
    <w:p>
      <w:pPr>
        <w:pStyle w:val="ListNumber"/>
        <w:spacing w:after="80"/>
        <w:ind w:left="547" w:hanging="274"/>
      </w:pPr>
      <w:r>
        <w:t>Confirmar que o diretório do `.r` está no PROPATH efetivo da aplicação PASOE.</w:t>
      </w:r>
    </w:p>
    <w:p>
      <w:pPr>
        <w:pStyle w:val="ListNumber"/>
        <w:spacing w:after="80"/>
        <w:ind w:left="547" w:hanging="274"/>
      </w:pPr>
      <w:r>
        <w:t>Executar refresh somente nos agentes da aplicação e do ambiente destinados ao teste.</w:t>
      </w:r>
    </w:p>
    <w:p>
      <w:pPr>
        <w:pStyle w:val="ListNumber"/>
        <w:spacing w:after="80"/>
        <w:ind w:left="547" w:hanging="274"/>
      </w:pPr>
      <w:r>
        <w:t>Repetir a mesma consulta várias vezes para garantir que nenhuma chamada retorne versão anterior.</w:t>
      </w:r>
    </w:p>
    <w:p>
      <w:pPr>
        <w:pStyle w:val="ListNumber"/>
        <w:spacing w:after="80"/>
        <w:ind w:left="547" w:hanging="274"/>
      </w:pPr>
      <w:r>
        <w:t>Somente depois liberar a validação do Widget e do fluxo funcional.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CUIDADO: </w:t>
            </w:r>
            <w:r>
              <w:t>Não reiniciar nem executar refresh em produção ou RPW durante uma publicação de teste. O procedimento deve ser restrito à aplicação PASOE correspondente ao ambiente.</w:t>
            </w:r>
          </w:p>
        </w:tc>
      </w:tr>
    </w:tbl>
    <w:p>
      <w:pPr>
        <w:spacing w:after="0"/>
      </w:pPr>
    </w:p>
    <w:p>
      <w:pPr>
        <w:pStyle w:val="Heading1"/>
      </w:pPr>
      <w:r>
        <w:t>8. Critérios de aceite para novas APIs</w:t>
      </w:r>
    </w:p>
    <w:p>
      <w:pPr>
        <w:spacing w:after="80"/>
        <w:ind w:left="259" w:hanging="259"/>
      </w:pPr>
      <w:r>
        <w:t>☐  A chamada direta da API recebe e devolve os parâmetros esperados.</w:t>
      </w:r>
    </w:p>
    <w:p>
      <w:pPr>
        <w:spacing w:after="80"/>
        <w:ind w:left="259" w:hanging="259"/>
      </w:pPr>
      <w:r>
        <w:t>☐  A consulta direta do Dataset produz o mesmo resultado da API.</w:t>
      </w:r>
    </w:p>
    <w:p>
      <w:pPr>
        <w:spacing w:after="80"/>
        <w:ind w:left="259" w:hanging="259"/>
      </w:pPr>
      <w:r>
        <w:t>☐  A chamada do Widget produz o mesmo resultado do Dataset.</w:t>
      </w:r>
    </w:p>
    <w:p>
      <w:pPr>
        <w:spacing w:after="80"/>
        <w:ind w:left="259" w:hanging="259"/>
      </w:pPr>
      <w:r>
        <w:t>☐  Filtros vazios e preenchidos possuem comportamento definido.</w:t>
      </w:r>
    </w:p>
    <w:p>
      <w:pPr>
        <w:spacing w:after="80"/>
        <w:ind w:left="259" w:hanging="259"/>
      </w:pPr>
      <w:r>
        <w:t>☐  Limites inválidos, ausentes e acima do teto são tratados.</w:t>
      </w:r>
    </w:p>
    <w:p>
      <w:pPr>
        <w:spacing w:after="80"/>
        <w:ind w:left="259" w:hanging="259"/>
      </w:pPr>
      <w:r>
        <w:t>☐  Nenhuma resposta ou log expõe credenciais ou conteúdo de sessão.</w:t>
      </w:r>
    </w:p>
    <w:p>
      <w:pPr>
        <w:spacing w:after="80"/>
        <w:ind w:left="259" w:hanging="259"/>
      </w:pPr>
      <w:r>
        <w:t>☐  Chamadas repetidas retornam a mesma versão e o mesmo contrato.</w:t>
      </w:r>
    </w:p>
    <w:p>
      <w:pPr>
        <w:spacing w:after="80"/>
        <w:ind w:left="259" w:hanging="259"/>
      </w:pPr>
      <w:r>
        <w:t>☐  O fluxo de erro é exibido ao usuário sem stack trace.</w:t>
      </w:r>
    </w:p>
    <w:p>
      <w:pPr>
        <w:spacing w:after="80"/>
        <w:ind w:left="259" w:hanging="259"/>
      </w:pPr>
      <w:r>
        <w:t>☐  O código de diagnóstico foi removido ou isolado antes da entrega.</w:t>
      </w:r>
    </w:p>
    <w:p>
      <w:pPr>
        <w:pStyle w:val="Heading1"/>
      </w:pPr>
      <w:r>
        <w:t>9. Baseline de código</w:t>
      </w:r>
    </w:p>
    <w:p>
      <w:r>
        <w:t>O pacote que acompanha este documento contém as três implementações compatíveis: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364B"/>
                <w:sz w:val="18"/>
              </w:rPr>
              <w:t>Arquivo</w:t>
            </w:r>
          </w:p>
        </w:tc>
        <w:tc>
          <w:tcPr>
            <w:tcW w:type="dxa" w:w="6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364B"/>
                <w:sz w:val="18"/>
              </w:rPr>
              <w:t>Uso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listarCentroDistribuicaoBO.js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Chamada assíncrona pelo Widget, com filterFields e controle de concorrência.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dsControleEmbalagensAPI.js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Dataset definitivo, sem chumbamento e sem exposição do corpo bruto.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pi-listar-cds.p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Procedure ABL simplificada, com leitura dos JsonArray e filtro aplicado no servidor.</w:t>
            </w:r>
          </w:p>
        </w:tc>
      </w:tr>
    </w:tbl>
    <w:p>
      <w:pPr>
        <w:spacing w:after="0"/>
      </w:pPr>
    </w:p>
    <w:p>
      <w:r>
        <w:t>Correção incorporada na procedure consolidada: `aFiltro:Length &gt; 0`. A condição `&gt;= 0` permitia acessar a posição 1 mesmo quando o array estivesse vazio.</w:t>
      </w:r>
    </w:p>
    <w:p>
      <w:pPr>
        <w:pStyle w:val="Heading1"/>
      </w:pPr>
      <w:r>
        <w:t>10. Registro do marco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3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BASELINE APROVADA PARA EVOLUÇÃO: </w:t>
            </w:r>
            <w:r>
              <w:t>A integração de consulta de Centros de Distribuição validou o encadeamento completo Widget Fluig → Dataset → Serviço Autorizado → API Datasul/ut-api → Progress ABL → PASOE. A partir deste ponto, novas APIs do Controle de Embalagens devem utilizar esta baseline como referência inicial e evoluir por versionamento controlado.</w:t>
            </w:r>
          </w:p>
        </w:tc>
      </w:tr>
    </w:tbl>
    <w:p>
      <w:pPr>
        <w:spacing w:after="0"/>
      </w:pPr>
    </w:p>
    <w:p>
      <w:r>
        <w:t>O padrão v1.0 não congela decisões futuras de autenticação, observabilidade, paginação ou versionamento de rotas. Alterações devem preservar o contrato entre camadas, a separação de responsabilidades e os requisitos de segurança registrados neste documento.</w:t>
      </w:r>
    </w:p>
    <w:p>
      <w:pPr>
        <w:pStyle w:val="Heading1"/>
      </w:pPr>
      <w:r>
        <w:t>11. Referência técnica externa</w:t>
      </w:r>
    </w:p>
    <w:p>
      <w:r>
        <w:t>TOTVS Fluig - DatasetServiceRest Resource: https://api.fluig.com/old/resource_DatasetServiceRest.html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Data IT | Baseline REST Fluig-Datasul v1.0 |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PADRÃO TÉCNICO INTERNO | INTEGRAÇÃO REST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 w:right="144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 REST Fluig-Datasul v1.0</dc:title>
  <dc:subject>Padrão técnico Data IT para integração REST entre Fluig e Datasul</dc:subject>
  <dc:creator>Data IT</dc:creator>
  <cp:keywords>Fluig, Datasul, REST, PASOE, Progress ABL, Data 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