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Friday,</w:t>
      </w:r>
      <w:r>
        <w:t xml:space="preserve"> </w:t>
      </w:r>
      <w:r>
        <w:t xml:space="preserve">07</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Friday, 07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181,777</w:t>
      </w:r>
    </w:p>
    <w:p>
      <w:pPr>
        <w:pStyle w:val="BodyText"/>
      </w:pPr>
      <w:r>
        <w:t xml:space="preserve">▲ 0.98% Thu · +1,762 pts</w:t>
      </w:r>
    </w:p>
    <w:p>
      <w:pPr>
        <w:pStyle w:val="BodyText"/>
      </w:pPr>
      <w:r>
        <w:t xml:space="preserve">S&amp;P 500</w:t>
      </w:r>
      <w:r>
        <w:t xml:space="preserve"> </w:t>
      </w:r>
      <w:r>
        <w:t xml:space="preserve">V</w:t>
      </w:r>
    </w:p>
    <w:p>
      <w:pPr>
        <w:pStyle w:val="BodyText"/>
      </w:pPr>
      <w:r>
        <w:t xml:space="preserve">▼ 0.18%</w:t>
      </w:r>
    </w:p>
    <w:p>
      <w:pPr>
        <w:pStyle w:val="BodyText"/>
      </w:pPr>
      <w:r>
        <w:t xml:space="preserve">Nasdaq −0.06% · Dow −0.85%</w:t>
      </w:r>
    </w:p>
    <w:p>
      <w:pPr>
        <w:pStyle w:val="BodyText"/>
      </w:pPr>
      <w:r>
        <w:t xml:space="preserve">US 10Y / 2Y</w:t>
      </w:r>
      <w:r>
        <w:t xml:space="preserve"> </w:t>
      </w:r>
      <w:r>
        <w:t xml:space="preserve">V</w:t>
      </w:r>
    </w:p>
    <w:p>
      <w:pPr>
        <w:pStyle w:val="BodyText"/>
      </w:pPr>
      <w:r>
        <w:t xml:space="preserve">4.61 / 4.18</w:t>
      </w:r>
    </w:p>
    <w:p>
      <w:pPr>
        <w:pStyle w:val="BodyText"/>
      </w:pPr>
      <w:r>
        <w:t xml:space="preserve">yields firm · Fed pause holds</w:t>
      </w:r>
    </w:p>
    <w:p>
      <w:pPr>
        <w:pStyle w:val="BodyText"/>
      </w:pPr>
      <w:r>
        <w:t xml:space="preserve">Brent / WTI</w:t>
      </w:r>
      <w:r>
        <w:t xml:space="preserve"> </w:t>
      </w:r>
      <w:r>
        <w:t xml:space="preserve">V</w:t>
      </w:r>
    </w:p>
    <w:p>
      <w:pPr>
        <w:pStyle w:val="BodyText"/>
      </w:pPr>
      <w:r>
        <w:t xml:space="preserve">$83.34 / $77.75</w:t>
      </w:r>
    </w:p>
    <w:p>
      <w:pPr>
        <w:pStyle w:val="BodyText"/>
      </w:pPr>
      <w:r>
        <w:t xml:space="preserve">▲ 4.9% / 3.37% · Hormuz conditions</w:t>
      </w:r>
    </w:p>
    <w:p>
      <w:pPr>
        <w:pStyle w:val="BodyText"/>
      </w:pPr>
      <w:r>
        <w:t xml:space="preserve">Gold</w:t>
      </w:r>
      <w:r>
        <w:t xml:space="preserve"> </w:t>
      </w:r>
      <w:r>
        <w:t xml:space="preserve">V</w:t>
      </w:r>
    </w:p>
    <w:p>
      <w:pPr>
        <w:pStyle w:val="BodyText"/>
      </w:pPr>
      <w:r>
        <w:t xml:space="preserve">$4,271</w:t>
      </w:r>
    </w:p>
    <w:p>
      <w:pPr>
        <w:pStyle w:val="BodyText"/>
      </w:pPr>
      <w:r>
        <w:t xml:space="preserve">+2.38% · silver $61.83</w:t>
      </w:r>
    </w:p>
    <w:p>
      <w:pPr>
        <w:pStyle w:val="BodyText"/>
      </w:pPr>
      <w:r>
        <w:t xml:space="preserve">USD/PKR</w:t>
      </w:r>
      <w:r>
        <w:t xml:space="preserve"> </w:t>
      </w:r>
      <w:r>
        <w:t xml:space="preserve">V</w:t>
      </w:r>
    </w:p>
    <w:p>
      <w:pPr>
        <w:pStyle w:val="BodyText"/>
      </w:pPr>
      <w:r>
        <w:t xml:space="preserve">278.15</w:t>
      </w:r>
    </w:p>
    <w:p>
      <w:pPr>
        <w:pStyle w:val="BodyText"/>
      </w:pPr>
      <w:r>
        <w:t xml:space="preserve">interbank · steady</w:t>
      </w:r>
    </w:p>
    <w:bookmarkStart w:id="30"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PSX Extends Rally</w:t>
      </w:r>
      <w:r>
        <w:t xml:space="preserve"> </w:t>
      </w:r>
      <w:r>
        <w:t xml:space="preserve">The</w:t>
      </w:r>
      <w:r>
        <w:t xml:space="preserve"> </w:t>
      </w:r>
      <w:r>
        <w:rPr>
          <w:bCs/>
          <w:b/>
        </w:rPr>
        <w:t xml:space="preserve">KSE-100 gained 0.98% (+1,761.66 pts) to close at 181,776.59</w:t>
      </w:r>
      <w:r>
        <w:t xml:space="preserve"> </w:t>
      </w:r>
      <w:r>
        <w:t xml:space="preserve">on Thursday, a fourth straight advance, as broad-based buying continued across banks, oil &amp; gas exploration, cement, fertiliser and power stocks; volume held firm at 345.78m shares (Rs40.31bn) with advancers outpacing decliners 75-to-25 among index constituents (</w:t>
      </w:r>
      <w:hyperlink r:id="rId20">
        <w:r>
          <w:rPr>
            <w:rStyle w:val="Hyperlink"/>
          </w:rPr>
          <w:t xml:space="preserve">Mettis Global</w:t>
        </w:r>
      </w:hyperlink>
      <w:r>
        <w:t xml:space="preserve">,</w:t>
      </w:r>
      <w:r>
        <w:t xml:space="preserve"> </w:t>
      </w:r>
      <w:hyperlink r:id="rId21">
        <w:r>
          <w:rPr>
            <w:rStyle w:val="Hyperlink"/>
          </w:rPr>
          <w:t xml:space="preserve">Trading Economics</w:t>
        </w:r>
      </w:hyperlink>
      <w:r>
        <w:t xml:space="preserve">). Sentiment:</w:t>
      </w:r>
      <w:r>
        <w:t xml:space="preserve"> </w:t>
      </w:r>
      <w:r>
        <w:t xml:space="preserve">broadly firmer</w:t>
      </w:r>
      <w:r>
        <w:t xml:space="preserve">.</w:t>
      </w:r>
    </w:p>
    <w:p>
      <w:pPr>
        <w:numPr>
          <w:ilvl w:val="0"/>
          <w:numId w:val="1001"/>
        </w:numPr>
        <w:pStyle w:val="Compact"/>
      </w:pPr>
      <w:r>
        <w:t xml:space="preserve">Wall Street Retreats from Records</w:t>
      </w:r>
      <w:r>
        <w:t xml:space="preserve"> </w:t>
      </w:r>
      <w:r>
        <w:t xml:space="preserve">The</w:t>
      </w:r>
      <w:r>
        <w:t xml:space="preserve"> </w:t>
      </w:r>
      <w:r>
        <w:rPr>
          <w:bCs/>
          <w:b/>
        </w:rPr>
        <w:t xml:space="preserve">Dow shed 464 points (−0.85%) to 53,885</w:t>
      </w:r>
      <w:r>
        <w:t xml:space="preserve">, while the</w:t>
      </w:r>
      <w:r>
        <w:t xml:space="preserve"> </w:t>
      </w:r>
      <w:r>
        <w:rPr>
          <w:bCs/>
          <w:b/>
        </w:rPr>
        <w:t xml:space="preserve">S&amp;P 500 slipped 0.18% to 7,709.96</w:t>
      </w:r>
      <w:r>
        <w:t xml:space="preserve"> </w:t>
      </w:r>
      <w:r>
        <w:t xml:space="preserve">and the</w:t>
      </w:r>
      <w:r>
        <w:t xml:space="preserve"> </w:t>
      </w:r>
      <w:r>
        <w:rPr>
          <w:bCs/>
          <w:b/>
        </w:rPr>
        <w:t xml:space="preserve">Nasdaq eased 0.06% to 26,348.35</w:t>
      </w:r>
      <w:r>
        <w:t xml:space="preserve">, pulling back from this week's record highs as rising Treasury yields and a jump in oil prices weighed on sentiment (</w:t>
      </w:r>
      <w:hyperlink r:id="rId22">
        <w:r>
          <w:rPr>
            <w:rStyle w:val="Hyperlink"/>
          </w:rPr>
          <w:t xml:space="preserve">TheStreet</w:t>
        </w:r>
      </w:hyperlink>
      <w:r>
        <w:t xml:space="preserve">,</w:t>
      </w:r>
      <w:r>
        <w:t xml:space="preserve"> </w:t>
      </w:r>
      <w:hyperlink r:id="rId23">
        <w:r>
          <w:rPr>
            <w:rStyle w:val="Hyperlink"/>
          </w:rPr>
          <w:t xml:space="preserve">Washington Post</w:t>
        </w:r>
      </w:hyperlink>
      <w:r>
        <w:t xml:space="preserve">). Sentiment:</w:t>
      </w:r>
      <w:r>
        <w:t xml:space="preserve"> </w:t>
      </w:r>
      <w:r>
        <w:t xml:space="preserve">profit-taking, not reversal</w:t>
      </w:r>
      <w:r>
        <w:t xml:space="preserve">.</w:t>
      </w:r>
    </w:p>
    <w:p>
      <w:pPr>
        <w:numPr>
          <w:ilvl w:val="0"/>
          <w:numId w:val="1001"/>
        </w:numPr>
        <w:pStyle w:val="Compact"/>
      </w:pPr>
      <w:r>
        <w:t xml:space="preserve">Oil Jumps on Hormuz Conditions</w:t>
      </w:r>
      <w:r>
        <w:t xml:space="preserve"> </w:t>
      </w:r>
      <w:r>
        <w:rPr>
          <w:bCs/>
          <w:b/>
        </w:rPr>
        <w:t xml:space="preserve">Brent jumped 4.9% to $83.34</w:t>
      </w:r>
      <w:r>
        <w:t xml:space="preserve"> </w:t>
      </w:r>
      <w:r>
        <w:t xml:space="preserve">and</w:t>
      </w:r>
      <w:r>
        <w:t xml:space="preserve"> </w:t>
      </w:r>
      <w:r>
        <w:rPr>
          <w:bCs/>
          <w:b/>
        </w:rPr>
        <w:t xml:space="preserve">WTI rose 3.37% to $77.75</w:t>
      </w:r>
      <w:r>
        <w:t xml:space="preserve"> </w:t>
      </w:r>
      <w:r>
        <w:t xml:space="preserve">after Iran's Foreign Ministry said any Strait of Hormuz reopening remains contingent on the US lifting its naval blockade, unwinding much of the week's de-escalation rally even as Tehran and Muscat agreed in principle on shipping-route coordinates (</w:t>
      </w:r>
      <w:hyperlink r:id="rId24">
        <w:r>
          <w:rPr>
            <w:rStyle w:val="Hyperlink"/>
          </w:rPr>
          <w:t xml:space="preserve">Bloomberg</w:t>
        </w:r>
      </w:hyperlink>
      <w:r>
        <w:t xml:space="preserve">,</w:t>
      </w:r>
      <w:r>
        <w:t xml:space="preserve"> </w:t>
      </w:r>
      <w:hyperlink r:id="rId25">
        <w:r>
          <w:rPr>
            <w:rStyle w:val="Hyperlink"/>
          </w:rPr>
          <w:t xml:space="preserve">Trading Economics</w:t>
        </w:r>
      </w:hyperlink>
      <w:r>
        <w:t xml:space="preserve">). Sentiment:</w:t>
      </w:r>
      <w:r>
        <w:t xml:space="preserve"> </w:t>
      </w:r>
      <w:r>
        <w:t xml:space="preserve">inflationary risk re-emerges</w:t>
      </w:r>
      <w:r>
        <w:t xml:space="preserve">.</w:t>
      </w:r>
    </w:p>
    <w:p>
      <w:pPr>
        <w:numPr>
          <w:ilvl w:val="0"/>
          <w:numId w:val="1001"/>
        </w:numPr>
        <w:pStyle w:val="Compact"/>
      </w:pPr>
      <w:r>
        <w:t xml:space="preserve">Gold Hits 7-Week High</w:t>
      </w:r>
      <w:r>
        <w:t xml:space="preserve"> </w:t>
      </w:r>
      <w:r>
        <w:rPr>
          <w:bCs/>
          <w:b/>
        </w:rPr>
        <w:t xml:space="preserve">Gold climbed to a seven-week high near $4,271</w:t>
      </w:r>
      <w:r>
        <w:t xml:space="preserve"> </w:t>
      </w:r>
      <w:r>
        <w:t xml:space="preserve">(+2.38%), its fourth straight advance, as softer US ADP jobs data lifted Fed rate-cut odds even as oil rebounded;</w:t>
      </w:r>
      <w:r>
        <w:t xml:space="preserve"> </w:t>
      </w:r>
      <w:r>
        <w:rPr>
          <w:bCs/>
          <w:b/>
        </w:rPr>
        <w:t xml:space="preserve">silver added 0.6% to $61.83</w:t>
      </w:r>
      <w:r>
        <w:t xml:space="preserve"> </w:t>
      </w:r>
      <w:r>
        <w:t xml:space="preserve">(</w:t>
      </w:r>
      <w:hyperlink r:id="rId26">
        <w:r>
          <w:rPr>
            <w:rStyle w:val="Hyperlink"/>
          </w:rPr>
          <w:t xml:space="preserve">Fortune</w:t>
        </w:r>
      </w:hyperlink>
      <w:r>
        <w:t xml:space="preserve">,</w:t>
      </w:r>
      <w:r>
        <w:t xml:space="preserve"> </w:t>
      </w:r>
      <w:hyperlink r:id="rId27">
        <w:r>
          <w:rPr>
            <w:rStyle w:val="Hyperlink"/>
          </w:rPr>
          <w:t xml:space="preserve">Yahoo Finance</w:t>
        </w:r>
      </w:hyperlink>
      <w:r>
        <w:t xml:space="preserve">). Sentiment:</w:t>
      </w:r>
      <w:r>
        <w:t xml:space="preserve"> </w:t>
      </w:r>
      <w:r>
        <w:t xml:space="preserve">safe-haven bid firm</w:t>
      </w:r>
      <w:r>
        <w:t xml:space="preserve">.</w:t>
      </w:r>
    </w:p>
    <w:p>
      <w:pPr>
        <w:numPr>
          <w:ilvl w:val="0"/>
          <w:numId w:val="1001"/>
        </w:numPr>
        <w:pStyle w:val="Compact"/>
      </w:pPr>
      <w:r>
        <w:t xml:space="preserve">PIF Unveils 2026-2030 Strategy</w:t>
      </w:r>
      <w:r>
        <w:t xml:space="preserve"> </w:t>
      </w:r>
      <w:r>
        <w:t xml:space="preserve">Saudi's</w:t>
      </w:r>
      <w:r>
        <w:t xml:space="preserve"> </w:t>
      </w:r>
      <w:r>
        <w:rPr>
          <w:bCs/>
          <w:b/>
        </w:rPr>
        <w:t xml:space="preserve">Public Investment Fund board approved its 2026-2030 strategy</w:t>
      </w:r>
      <w:r>
        <w:t xml:space="preserve">, pivoting from rapid project launches toward localisation, Saudisation and long-term industrial capability across six ecosystems, as</w:t>
      </w:r>
      <w:r>
        <w:t xml:space="preserve"> </w:t>
      </w:r>
      <w:r>
        <w:rPr>
          <w:bCs/>
          <w:b/>
        </w:rPr>
        <w:t xml:space="preserve">July PMI held at 53.1 in Saudi Arabia</w:t>
      </w:r>
      <w:r>
        <w:t xml:space="preserve"> </w:t>
      </w:r>
      <w:r>
        <w:t xml:space="preserve">and</w:t>
      </w:r>
      <w:r>
        <w:t xml:space="preserve"> </w:t>
      </w:r>
      <w:r>
        <w:rPr>
          <w:bCs/>
          <w:b/>
        </w:rPr>
        <w:t xml:space="preserve">climbed to a four-month high of 52.7 in the UAE</w:t>
      </w:r>
      <w:r>
        <w:t xml:space="preserve"> </w:t>
      </w:r>
      <w:r>
        <w:t xml:space="preserve">(</w:t>
      </w:r>
      <w:hyperlink r:id="rId28">
        <w:r>
          <w:rPr>
            <w:rStyle w:val="Hyperlink"/>
          </w:rPr>
          <w:t xml:space="preserve">PIF.gov.sa</w:t>
        </w:r>
      </w:hyperlink>
      <w:r>
        <w:t xml:space="preserve">,</w:t>
      </w:r>
      <w:r>
        <w:t xml:space="preserve"> </w:t>
      </w:r>
      <w:hyperlink r:id="rId29">
        <w:r>
          <w:rPr>
            <w:rStyle w:val="Hyperlink"/>
          </w:rPr>
          <w:t xml:space="preserve">Arab News</w:t>
        </w:r>
      </w:hyperlink>
      <w:r>
        <w:t xml:space="preserve">). Sentiment:</w:t>
      </w:r>
      <w:r>
        <w:t xml:space="preserve"> </w:t>
      </w:r>
      <w:r>
        <w:t xml:space="preserve">improving Gulf backdrop</w:t>
      </w:r>
      <w:r>
        <w:t xml:space="preserve">.</w:t>
      </w:r>
    </w:p>
    <w:bookmarkEnd w:id="30"/>
    <w:bookmarkStart w:id="41" w:name="regional-market-economic-matrix"/>
    <w:p>
      <w:pPr>
        <w:pStyle w:val="Heading2"/>
      </w:pPr>
      <w:r>
        <w:t xml:space="preserve">02</w:t>
      </w:r>
      <w:r>
        <w:t xml:space="preserve">Regional Market &amp; Economic Matrix</w:t>
      </w:r>
    </w:p>
    <w:bookmarkStart w:id="34" w:name="a.-local-market-pakistan-focus"/>
    <w:p>
      <w:pPr>
        <w:pStyle w:val="Heading3"/>
      </w:pPr>
      <w:r>
        <w:t xml:space="preserve">A. Local Market — Pakistan Focus</w:t>
      </w:r>
    </w:p>
    <w:p>
      <w:pPr>
        <w:pStyle w:val="FirstParagraph"/>
      </w:pPr>
      <w:r>
        <w:t xml:space="preserve">Thursday's session saw the</w:t>
      </w:r>
      <w:r>
        <w:t xml:space="preserve"> </w:t>
      </w:r>
      <w:r>
        <w:rPr>
          <w:bCs/>
          <w:b/>
        </w:rPr>
        <w:t xml:space="preserve">KSE-100</w:t>
      </w:r>
      <w:r>
        <w:t xml:space="preserve"> </w:t>
      </w:r>
      <w:r>
        <w:t xml:space="preserve">add 0.98% to close at</w:t>
      </w:r>
      <w:r>
        <w:t xml:space="preserve"> </w:t>
      </w:r>
      <w:hyperlink r:id="rId21">
        <w:r>
          <w:rPr>
            <w:rStyle w:val="Hyperlink"/>
          </w:rPr>
          <w:t xml:space="preserve">181,776.59</w:t>
        </w:r>
      </w:hyperlink>
      <w:r>
        <w:t xml:space="preserve">, gaining 1,761.66 points as the rally that reclaimed 180,000 a day earlier extended into a fourth session. Breadth stayed constructive — 75 of 100 index constituents advanced against 25 decliners (282 gainers across the broader 494-company market) — on turnover of 345.78 million shares (Rs40.31bn), with commercial banks (+500.49 index points), oil &amp; gas exploration (+264.49), cement (+251.19), fertiliser (+224.08) and power generation (+124.47) leading the advance; UBL, MARI, FFC, LUCK and BAHL were the biggest index contributors, while NPL, GADT, MLCF, PAEL and NML topped the gainers' board (</w:t>
      </w:r>
      <w:hyperlink r:id="rId20">
        <w:r>
          <w:rPr>
            <w:rStyle w:val="Hyperlink"/>
          </w:rPr>
          <w:t xml:space="preserve">Mettis Global</w:t>
        </w:r>
      </w:hyperlink>
      <w:r>
        <w:t xml:space="preserve">). On the macro front, headline</w:t>
      </w:r>
      <w:r>
        <w:t xml:space="preserve"> </w:t>
      </w:r>
      <w:hyperlink r:id="rId31">
        <w:r>
          <w:rPr>
            <w:rStyle w:val="Hyperlink"/>
          </w:rPr>
          <w:t xml:space="preserve">CPI eased to 9.2% YoY in July</w:t>
        </w:r>
      </w:hyperlink>
      <w:r>
        <w:t xml:space="preserve"> </w:t>
      </w:r>
      <w:r>
        <w:t xml:space="preserve">from 11.1% in June, giving the SBP room to</w:t>
      </w:r>
      <w:r>
        <w:t xml:space="preserve"> </w:t>
      </w:r>
      <w:hyperlink r:id="rId32">
        <w:r>
          <w:rPr>
            <w:rStyle w:val="Hyperlink"/>
          </w:rPr>
          <w:t xml:space="preserve">hold its policy rate at 11.5%</w:t>
        </w:r>
      </w:hyperlink>
      <w:r>
        <w:t xml:space="preserve"> </w:t>
      </w:r>
      <w:r>
        <w:t xml:space="preserve">for a second straight meeting on 27 July. Six-month KIBOR is tracking near 11.70–11.90% (EST.), broadly in line with the policy rate. The</w:t>
      </w:r>
      <w:r>
        <w:t xml:space="preserve"> </w:t>
      </w:r>
      <w:hyperlink r:id="rId33">
        <w:r>
          <w:rPr>
            <w:rStyle w:val="Hyperlink"/>
          </w:rPr>
          <w:t xml:space="preserve">IMF's Executive Board cleared the third EFF/second RSF review on 8 May</w:t>
        </w:r>
      </w:hyperlink>
      <w:r>
        <w:t xml:space="preserve">, unlocking roughly $1.1bn (EFF) and $220m (RSF), with reform milestones including a new tax-audit manual due by end-August.</w:t>
      </w:r>
    </w:p>
    <w:bookmarkEnd w:id="34"/>
    <w:bookmarkStart w:id="37" w:name="b.-gcc-middle-east"/>
    <w:p>
      <w:pPr>
        <w:pStyle w:val="Heading3"/>
      </w:pPr>
      <w:r>
        <w:t xml:space="preserve">B. GCC &amp; Middle East</w:t>
      </w:r>
    </w:p>
    <w:p>
      <w:pPr>
        <w:pStyle w:val="FirstParagraph"/>
      </w:pPr>
      <w:r>
        <w:t xml:space="preserve">OPEC+'s seven-member subgroup</w:t>
      </w:r>
      <w:r>
        <w:t xml:space="preserve"> </w:t>
      </w:r>
      <w:hyperlink r:id="rId35">
        <w:r>
          <w:rPr>
            <w:rStyle w:val="Hyperlink"/>
          </w:rPr>
          <w:t xml:space="preserve">agreed on 2 August</w:t>
        </w:r>
      </w:hyperlink>
      <w:r>
        <w:t xml:space="preserve"> </w:t>
      </w:r>
      <w:r>
        <w:t xml:space="preserve">to add a further 188,000 bpd from September, extending the gradual unwind of the April 2023 voluntary cuts even as the oil market stays jittery on Hormuz headlines. Gulf non-oil momentum held up in July:</w:t>
      </w:r>
      <w:r>
        <w:t xml:space="preserve"> </w:t>
      </w:r>
      <w:hyperlink r:id="rId36">
        <w:r>
          <w:rPr>
            <w:rStyle w:val="Hyperlink"/>
          </w:rPr>
          <w:t xml:space="preserve">Saudi Arabia's non-oil PMI eased only slightly to 53.1</w:t>
        </w:r>
      </w:hyperlink>
      <w:r>
        <w:t xml:space="preserve"> </w:t>
      </w:r>
      <w:r>
        <w:t xml:space="preserve">(53.3 in June) on firmer domestic demand, while the</w:t>
      </w:r>
      <w:r>
        <w:t xml:space="preserve"> </w:t>
      </w:r>
      <w:hyperlink r:id="rId29">
        <w:r>
          <w:rPr>
            <w:rStyle w:val="Hyperlink"/>
          </w:rPr>
          <w:t xml:space="preserve">UAE's climbed to a four-month high of 52.7</w:t>
        </w:r>
      </w:hyperlink>
      <w:r>
        <w:t xml:space="preserve"> </w:t>
      </w:r>
      <w:r>
        <w:t xml:space="preserve">from 50.8, with new business at a five-month high and employment growth returning. Saudi's</w:t>
      </w:r>
      <w:r>
        <w:t xml:space="preserve"> </w:t>
      </w:r>
      <w:hyperlink r:id="rId28">
        <w:r>
          <w:rPr>
            <w:rStyle w:val="Hyperlink"/>
          </w:rPr>
          <w:t xml:space="preserve">Public Investment Fund board approved its 2026-2030 strategy</w:t>
        </w:r>
      </w:hyperlink>
      <w:r>
        <w:t xml:space="preserve">, chaired by Crown Prince Mohammed bin Salman, pivoting from rapid capital deployment toward localisation, Saudisation and long-term industrial capability across six ecosystems including travel &amp; tourism, urban development and NEOM. Oil itself reversed higher on the region's diplomacy:</w:t>
      </w:r>
      <w:r>
        <w:t xml:space="preserve"> </w:t>
      </w:r>
      <w:hyperlink r:id="rId25">
        <w:r>
          <w:rPr>
            <w:rStyle w:val="Hyperlink"/>
          </w:rPr>
          <w:t xml:space="preserve">Brent jumped 4.9% to $83.34</w:t>
        </w:r>
      </w:hyperlink>
      <w:r>
        <w:t xml:space="preserve"> </w:t>
      </w:r>
      <w:r>
        <w:t xml:space="preserve">and WTI rose 3.37% to $77.75 after Iran said a Hormuz reopening remains contingent on Washington lifting its naval blockade, unwinding much of this week's de-escalation rally.</w:t>
      </w:r>
    </w:p>
    <w:bookmarkEnd w:id="37"/>
    <w:bookmarkStart w:id="40" w:name="c.-global-intelligence"/>
    <w:p>
      <w:pPr>
        <w:pStyle w:val="Heading3"/>
      </w:pPr>
      <w:r>
        <w:t xml:space="preserve">C. Global Intelligence</w:t>
      </w:r>
    </w:p>
    <w:p>
      <w:pPr>
        <w:pStyle w:val="FirstParagraph"/>
      </w:pPr>
      <w:r>
        <w:t xml:space="preserve">Wall Street pulled back from this week's record highs: the</w:t>
      </w:r>
      <w:r>
        <w:t xml:space="preserve"> </w:t>
      </w:r>
      <w:hyperlink r:id="rId22">
        <w:r>
          <w:rPr>
            <w:rStyle w:val="Hyperlink"/>
          </w:rPr>
          <w:t xml:space="preserve">Dow shed 464 points (−0.85%) to 53,885</w:t>
        </w:r>
      </w:hyperlink>
      <w:r>
        <w:t xml:space="preserve">, the S&amp;P 500 slipped 0.18% to 7,709.96 and the Nasdaq eased 0.06% to 26,348.35, as rising Treasury yields (10Y 4.61%, 2Y ~4.18%) and a jump in oil prices weighed on risk appetite even as softer US ADP jobs data kept September rate-cut hopes alive. Gold climbed to a</w:t>
      </w:r>
      <w:r>
        <w:t xml:space="preserve"> </w:t>
      </w:r>
      <w:hyperlink r:id="rId26">
        <w:r>
          <w:rPr>
            <w:rStyle w:val="Hyperlink"/>
          </w:rPr>
          <w:t xml:space="preserve">seven-week high near $4,271</w:t>
        </w:r>
      </w:hyperlink>
      <w:r>
        <w:t xml:space="preserve"> </w:t>
      </w:r>
      <w:r>
        <w:t xml:space="preserve">(+2.38%) and silver added 0.6% to $61.83 on the same haven bid. Washington's trade agenda keeps moving: a</w:t>
      </w:r>
      <w:r>
        <w:t xml:space="preserve"> </w:t>
      </w:r>
      <w:hyperlink r:id="rId38">
        <w:r>
          <w:rPr>
            <w:rStyle w:val="Hyperlink"/>
          </w:rPr>
          <w:t xml:space="preserve">50% Section 338 tariff on roughly $20bn of Canadian dairy, alcohol and motor-vehicle exports</w:t>
        </w:r>
      </w:hyperlink>
      <w:r>
        <w:t xml:space="preserve"> </w:t>
      </w:r>
      <w:r>
        <w:t xml:space="preserve">takes effect 19 August — now 12 days out — while</w:t>
      </w:r>
      <w:r>
        <w:t xml:space="preserve"> </w:t>
      </w:r>
      <w:hyperlink r:id="rId39">
        <w:r>
          <w:rPr>
            <w:rStyle w:val="Hyperlink"/>
          </w:rPr>
          <w:t xml:space="preserve">Pakistan's own reciprocal tariff with the US</w:t>
        </w:r>
      </w:hyperlink>
      <w:r>
        <w:t xml:space="preserve"> </w:t>
      </w:r>
      <w:r>
        <w:t xml:space="preserve">remains a comparatively favourable 19%.</w:t>
      </w:r>
    </w:p>
    <w:bookmarkEnd w:id="40"/>
    <w:bookmarkEnd w:id="41"/>
    <w:bookmarkStart w:id="44"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42">
              <w:r>
                <w:rPr>
                  <w:rStyle w:val="Hyperlink"/>
                </w:rPr>
                <w:t xml:space="preserve">Finance Act 2026</w:t>
              </w:r>
            </w:hyperlink>
            <w:r>
              <w:t xml:space="preserve">'s 5% withholding tax (10% for non-filers) on digital creators' social media earnings remains in force, with</w:t>
            </w:r>
            <w:r>
              <w:t xml:space="preserve"> </w:t>
            </w:r>
            <w:hyperlink r:id="rId43">
              <w:r>
                <w:rPr>
                  <w:rStyle w:val="Hyperlink"/>
                </w:rPr>
                <w:t xml:space="preserve">banks deducting it at source</w:t>
              </w:r>
            </w:hyperlink>
            <w:r>
              <w:t xml:space="preserve"> </w:t>
            </w:r>
            <w:r>
              <w:t xml:space="preserve">since 30 July; the IMF-linked reform calendar also has a new tax-audit manual and policy due by end-August.</w:t>
            </w:r>
          </w:p>
        </w:tc>
        <w:tc>
          <w:tcPr/>
          <w:p>
            <w:pPr>
              <w:pStyle w:val="Compact"/>
              <w:jc w:val="left"/>
            </w:pPr>
            <w:r>
              <w:t xml:space="preserve">Media, Digital/Creator Economy, Tax Administration</w:t>
            </w:r>
          </w:p>
        </w:tc>
        <w:tc>
          <w:tcPr/>
          <w:p>
            <w:pPr>
              <w:pStyle w:val="Compact"/>
              <w:jc w:val="left"/>
            </w:pPr>
            <w:r>
              <w:rPr>
                <w:bCs/>
                <w:b/>
              </w:rPr>
              <w:t xml:space="preserve">Wins:</w:t>
            </w:r>
            <w:r>
              <w:t xml:space="preserve"> </w:t>
            </w:r>
            <w:r>
              <w:t xml:space="preserve">FBR compliance-tech vendors and formal-sector filers.</w:t>
            </w:r>
            <w:r>
              <w:t xml:space="preserve"> </w:t>
            </w:r>
            <w:r>
              <w:rPr>
                <w:bCs/>
                <w:b/>
              </w:rPr>
              <w:t xml:space="preserve">Loses:</w:t>
            </w:r>
            <w:r>
              <w:t xml:space="preserve"> </w:t>
            </w:r>
            <w:r>
              <w:t xml:space="preserve">non-filer creators facing the 10% deduction; compliance overhead builds ahead of the August audit-manual deadline.</w:t>
            </w:r>
          </w:p>
        </w:tc>
      </w:tr>
      <w:tr>
        <w:tc>
          <w:tcPr/>
          <w:p>
            <w:pPr>
              <w:pStyle w:val="Compact"/>
              <w:jc w:val="left"/>
            </w:pPr>
            <w:r>
              <w:rPr>
                <w:bCs/>
                <w:b/>
              </w:rPr>
              <w:t xml:space="preserve">GCC — Saudi/UAE</w:t>
            </w:r>
          </w:p>
        </w:tc>
        <w:tc>
          <w:tcPr/>
          <w:p>
            <w:pPr>
              <w:pStyle w:val="Compact"/>
              <w:jc w:val="left"/>
            </w:pPr>
            <w:r>
              <w:t xml:space="preserve">Saudi's</w:t>
            </w:r>
            <w:r>
              <w:t xml:space="preserve"> </w:t>
            </w:r>
            <w:hyperlink r:id="rId28">
              <w:r>
                <w:rPr>
                  <w:rStyle w:val="Hyperlink"/>
                </w:rPr>
                <w:t xml:space="preserve">PIF board approved its 2026-2030 strategy</w:t>
              </w:r>
            </w:hyperlink>
            <w:r>
              <w:t xml:space="preserve">, pivoting from rapid capital deployment toward localisation and Saudisation, while</w:t>
            </w:r>
            <w:r>
              <w:t xml:space="preserve"> </w:t>
            </w:r>
            <w:hyperlink r:id="rId35">
              <w:r>
                <w:rPr>
                  <w:rStyle w:val="Hyperlink"/>
                </w:rPr>
                <w:t xml:space="preserve">OPEC+ added a further 188,000 bpd</w:t>
              </w:r>
            </w:hyperlink>
            <w:r>
              <w:t xml:space="preserve"> </w:t>
            </w:r>
            <w:r>
              <w:t xml:space="preserve">from September and Washington's Section 301 forced-labor duties (10–12.5% on roughly 60 economies including Saudi Arabia and the UAE) remain in force.</w:t>
            </w:r>
          </w:p>
        </w:tc>
        <w:tc>
          <w:tcPr/>
          <w:p>
            <w:pPr>
              <w:pStyle w:val="Compact"/>
              <w:jc w:val="left"/>
            </w:pPr>
            <w:r>
              <w:t xml:space="preserve">Sovereign Wealth/Investment, Energy, Manufacturing/Export</w:t>
            </w:r>
          </w:p>
        </w:tc>
        <w:tc>
          <w:tcPr/>
          <w:p>
            <w:pPr>
              <w:pStyle w:val="Compact"/>
              <w:jc w:val="left"/>
            </w:pPr>
            <w:r>
              <w:rPr>
                <w:bCs/>
                <w:b/>
              </w:rPr>
              <w:t xml:space="preserve">Wins:</w:t>
            </w:r>
            <w:r>
              <w:t xml:space="preserve"> </w:t>
            </w:r>
            <w:r>
              <w:t xml:space="preserve">domestic Saudi suppliers and localisation-ready contractors under the new PIF strategy.</w:t>
            </w:r>
            <w:r>
              <w:t xml:space="preserve"> </w:t>
            </w:r>
            <w:r>
              <w:rPr>
                <w:bCs/>
                <w:b/>
              </w:rPr>
              <w:t xml:space="preserve">Loses:</w:t>
            </w:r>
            <w:r>
              <w:t xml:space="preserve"> </w:t>
            </w:r>
            <w:r>
              <w:t xml:space="preserve">foreign contractors facing tighter localisation rules; Gulf exporters still absorbing forced-labor tariff exposure.</w:t>
            </w:r>
          </w:p>
        </w:tc>
      </w:tr>
      <w:tr>
        <w:tc>
          <w:tcPr/>
          <w:p>
            <w:pPr>
              <w:pStyle w:val="Compact"/>
              <w:jc w:val="left"/>
            </w:pPr>
            <w:r>
              <w:rPr>
                <w:bCs/>
                <w:b/>
              </w:rPr>
              <w:t xml:space="preserve">Global — US/Canada</w:t>
            </w:r>
          </w:p>
        </w:tc>
        <w:tc>
          <w:tcPr/>
          <w:p>
            <w:pPr>
              <w:pStyle w:val="Compact"/>
              <w:jc w:val="left"/>
            </w:pPr>
            <w:r>
              <w:t xml:space="preserve">The</w:t>
            </w:r>
            <w:r>
              <w:t xml:space="preserve"> </w:t>
            </w:r>
            <w:hyperlink r:id="rId38">
              <w:r>
                <w:rPr>
                  <w:rStyle w:val="Hyperlink"/>
                </w:rPr>
                <w:t xml:space="preserve">50% US Section 338 tariff on Canadian dairy, alcohol and motor vehicles</w:t>
              </w:r>
            </w:hyperlink>
            <w:r>
              <w:t xml:space="preserve"> </w:t>
            </w:r>
            <w:r>
              <w:t xml:space="preserve">takes effect 19 August — now 12 days out, covering roughly $20bn of imports — barring a last-minute deal, while</w:t>
            </w:r>
            <w:r>
              <w:t xml:space="preserve"> </w:t>
            </w:r>
            <w:hyperlink r:id="rId39">
              <w:r>
                <w:rPr>
                  <w:rStyle w:val="Hyperlink"/>
                </w:rPr>
                <w:t xml:space="preserve">Pakistan's negotiated 19% reciprocal tariff</w:t>
              </w:r>
            </w:hyperlink>
            <w:r>
              <w:t xml:space="preserve"> </w:t>
            </w:r>
            <w:r>
              <w:t xml:space="preserve">with Washington remains in force.</w:t>
            </w:r>
          </w:p>
        </w:tc>
        <w:tc>
          <w:tcPr/>
          <w:p>
            <w:pPr>
              <w:pStyle w:val="Compact"/>
              <w:jc w:val="left"/>
            </w:pPr>
            <w:r>
              <w:t xml:space="preserve">Trade, Dairy/Alcohol/Autos, Textiles/Apparel</w:t>
            </w:r>
          </w:p>
        </w:tc>
        <w:tc>
          <w:tcPr/>
          <w:p>
            <w:pPr>
              <w:pStyle w:val="Compact"/>
              <w:jc w:val="left"/>
            </w:pPr>
            <w:r>
              <w:rPr>
                <w:bCs/>
                <w:b/>
              </w:rPr>
              <w:t xml:space="preserve">Wins:</w:t>
            </w:r>
            <w:r>
              <w:t xml:space="preserve"> </w:t>
            </w:r>
            <w:r>
              <w:t xml:space="preserve">Pakistani textile and apparel exporters retaining a relative tariff advantage over higher-taxed peers.</w:t>
            </w:r>
            <w:r>
              <w:t xml:space="preserve"> </w:t>
            </w:r>
            <w:r>
              <w:rPr>
                <w:bCs/>
                <w:b/>
              </w:rPr>
              <w:t xml:space="preserve">Loses:</w:t>
            </w:r>
            <w:r>
              <w:t xml:space="preserve"> </w:t>
            </w:r>
            <w:r>
              <w:t xml:space="preserve">Canadian dairy, alcohol and auto exporters, and US importers/retailers facing the 19 August step-up.</w:t>
            </w:r>
          </w:p>
        </w:tc>
      </w:tr>
    </w:tbl>
    <w:bookmarkEnd w:id="44"/>
    <w:bookmarkStart w:id="45"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180,015</w:t>
      </w:r>
    </w:p>
    <w:p>
      <w:pPr>
        <w:pStyle w:val="BodyText"/>
      </w:pPr>
      <w:r>
        <w:t xml:space="preserve">Wednesday's close, now first support; deeper support at 178,500 (Tuesday's intraday low)</w:t>
      </w:r>
    </w:p>
    <w:p>
      <w:pPr>
        <w:pStyle w:val="BodyText"/>
      </w:pPr>
      <w:r>
        <w:t xml:space="preserve">Pivot</w:t>
      </w:r>
      <w:r>
        <w:t xml:space="preserve"> </w:t>
      </w:r>
      <w:r>
        <w:t xml:space="preserve">EST.</w:t>
      </w:r>
    </w:p>
    <w:p>
      <w:pPr>
        <w:pStyle w:val="BodyText"/>
      </w:pPr>
      <w:r>
        <w:t xml:space="preserve">181,777</w:t>
      </w:r>
    </w:p>
    <w:p>
      <w:pPr>
        <w:pStyle w:val="BodyText"/>
      </w:pPr>
      <w:r>
        <w:t xml:space="preserve">Thursday's close</w:t>
      </w:r>
    </w:p>
    <w:p>
      <w:pPr>
        <w:pStyle w:val="BodyText"/>
      </w:pPr>
      <w:r>
        <w:t xml:space="preserve">Resistance</w:t>
      </w:r>
      <w:r>
        <w:t xml:space="preserve"> </w:t>
      </w:r>
      <w:r>
        <w:t xml:space="preserve">EST.</w:t>
      </w:r>
    </w:p>
    <w:p>
      <w:pPr>
        <w:pStyle w:val="BodyText"/>
      </w:pPr>
      <w:r>
        <w:t xml:space="preserve">182,000</w:t>
      </w:r>
    </w:p>
    <w:p>
      <w:pPr>
        <w:pStyle w:val="BodyText"/>
      </w:pPr>
      <w:r>
        <w:t xml:space="preserve">psychological round-number level; then the 2026 high of 189,167 set 23 January</w:t>
      </w:r>
    </w:p>
    <w:p>
      <w:pPr>
        <w:pStyle w:val="BodyText"/>
      </w:pPr>
      <w:r>
        <w:rPr>
          <w:bCs/>
          <w:b/>
        </w:rPr>
        <w:t xml:space="preserve">Desk view:</w:t>
      </w:r>
      <w:r>
        <w:t xml:space="preserve"> </w:t>
      </w:r>
      <w:r>
        <w:t xml:space="preserve">Thursday's 0.98% gain extended the KSE-100's rally to a fourth straight session on breadth-confirmed buying (75 advancers vs 25 decliners among index names), a healthier setup than a narrow momentum spike.</w:t>
      </w:r>
      <w:r>
        <w:t xml:space="preserve"> </w:t>
      </w:r>
      <w:r>
        <w:rPr>
          <w:bCs/>
          <w:b/>
        </w:rPr>
        <w:t xml:space="preserve">Oil's reversal is the key swing factor to watch:</w:t>
      </w:r>
      <w:r>
        <w:t xml:space="preserve"> </w:t>
      </w:r>
      <w:r>
        <w:t xml:space="preserve">Brent's jump back to $83 and WTI to $78 on Iran's conditional stance on a Hormuz reopening could revive Pakistan's import-bill and inflation concerns if it persists, working against the disinflation narrative that underpinned the SBP's recent rate hold. Sector leadership in banks, E&amp;P, cement and fertiliser still points to broad-based rotation rather than narrow speculation. Watch 180,015 as the first floor; a close below re-opens 178,500. On the upside, clearing the psychological 182,000 mark keeps the index on track toward the year's 189,167 high set in January.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finance.yahoo.com/personal-finance/investing/article/gold-prices-today-thursday-august-6-2026-gold-prices-surge-as-hormuz-inches-closer-to-reopening-130743281.html" TargetMode="External" /><Relationship Type="http://schemas.openxmlformats.org/officeDocument/2006/relationships/hyperlink" Id="rId26" Target="https://fortune.com/article/current-price-of-gold-08-06-2026/" TargetMode="External" /><Relationship Type="http://schemas.openxmlformats.org/officeDocument/2006/relationships/hyperlink" Id="rId42" Target="https://kpmg.com/us/en/taxnewsflash/news/2026/07/pakistan-tax-customs-measures-finance-act-2026.html" TargetMode="External" /><Relationship Type="http://schemas.openxmlformats.org/officeDocument/2006/relationships/hyperlink" Id="rId20" Target="https://mettisglobal.news/PSX-Closing-Bell-Green-Machine-62456" TargetMode="External" /><Relationship Type="http://schemas.openxmlformats.org/officeDocument/2006/relationships/hyperlink" Id="rId43" Target="https://propakistani.pk/2026/07/30/banks-start-deducting-tax-on-digital-creator-earnings-from-social-media/" TargetMode="External" /><Relationship Type="http://schemas.openxmlformats.org/officeDocument/2006/relationships/hyperlink" Id="rId25" Target="https://tradingeconomics.com/commodity/brent-crude-oil" TargetMode="External" /><Relationship Type="http://schemas.openxmlformats.org/officeDocument/2006/relationships/hyperlink" Id="rId21" Target="https://tradingeconomics.com/pakistan/stock-market" TargetMode="External" /><Relationship Type="http://schemas.openxmlformats.org/officeDocument/2006/relationships/hyperlink" Id="rId36" Target="https://www.arabnews.com/node/2653330/business-economy" TargetMode="External" /><Relationship Type="http://schemas.openxmlformats.org/officeDocument/2006/relationships/hyperlink" Id="rId29" Target="https://www.arabnews.com/node/2653468/business-economy" TargetMode="External" /><Relationship Type="http://schemas.openxmlformats.org/officeDocument/2006/relationships/hyperlink" Id="rId24" Target="https://www.bloomberg.com/news/articles/2026-08-06/iran-says-deal-with-oman-on-strait-of-hormuz-agreed-in-principle" TargetMode="External" /><Relationship Type="http://schemas.openxmlformats.org/officeDocument/2006/relationships/hyperlink" Id="rId32" Target="https://www.brecorder.com/news/40425595"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39" Target="https://www.dawn.com/news/1927992" TargetMode="External" /><Relationship Type="http://schemas.openxmlformats.org/officeDocument/2006/relationships/hyperlink" Id="rId38" Target="https://www.honigman.com/alert-3458" TargetMode="External" /><Relationship Type="http://schemas.openxmlformats.org/officeDocument/2006/relationships/hyperlink" Id="rId33" Target="https://www.imf.org/en/news/articles/2026/05/08/pr-26147-pakistan-imf-completes-3rd-rev-of-extended-arrangement-under-eff-and-2nd-rev-arrang-rsf" TargetMode="External" /><Relationship Type="http://schemas.openxmlformats.org/officeDocument/2006/relationships/hyperlink" Id="rId28" Target="https://www.pif.gov.sa/en/news-and-insights/press-releases/2026/chaired-by-hrh-crown-prince-pif-board-of-directors-approves-pif-2026-2030-strategy/" TargetMode="External" /><Relationship Type="http://schemas.openxmlformats.org/officeDocument/2006/relationships/hyperlink" Id="rId35" Target="https://www.rigzone.com/news/opec_7_decide_to_boost_production_quota-03-aug-2026-184277-article/" TargetMode="External" /><Relationship Type="http://schemas.openxmlformats.org/officeDocument/2006/relationships/hyperlink" Id="rId22" Target="https://www.thestreet.com/stock-market-today/stock-market-today-dow-jones-sp-500-nasdaq-updates-aug-6-2026" TargetMode="External" /><Relationship Type="http://schemas.openxmlformats.org/officeDocument/2006/relationships/hyperlink" Id="rId23" Target="https://www.washingtonpost.com/business/2026/08/06/stock-market-dow-warner-dow-jones/c507acf0-91d4-11f1-9fdc-0a725c989a7b_story.html" TargetMode="External" /></Relationships>
</file>

<file path=word/_rels/footnotes.xml.rels><?xml version="1.0" encoding="UTF-8"?><Relationships xmlns="http://schemas.openxmlformats.org/package/2006/relationships"><Relationship Type="http://schemas.openxmlformats.org/officeDocument/2006/relationships/hyperlink" Id="rId27" Target="https://finance.yahoo.com/personal-finance/investing/article/gold-prices-today-thursday-august-6-2026-gold-prices-surge-as-hormuz-inches-closer-to-reopening-130743281.html" TargetMode="External" /><Relationship Type="http://schemas.openxmlformats.org/officeDocument/2006/relationships/hyperlink" Id="rId26" Target="https://fortune.com/article/current-price-of-gold-08-06-2026/" TargetMode="External" /><Relationship Type="http://schemas.openxmlformats.org/officeDocument/2006/relationships/hyperlink" Id="rId42" Target="https://kpmg.com/us/en/taxnewsflash/news/2026/07/pakistan-tax-customs-measures-finance-act-2026.html" TargetMode="External" /><Relationship Type="http://schemas.openxmlformats.org/officeDocument/2006/relationships/hyperlink" Id="rId20" Target="https://mettisglobal.news/PSX-Closing-Bell-Green-Machine-62456" TargetMode="External" /><Relationship Type="http://schemas.openxmlformats.org/officeDocument/2006/relationships/hyperlink" Id="rId43" Target="https://propakistani.pk/2026/07/30/banks-start-deducting-tax-on-digital-creator-earnings-from-social-media/" TargetMode="External" /><Relationship Type="http://schemas.openxmlformats.org/officeDocument/2006/relationships/hyperlink" Id="rId25" Target="https://tradingeconomics.com/commodity/brent-crude-oil" TargetMode="External" /><Relationship Type="http://schemas.openxmlformats.org/officeDocument/2006/relationships/hyperlink" Id="rId21" Target="https://tradingeconomics.com/pakistan/stock-market" TargetMode="External" /><Relationship Type="http://schemas.openxmlformats.org/officeDocument/2006/relationships/hyperlink" Id="rId36" Target="https://www.arabnews.com/node/2653330/business-economy" TargetMode="External" /><Relationship Type="http://schemas.openxmlformats.org/officeDocument/2006/relationships/hyperlink" Id="rId29" Target="https://www.arabnews.com/node/2653468/business-economy" TargetMode="External" /><Relationship Type="http://schemas.openxmlformats.org/officeDocument/2006/relationships/hyperlink" Id="rId24" Target="https://www.bloomberg.com/news/articles/2026-08-06/iran-says-deal-with-oman-on-strait-of-hormuz-agreed-in-principle" TargetMode="External" /><Relationship Type="http://schemas.openxmlformats.org/officeDocument/2006/relationships/hyperlink" Id="rId32" Target="https://www.brecorder.com/news/40425595" TargetMode="External" /><Relationship Type="http://schemas.openxmlformats.org/officeDocument/2006/relationships/hyperlink" Id="rId31" Target="https://www.brecorder.com/news/40432859/pakistan-inflation-clocks-in-at-92-in-july-2026" TargetMode="External" /><Relationship Type="http://schemas.openxmlformats.org/officeDocument/2006/relationships/hyperlink" Id="rId39" Target="https://www.dawn.com/news/1927992" TargetMode="External" /><Relationship Type="http://schemas.openxmlformats.org/officeDocument/2006/relationships/hyperlink" Id="rId38" Target="https://www.honigman.com/alert-3458" TargetMode="External" /><Relationship Type="http://schemas.openxmlformats.org/officeDocument/2006/relationships/hyperlink" Id="rId33" Target="https://www.imf.org/en/news/articles/2026/05/08/pr-26147-pakistan-imf-completes-3rd-rev-of-extended-arrangement-under-eff-and-2nd-rev-arrang-rsf" TargetMode="External" /><Relationship Type="http://schemas.openxmlformats.org/officeDocument/2006/relationships/hyperlink" Id="rId28" Target="https://www.pif.gov.sa/en/news-and-insights/press-releases/2026/chaired-by-hrh-crown-prince-pif-board-of-directors-approves-pif-2026-2030-strategy/" TargetMode="External" /><Relationship Type="http://schemas.openxmlformats.org/officeDocument/2006/relationships/hyperlink" Id="rId35" Target="https://www.rigzone.com/news/opec_7_decide_to_boost_production_quota-03-aug-2026-184277-article/" TargetMode="External" /><Relationship Type="http://schemas.openxmlformats.org/officeDocument/2006/relationships/hyperlink" Id="rId22" Target="https://www.thestreet.com/stock-market-today/stock-market-today-dow-jones-sp-500-nasdaq-updates-aug-6-2026" TargetMode="External" /><Relationship Type="http://schemas.openxmlformats.org/officeDocument/2006/relationships/hyperlink" Id="rId23" Target="https://www.washingtonpost.com/business/2026/08/06/stock-market-dow-warner-dow-jones/c507acf0-91d4-11f1-9fdc-0a725c989a7b_stor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Friday, 07 August 2026</dc:title>
  <dc:creator/>
  <dc:language>en</dc:language>
  <cp:keywords/>
  <dcterms:created xsi:type="dcterms:W3CDTF">2026-08-07T04:15:59Z</dcterms:created>
  <dcterms:modified xsi:type="dcterms:W3CDTF">2026-08-07T04:15:59Z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