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Monday,</w:t>
      </w:r>
      <w:r>
        <w:t xml:space="preserve"> </w:t>
      </w:r>
      <w:r>
        <w:t xml:space="preserve">24</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Monday, 24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177,167</w:t>
      </w:r>
    </w:p>
    <w:p>
      <w:pPr>
        <w:pStyle w:val="BodyText"/>
      </w:pPr>
      <w:r>
        <w:t xml:space="preserve">▲ 0.33% Fri · +575 pts</w:t>
      </w:r>
    </w:p>
    <w:p>
      <w:pPr>
        <w:pStyle w:val="BodyText"/>
      </w:pPr>
      <w:r>
        <w:t xml:space="preserve">S&amp;P 500</w:t>
      </w:r>
      <w:r>
        <w:t xml:space="preserve"> </w:t>
      </w:r>
      <w:r>
        <w:t xml:space="preserve">V</w:t>
      </w:r>
    </w:p>
    <w:p>
      <w:pPr>
        <w:pStyle w:val="BodyText"/>
      </w:pPr>
      <w:r>
        <w:t xml:space="preserve">▲ 0.4%</w:t>
      </w:r>
    </w:p>
    <w:p>
      <w:pPr>
        <w:pStyle w:val="BodyText"/>
      </w:pPr>
      <w:r>
        <w:t xml:space="preserve">Dow +1.0% · Nasdaq +0.4%</w:t>
      </w:r>
    </w:p>
    <w:p>
      <w:pPr>
        <w:pStyle w:val="BodyText"/>
      </w:pPr>
      <w:r>
        <w:t xml:space="preserve">US 10Y / 2Y</w:t>
      </w:r>
      <w:r>
        <w:t xml:space="preserve"> </w:t>
      </w:r>
      <w:r>
        <w:t xml:space="preserve">V</w:t>
      </w:r>
    </w:p>
    <w:p>
      <w:pPr>
        <w:pStyle w:val="BodyText"/>
      </w:pPr>
      <w:r>
        <w:t xml:space="preserve">4.74 / 4.18</w:t>
      </w:r>
    </w:p>
    <w:p>
      <w:pPr>
        <w:pStyle w:val="BodyText"/>
      </w:pPr>
      <w:r>
        <w:t xml:space="preserve">Warsh hawkish tilt persists</w:t>
      </w:r>
    </w:p>
    <w:p>
      <w:pPr>
        <w:pStyle w:val="BodyText"/>
      </w:pPr>
      <w:r>
        <w:t xml:space="preserve">Brent / WTI</w:t>
      </w:r>
      <w:r>
        <w:t xml:space="preserve"> </w:t>
      </w:r>
      <w:r>
        <w:t xml:space="preserve">V</w:t>
      </w:r>
    </w:p>
    <w:p>
      <w:pPr>
        <w:pStyle w:val="BodyText"/>
      </w:pPr>
      <w:r>
        <w:t xml:space="preserve">$94.4 / $87.3</w:t>
      </w:r>
    </w:p>
    <w:p>
      <w:pPr>
        <w:pStyle w:val="BodyText"/>
      </w:pPr>
      <w:r>
        <w:t xml:space="preserve">Hormuz risk premium intact</w:t>
      </w:r>
    </w:p>
    <w:p>
      <w:pPr>
        <w:pStyle w:val="BodyText"/>
      </w:pPr>
      <w:r>
        <w:t xml:space="preserve">Gold</w:t>
      </w:r>
      <w:r>
        <w:t xml:space="preserve"> </w:t>
      </w:r>
      <w:r>
        <w:t xml:space="preserve">V</w:t>
      </w:r>
    </w:p>
    <w:p>
      <w:pPr>
        <w:pStyle w:val="BodyText"/>
      </w:pPr>
      <w:r>
        <w:t xml:space="preserve">$4,603</w:t>
      </w:r>
    </w:p>
    <w:p>
      <w:pPr>
        <w:pStyle w:val="BodyText"/>
      </w:pPr>
      <w:r>
        <w:t xml:space="preserve">▲ ~1.9% · silver $68.97</w:t>
      </w:r>
    </w:p>
    <w:p>
      <w:pPr>
        <w:pStyle w:val="BodyText"/>
      </w:pPr>
      <w:r>
        <w:t xml:space="preserve">USD/PKR</w:t>
      </w:r>
      <w:r>
        <w:t xml:space="preserve"> </w:t>
      </w:r>
      <w:r>
        <w:t xml:space="preserve">V</w:t>
      </w:r>
    </w:p>
    <w:p>
      <w:pPr>
        <w:pStyle w:val="BodyText"/>
      </w:pPr>
      <w:r>
        <w:t xml:space="preserve">277.56</w:t>
      </w:r>
    </w:p>
    <w:p>
      <w:pPr>
        <w:pStyle w:val="BodyText"/>
      </w:pPr>
      <w:r>
        <w:t xml:space="preserve">interbank ·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rebounds on energy-led buying</w:t>
      </w:r>
      <w:r>
        <w:t xml:space="preserve"> </w:t>
      </w:r>
      <w:r>
        <w:t xml:space="preserve">The benchmark closed Friday at</w:t>
      </w:r>
      <w:r>
        <w:t xml:space="preserve"> </w:t>
      </w:r>
      <w:r>
        <w:rPr>
          <w:bCs/>
          <w:b/>
        </w:rPr>
        <w:t xml:space="preserve">177,166.52</w:t>
      </w:r>
      <w:r>
        <w:t xml:space="preserve">, up 574.76 points (0.33%) from Thursday, having swung from an intraday low of 176,110.75 to close near session highs as value-hunting in oil &amp; gas names took hold — Attock Refinery (+5.09%), OGDC (+1.99%) and Hub Power (+1.25%) led gains, while Thal Limited, United Bank and The Bank of Punjab weighed on the index. Breadth was positive (246 advancers vs 216 decliners of 493 traded) on volume of 689.2m shares worth Rs35.66bn; foreign investors were modest net buyers (~Rs125m). Sources:</w:t>
      </w:r>
      <w:r>
        <w:t xml:space="preserve"> </w:t>
      </w:r>
      <w:hyperlink r:id="rId20">
        <w:r>
          <w:rPr>
            <w:rStyle w:val="Hyperlink"/>
          </w:rPr>
          <w:t xml:space="preserve">Express Tribune</w:t>
        </w:r>
      </w:hyperlink>
      <w:r>
        <w:t xml:space="preserve">,</w:t>
      </w:r>
      <w:r>
        <w:t xml:space="preserve"> </w:t>
      </w:r>
      <w:hyperlink r:id="rId21">
        <w:r>
          <w:rPr>
            <w:rStyle w:val="Hyperlink"/>
          </w:rPr>
          <w:t xml:space="preserve">Business Recorder</w:t>
        </w:r>
      </w:hyperlink>
      <w:r>
        <w:t xml:space="preserve">. Sentiment:</w:t>
      </w:r>
      <w:r>
        <w:t xml:space="preserve"> </w:t>
      </w:r>
      <w:r>
        <w:t xml:space="preserve">firmer, energy-led rebound</w:t>
      </w:r>
      <w:r>
        <w:t xml:space="preserve">.</w:t>
      </w:r>
    </w:p>
    <w:p>
      <w:pPr>
        <w:numPr>
          <w:ilvl w:val="0"/>
          <w:numId w:val="1001"/>
        </w:numPr>
        <w:pStyle w:val="Compact"/>
      </w:pPr>
      <w:r>
        <w:t xml:space="preserve">Wall Street closes higher Friday, still logs a weekly loss</w:t>
      </w:r>
      <w:r>
        <w:t xml:space="preserve"> </w:t>
      </w:r>
      <w:r>
        <w:t xml:space="preserve">The Dow surged 517.80 points (1.0%) to</w:t>
      </w:r>
      <w:r>
        <w:t xml:space="preserve"> </w:t>
      </w:r>
      <w:r>
        <w:rPr>
          <w:bCs/>
          <w:b/>
        </w:rPr>
        <w:t xml:space="preserve">53,277.01</w:t>
      </w:r>
      <w:r>
        <w:t xml:space="preserve">, the S&amp;P 500 added 33.21 points (0.4%) to 7,674.37 and the Nasdaq rose 113.29 points (0.4%) to 26,180.45, though all three indices still finished the week lower after a bond-market selloff pushed the 10-year Treasury yield to 4.74% and left the 2-year near 4.18%, with Fed Chair Kevin Warsh's hawkish policy bias unmoved even after the Treasury's mid-week buyback intervention. Sources:</w:t>
      </w:r>
      <w:r>
        <w:t xml:space="preserve"> </w:t>
      </w:r>
      <w:hyperlink r:id="rId22">
        <w:r>
          <w:rPr>
            <w:rStyle w:val="Hyperlink"/>
          </w:rPr>
          <w:t xml:space="preserve">The Globe and Mail (AP)</w:t>
        </w:r>
      </w:hyperlink>
      <w:r>
        <w:t xml:space="preserve">,</w:t>
      </w:r>
      <w:r>
        <w:t xml:space="preserve"> </w:t>
      </w:r>
      <w:hyperlink r:id="rId23">
        <w:r>
          <w:rPr>
            <w:rStyle w:val="Hyperlink"/>
          </w:rPr>
          <w:t xml:space="preserve">TheStreet</w:t>
        </w:r>
      </w:hyperlink>
      <w:r>
        <w:t xml:space="preserve">. Sentiment:</w:t>
      </w:r>
      <w:r>
        <w:t xml:space="preserve"> </w:t>
      </w:r>
      <w:r>
        <w:t xml:space="preserve">firmer Friday, cautious on rates</w:t>
      </w:r>
      <w:r>
        <w:t xml:space="preserve">.</w:t>
      </w:r>
    </w:p>
    <w:p>
      <w:pPr>
        <w:numPr>
          <w:ilvl w:val="0"/>
          <w:numId w:val="1001"/>
        </w:numPr>
        <w:pStyle w:val="Compact"/>
      </w:pPr>
      <w:r>
        <w:t xml:space="preserve">Gold breaks above $4,600, silver tops $69</w:t>
      </w:r>
      <w:r>
        <w:t xml:space="preserve"> </w:t>
      </w:r>
      <w:r>
        <w:t xml:space="preserve">Spot gold climbed to a three-month high near</w:t>
      </w:r>
      <w:r>
        <w:t xml:space="preserve"> </w:t>
      </w:r>
      <w:r>
        <w:rPr>
          <w:bCs/>
          <w:b/>
        </w:rPr>
        <w:t xml:space="preserve">$4,603/oz</w:t>
      </w:r>
      <w:r>
        <w:t xml:space="preserve"> </w:t>
      </w:r>
      <w:r>
        <w:t xml:space="preserve">(intraday $4,622.81, +2.4%) and silver pushed past $69/oz before easing slightly to $68.97, extending the week's rally as renewed US fiscal-sustainability concerns following the Treasury's expanded long-bond buyback plan kept haven demand elevated even with Treasury yields still firm. Sources:</w:t>
      </w:r>
      <w:r>
        <w:t xml:space="preserve"> </w:t>
      </w:r>
      <w:hyperlink r:id="rId24">
        <w:r>
          <w:rPr>
            <w:rStyle w:val="Hyperlink"/>
          </w:rPr>
          <w:t xml:space="preserve">USAGOLD</w:t>
        </w:r>
      </w:hyperlink>
      <w:r>
        <w:t xml:space="preserve">,</w:t>
      </w:r>
      <w:r>
        <w:t xml:space="preserve"> </w:t>
      </w:r>
      <w:hyperlink r:id="rId25">
        <w:r>
          <w:rPr>
            <w:rStyle w:val="Hyperlink"/>
          </w:rPr>
          <w:t xml:space="preserve">Kitco</w:t>
        </w:r>
      </w:hyperlink>
      <w:r>
        <w:t xml:space="preserve">. Sentiment:</w:t>
      </w:r>
      <w:r>
        <w:t xml:space="preserve"> </w:t>
      </w:r>
      <w:r>
        <w:t xml:space="preserve">sharply firmer, haven demand</w:t>
      </w:r>
      <w:r>
        <w:t xml:space="preserve">.</w:t>
      </w:r>
    </w:p>
    <w:p>
      <w:pPr>
        <w:numPr>
          <w:ilvl w:val="0"/>
          <w:numId w:val="1001"/>
        </w:numPr>
        <w:pStyle w:val="Compact"/>
      </w:pPr>
      <w:r>
        <w:t xml:space="preserve">Oil firm on Hormuz risk</w:t>
      </w:r>
      <w:r>
        <w:t xml:space="preserve"> </w:t>
      </w:r>
      <w:r>
        <w:t xml:space="preserve">Brent held near</w:t>
      </w:r>
      <w:r>
        <w:t xml:space="preserve"> </w:t>
      </w:r>
      <w:r>
        <w:rPr>
          <w:bCs/>
          <w:b/>
        </w:rPr>
        <w:t xml:space="preserve">$94.4/bbl</w:t>
      </w:r>
      <w:r>
        <w:t xml:space="preserve"> </w:t>
      </w:r>
      <w:r>
        <w:t xml:space="preserve">and WTI near $87.3/bbl, both modestly higher on the session, as continued disruption to Strait of Hormuz shipping traffic kept a geopolitical risk premium in crude even as OPEC+ presses ahead with scheduled output increases. Sources:</w:t>
      </w:r>
      <w:r>
        <w:t xml:space="preserve"> </w:t>
      </w:r>
      <w:hyperlink r:id="rId26">
        <w:r>
          <w:rPr>
            <w:rStyle w:val="Hyperlink"/>
          </w:rPr>
          <w:t xml:space="preserve">Vantage Markets</w:t>
        </w:r>
      </w:hyperlink>
      <w:r>
        <w:t xml:space="preserve">,</w:t>
      </w:r>
      <w:r>
        <w:t xml:space="preserve"> </w:t>
      </w:r>
      <w:hyperlink r:id="rId27">
        <w:r>
          <w:rPr>
            <w:rStyle w:val="Hyperlink"/>
          </w:rPr>
          <w:t xml:space="preserve">Trading Economics</w:t>
        </w:r>
      </w:hyperlink>
      <w:r>
        <w:t xml:space="preserve">. Sentiment:</w:t>
      </w:r>
      <w:r>
        <w:t xml:space="preserve"> </w:t>
      </w:r>
      <w:r>
        <w:t xml:space="preserve">firm, geopolitically supported</w:t>
      </w:r>
      <w:r>
        <w:t xml:space="preserve">.</w:t>
      </w:r>
    </w:p>
    <w:p>
      <w:pPr>
        <w:numPr>
          <w:ilvl w:val="0"/>
          <w:numId w:val="1001"/>
        </w:numPr>
        <w:pStyle w:val="Compact"/>
      </w:pPr>
      <w:r>
        <w:t xml:space="preserve">GCC non-oil momentum holds despite Saudi GDP contraction</w:t>
      </w:r>
      <w:r>
        <w:t xml:space="preserve"> </w:t>
      </w:r>
      <w:r>
        <w:t xml:space="preserve">Saudi Arabia's non-oil private sector expanded for a fourth straight month in July (Riyad Bank PMI 53.1, easing from 53.3 in June) even after the kingdom posted its first quarterly GDP contraction since 2023 (Q2 real GDP −4.8% y/y) on Hormuz-linked oil-output curbs, while Kuwait's non-oil PMI rebounded sharply to 50.8 from June's 46.4; separately, PIF published its 2026-2030 strategy on 12 August, pivoting from rapid expansion toward "value realisation" with private-sector leadership in tourism, entertainment and advanced manufacturing. Sources:</w:t>
      </w:r>
      <w:r>
        <w:t xml:space="preserve"> </w:t>
      </w:r>
      <w:hyperlink r:id="rId28">
        <w:r>
          <w:rPr>
            <w:rStyle w:val="Hyperlink"/>
          </w:rPr>
          <w:t xml:space="preserve">AGBI</w:t>
        </w:r>
      </w:hyperlink>
      <w:r>
        <w:t xml:space="preserve">,</w:t>
      </w:r>
      <w:r>
        <w:t xml:space="preserve"> </w:t>
      </w:r>
      <w:hyperlink r:id="rId29">
        <w:r>
          <w:rPr>
            <w:rStyle w:val="Hyperlink"/>
          </w:rPr>
          <w:t xml:space="preserve">PIF</w:t>
        </w:r>
      </w:hyperlink>
      <w:r>
        <w:t xml:space="preserve">. Sentiment:</w:t>
      </w:r>
      <w:r>
        <w:t xml:space="preserve"> </w:t>
      </w:r>
      <w:r>
        <w:t xml:space="preserve">resilient but uneven</w:t>
      </w:r>
      <w:r>
        <w:t xml:space="preserve">.</w:t>
      </w:r>
    </w:p>
    <w:bookmarkEnd w:id="30"/>
    <w:bookmarkStart w:id="36"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The KSE-100 rebounded 574.76 points (0.33%) to close at</w:t>
      </w:r>
      <w:r>
        <w:t xml:space="preserve"> </w:t>
      </w:r>
      <w:r>
        <w:rPr>
          <w:bCs/>
          <w:b/>
        </w:rPr>
        <w:t xml:space="preserve">177,166.52</w:t>
      </w:r>
      <w:r>
        <w:t xml:space="preserve"> </w:t>
      </w:r>
      <w:r>
        <w:t xml:space="preserve">on Friday, recovering from an intraday low of 176,110.75 as value-hunting in oil &amp; gas names — Attock Refinery (+5.09%), OGDC (+1.99%), Hub Power (+1.25%) — offset drag from Thal Limited, United Bank and The Bank of Punjab; breadth turned positive (246 gainers vs 216 losers) on volume of 689.2m shares worth Rs35.66bn, with foreign investors modest net buyers (~Rs125m). July CPI eased to</w:t>
      </w:r>
      <w:r>
        <w:t xml:space="preserve"> </w:t>
      </w:r>
      <w:r>
        <w:rPr>
          <w:bCs/>
          <w:b/>
        </w:rPr>
        <w:t xml:space="preserve">9.2% y/y</w:t>
      </w:r>
      <w:r>
        <w:t xml:space="preserve"> </w:t>
      </w:r>
      <w:r>
        <w:t xml:space="preserve">from 11.1% in June, and the SBP held its policy rate at 11.5% for a second straight meeting, with 6-month KIBOR near 11.54/11.79% (bid/offer) as of 20 August. An</w:t>
      </w:r>
      <w:r>
        <w:t xml:space="preserve"> </w:t>
      </w:r>
      <w:hyperlink r:id="rId31">
        <w:r>
          <w:rPr>
            <w:rStyle w:val="Hyperlink"/>
          </w:rPr>
          <w:t xml:space="preserve">IMF mission is expected in September</w:t>
        </w:r>
      </w:hyperlink>
      <w:r>
        <w:t xml:space="preserve"> </w:t>
      </w:r>
      <w:r>
        <w:t xml:space="preserve">for the next EFF/RSF review, with roughly $1.2bn (about $1bn EFF plus $200m RSF) in view, contingent on fiscal consolidation, energy circular-debt reform and climate-linked benchmarks.</w:t>
      </w:r>
    </w:p>
    <w:bookmarkEnd w:id="32"/>
    <w:bookmarkStart w:id="34" w:name="b.-gcc-middle-east"/>
    <w:p>
      <w:pPr>
        <w:pStyle w:val="Heading3"/>
      </w:pPr>
      <w:r>
        <w:t xml:space="preserve">B. GCC &amp; Middle East</w:t>
      </w:r>
    </w:p>
    <w:p>
      <w:pPr>
        <w:pStyle w:val="FirstParagraph"/>
      </w:pPr>
      <w:r>
        <w:t xml:space="preserve">Brent held near</w:t>
      </w:r>
      <w:r>
        <w:t xml:space="preserve"> </w:t>
      </w:r>
      <w:r>
        <w:rPr>
          <w:bCs/>
          <w:b/>
        </w:rPr>
        <w:t xml:space="preserve">$94.4/bbl</w:t>
      </w:r>
      <w:r>
        <w:t xml:space="preserve"> </w:t>
      </w:r>
      <w:r>
        <w:t xml:space="preserve">and WTI near $87.3/bbl as Strait of Hormuz shipping disruption kept a geopolitical premium in crude, even as seven</w:t>
      </w:r>
      <w:r>
        <w:t xml:space="preserve"> </w:t>
      </w:r>
      <w:hyperlink r:id="rId33">
        <w:r>
          <w:rPr>
            <w:rStyle w:val="Hyperlink"/>
          </w:rPr>
          <w:t xml:space="preserve">OPEC+ members continue raising output by 188,000 bpd a month</w:t>
        </w:r>
      </w:hyperlink>
      <w:r>
        <w:t xml:space="preserve">. Saudi Arabia's non-oil private sector held a fourth straight month of expansion in July (Riyad Bank PMI 53.1) even after the kingdom's Q2 real GDP contracted 4.8% y/y — its first quarterly contraction since 2023 — on Hormuz-linked output curbs, while</w:t>
      </w:r>
      <w:r>
        <w:t xml:space="preserve"> </w:t>
      </w:r>
      <w:hyperlink r:id="rId28">
        <w:r>
          <w:rPr>
            <w:rStyle w:val="Hyperlink"/>
          </w:rPr>
          <w:t xml:space="preserve">Kuwait's non-oil PMI rebounded to 50.8</w:t>
        </w:r>
      </w:hyperlink>
      <w:r>
        <w:t xml:space="preserve"> </w:t>
      </w:r>
      <w:r>
        <w:t xml:space="preserve">from June's 46.4. Separately, the</w:t>
      </w:r>
      <w:r>
        <w:t xml:space="preserve"> </w:t>
      </w:r>
      <w:hyperlink r:id="rId29">
        <w:r>
          <w:rPr>
            <w:rStyle w:val="Hyperlink"/>
          </w:rPr>
          <w:t xml:space="preserve">PIF published its 2026-2030 strategy</w:t>
        </w:r>
      </w:hyperlink>
      <w:r>
        <w:t xml:space="preserve"> </w:t>
      </w:r>
      <w:r>
        <w:t xml:space="preserve">on 12 August, shifting from rapid expansion toward "value realisation" with deeper private-sector leadership across tourism, entertainment and advanced manufacturing — the medium-term diversification anchor even as elevated shipping and insurance costs weigh on regional trade.</w:t>
      </w:r>
    </w:p>
    <w:bookmarkEnd w:id="34"/>
    <w:bookmarkStart w:id="35" w:name="c.-global-intelligence"/>
    <w:p>
      <w:pPr>
        <w:pStyle w:val="Heading3"/>
      </w:pPr>
      <w:r>
        <w:t xml:space="preserve">C. Global Intelligence</w:t>
      </w:r>
    </w:p>
    <w:p>
      <w:pPr>
        <w:pStyle w:val="FirstParagraph"/>
      </w:pPr>
      <w:r>
        <w:t xml:space="preserve">Wall Street closed higher Friday — S&amp;P 500 +0.4% to 7,674.37, Dow +1.0% to 53,277.01, Nasdaq +0.4% to 26,180.45 — but all three indices still logged a weekly loss after a bond-market selloff pushed the 10-year Treasury yield to</w:t>
      </w:r>
      <w:r>
        <w:t xml:space="preserve"> </w:t>
      </w:r>
      <w:r>
        <w:rPr>
          <w:bCs/>
          <w:b/>
        </w:rPr>
        <w:t xml:space="preserve">4.74%</w:t>
      </w:r>
      <w:r>
        <w:t xml:space="preserve"> </w:t>
      </w:r>
      <w:r>
        <w:t xml:space="preserve">and the 2-year to roughly 4.18%, with the mid-week rally sparked by the US Treasury's expanded long-bond buyback plan fading as yields climbed back through Thursday and Friday. Fed Chair Kevin Warsh's hawkish tilt remains unmoved by the Treasury's intervention, keeping the tension between fiscal yield-management and monetary policy in focus ahead of the next FOMC meeting. Gold climbed to a three-month high near $4,603/oz (+~1.9%) on renewed fiscal-sustainability hedging, with silver near $68.97/oz, even as elevated yields argued against the rally on paper.</w:t>
      </w:r>
    </w:p>
    <w:bookmarkEnd w:id="35"/>
    <w:bookmarkEnd w:id="36"/>
    <w:bookmarkStart w:id="39"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r>
              <w:t xml:space="preserve">SBP holds its policy rate at 11.5% for a second consecutive meeting as</w:t>
            </w:r>
            <w:r>
              <w:t xml:space="preserve"> </w:t>
            </w:r>
            <w:hyperlink r:id="rId37">
              <w:r>
                <w:rPr>
                  <w:rStyle w:val="Hyperlink"/>
                </w:rPr>
                <w:t xml:space="preserve">July CPI eases to 9.2%</w:t>
              </w:r>
            </w:hyperlink>
            <w:r>
              <w:t xml:space="preserve"> </w:t>
            </w:r>
            <w:r>
              <w:t xml:space="preserve">from 11.1% in June; an</w:t>
            </w:r>
            <w:r>
              <w:t xml:space="preserve"> </w:t>
            </w:r>
            <w:hyperlink r:id="rId31">
              <w:r>
                <w:rPr>
                  <w:rStyle w:val="Hyperlink"/>
                </w:rPr>
                <w:t xml:space="preserve">IMF mission is expected in September</w:t>
              </w:r>
            </w:hyperlink>
            <w:r>
              <w:t xml:space="preserve"> </w:t>
            </w:r>
            <w:r>
              <w:t xml:space="preserve">for the next EFF/RSF review, with roughly $1.2bn in view.</w:t>
            </w:r>
          </w:p>
        </w:tc>
        <w:tc>
          <w:tcPr/>
          <w:p>
            <w:pPr>
              <w:pStyle w:val="Compact"/>
              <w:jc w:val="left"/>
            </w:pPr>
            <w:r>
              <w:t xml:space="preserve">Banks, Bonds, Exporters, IMF-linked sovereign risk</w:t>
            </w:r>
          </w:p>
        </w:tc>
        <w:tc>
          <w:tcPr/>
          <w:p>
            <w:pPr>
              <w:pStyle w:val="Compact"/>
              <w:jc w:val="left"/>
            </w:pPr>
            <w:r>
              <w:rPr>
                <w:bCs/>
                <w:b/>
              </w:rPr>
              <w:t xml:space="preserve">Wins:</w:t>
            </w:r>
            <w:r>
              <w:t xml:space="preserve"> </w:t>
            </w:r>
            <w:r>
              <w:t xml:space="preserve">depositors and fixed-income holders locking in elevated nominal yields, and exporters/importers if the ~$1.2bn IMF tranche clears on schedule.</w:t>
            </w:r>
            <w:r>
              <w:t xml:space="preserve"> </w:t>
            </w:r>
            <w:r>
              <w:rPr>
                <w:bCs/>
                <w:b/>
              </w:rPr>
              <w:t xml:space="preserve">Loses:</w:t>
            </w:r>
            <w:r>
              <w:t xml:space="preserve"> </w:t>
            </w:r>
            <w:r>
              <w:t xml:space="preserve">leveraged borrowers and rate-sensitive sectors (autos, cement, construction) still facing 11.5% financing costs with no near-term relief signalled.</w:t>
            </w:r>
          </w:p>
        </w:tc>
      </w:tr>
      <w:tr>
        <w:tc>
          <w:tcPr/>
          <w:p>
            <w:pPr>
              <w:pStyle w:val="Compact"/>
              <w:jc w:val="left"/>
            </w:pPr>
            <w:r>
              <w:rPr>
                <w:bCs/>
                <w:b/>
              </w:rPr>
              <w:t xml:space="preserve">Regional — GCC</w:t>
            </w:r>
          </w:p>
        </w:tc>
        <w:tc>
          <w:tcPr/>
          <w:p>
            <w:pPr>
              <w:pStyle w:val="Compact"/>
              <w:jc w:val="left"/>
            </w:pPr>
            <w:r>
              <w:t xml:space="preserve">Seven OPEC+ members continue an output hike of 188,000 bpd a month even as Hormuz shipping disruption caps actual barrels moved; the</w:t>
            </w:r>
            <w:r>
              <w:t xml:space="preserve"> </w:t>
            </w:r>
            <w:hyperlink r:id="rId29">
              <w:r>
                <w:rPr>
                  <w:rStyle w:val="Hyperlink"/>
                </w:rPr>
                <w:t xml:space="preserve">PIF published its 2026-2030 strategy</w:t>
              </w:r>
            </w:hyperlink>
            <w:r>
              <w:t xml:space="preserve"> </w:t>
            </w:r>
            <w:r>
              <w:t xml:space="preserve">on 12 August, pivoting to private-sector-led "value realisation".</w:t>
            </w:r>
          </w:p>
        </w:tc>
        <w:tc>
          <w:tcPr/>
          <w:p>
            <w:pPr>
              <w:pStyle w:val="Compact"/>
              <w:jc w:val="left"/>
            </w:pPr>
            <w:r>
              <w:t xml:space="preserve">Energy, Oil exporters, Tourism/PIF portfolio, Shipping/Insurance</w:t>
            </w:r>
          </w:p>
        </w:tc>
        <w:tc>
          <w:tcPr/>
          <w:p>
            <w:pPr>
              <w:pStyle w:val="Compact"/>
              <w:jc w:val="left"/>
            </w:pPr>
            <w:r>
              <w:rPr>
                <w:bCs/>
                <w:b/>
              </w:rPr>
              <w:t xml:space="preserve">Wins:</w:t>
            </w:r>
            <w:r>
              <w:t xml:space="preserve"> </w:t>
            </w:r>
            <w:r>
              <w:t xml:space="preserve">Gulf budgets and oil exporters via a firm Hormuz risk premium in crude, and PIF-linked tourism, entertainment and advanced-manufacturing names under the new private-sector-led strategy.</w:t>
            </w:r>
            <w:r>
              <w:t xml:space="preserve"> </w:t>
            </w:r>
            <w:r>
              <w:rPr>
                <w:bCs/>
                <w:b/>
              </w:rPr>
              <w:t xml:space="preserve">Loses:</w:t>
            </w:r>
            <w:r>
              <w:t xml:space="preserve"> </w:t>
            </w:r>
            <w:r>
              <w:t xml:space="preserve">Saudi Arabia's broader economy, which posted its first quarterly GDP contraction since 2023 (Q2 −4.8% y/y) on Hormuz-linked output curbs, and shippers/insurers exposed to the ongoing transit disruption.</w:t>
            </w:r>
          </w:p>
        </w:tc>
      </w:tr>
      <w:tr>
        <w:tc>
          <w:tcPr/>
          <w:p>
            <w:pPr>
              <w:pStyle w:val="Compact"/>
              <w:jc w:val="left"/>
            </w:pPr>
            <w:r>
              <w:rPr>
                <w:bCs/>
                <w:b/>
              </w:rPr>
              <w:t xml:space="preserve">Global</w:t>
            </w:r>
          </w:p>
        </w:tc>
        <w:tc>
          <w:tcPr/>
          <w:p>
            <w:pPr>
              <w:pStyle w:val="Compact"/>
              <w:jc w:val="left"/>
            </w:pPr>
            <w:r>
              <w:t xml:space="preserve">Fed Chair Kevin Warsh's hawkish policy tilt remains intact even after the</w:t>
            </w:r>
            <w:r>
              <w:t xml:space="preserve"> </w:t>
            </w:r>
            <w:hyperlink r:id="rId38">
              <w:r>
                <w:rPr>
                  <w:rStyle w:val="Hyperlink"/>
                </w:rPr>
                <w:t xml:space="preserve">US Treasury's expanded long-bond buyback plan</w:t>
              </w:r>
            </w:hyperlink>
            <w:r>
              <w:t xml:space="preserve"> </w:t>
            </w:r>
            <w:r>
              <w:t xml:space="preserve">briefly pulled yields off multi-decade highs mid-week, with the 10-year climbing back to 4.74% by Friday as the intervention's effect faded.</w:t>
            </w:r>
          </w:p>
        </w:tc>
        <w:tc>
          <w:tcPr/>
          <w:p>
            <w:pPr>
              <w:pStyle w:val="Compact"/>
              <w:jc w:val="left"/>
            </w:pPr>
            <w:r>
              <w:t xml:space="preserve">Rates, Duration assets, USD, Gold</w:t>
            </w:r>
          </w:p>
        </w:tc>
        <w:tc>
          <w:tcPr/>
          <w:p>
            <w:pPr>
              <w:pStyle w:val="Compact"/>
              <w:jc w:val="left"/>
            </w:pPr>
            <w:r>
              <w:rPr>
                <w:bCs/>
                <w:b/>
              </w:rPr>
              <w:t xml:space="preserve">Wins:</w:t>
            </w:r>
            <w:r>
              <w:t xml:space="preserve"> </w:t>
            </w:r>
            <w:r>
              <w:t xml:space="preserve">gold and other haven/duration assets on renewed fiscal-sustainability hedging demand; borrowers if the Treasury's buyback strategy eventually caps long-end yields.</w:t>
            </w:r>
            <w:r>
              <w:t xml:space="preserve"> </w:t>
            </w:r>
            <w:r>
              <w:rPr>
                <w:bCs/>
                <w:b/>
              </w:rPr>
              <w:t xml:space="preserve">Loses:</w:t>
            </w:r>
            <w:r>
              <w:t xml:space="preserve"> </w:t>
            </w:r>
            <w:r>
              <w:t xml:space="preserve">the Fed-independence narrative as Treasury's yield-management intervention faded within days, and risk assets exposed to a resumption of the yield climb under Warsh's unmoved hawkish stance.</w:t>
            </w:r>
          </w:p>
        </w:tc>
      </w:tr>
    </w:tbl>
    <w:bookmarkEnd w:id="39"/>
    <w:bookmarkStart w:id="40"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176,100</w:t>
      </w:r>
    </w:p>
    <w:p>
      <w:pPr>
        <w:pStyle w:val="BodyText"/>
      </w:pPr>
      <w:r>
        <w:t xml:space="preserve">Friday's intraday low (176,110.75); deeper support at 175,000</w:t>
      </w:r>
    </w:p>
    <w:p>
      <w:pPr>
        <w:pStyle w:val="BodyText"/>
      </w:pPr>
      <w:r>
        <w:t xml:space="preserve">Pivot</w:t>
      </w:r>
      <w:r>
        <w:t xml:space="preserve"> </w:t>
      </w:r>
      <w:r>
        <w:t xml:space="preserve">EST.</w:t>
      </w:r>
    </w:p>
    <w:p>
      <w:pPr>
        <w:pStyle w:val="BodyText"/>
      </w:pPr>
      <w:r>
        <w:t xml:space="preserve">177,167</w:t>
      </w:r>
    </w:p>
    <w:p>
      <w:pPr>
        <w:pStyle w:val="BodyText"/>
      </w:pPr>
      <w:r>
        <w:t xml:space="preserve">Friday's close (177,166.52)</w:t>
      </w:r>
    </w:p>
    <w:p>
      <w:pPr>
        <w:pStyle w:val="BodyText"/>
      </w:pPr>
      <w:r>
        <w:t xml:space="preserve">Resistance</w:t>
      </w:r>
      <w:r>
        <w:t xml:space="preserve"> </w:t>
      </w:r>
      <w:r>
        <w:t xml:space="preserve">EST.</w:t>
      </w:r>
    </w:p>
    <w:p>
      <w:pPr>
        <w:pStyle w:val="BodyText"/>
      </w:pPr>
      <w:r>
        <w:t xml:space="preserve">178,000</w:t>
      </w:r>
    </w:p>
    <w:p>
      <w:pPr>
        <w:pStyle w:val="BodyText"/>
      </w:pPr>
      <w:r>
        <w:t xml:space="preserve">top of the near-term 178,000–180,000 resistance zone flagged by desk coverage</w:t>
      </w:r>
    </w:p>
    <w:p>
      <w:pPr>
        <w:pStyle w:val="BodyText"/>
      </w:pPr>
      <w:r>
        <w:t xml:space="preserve">We read Friday's rebound as constructive but narrow — the recovery was concentrated in oil &amp; gas names on value-hunting rather than broad-based conviction, and it came against a backdrop of Treasury yields climbing back toward Wednesday's highs after the buyback-driven relief proved short-lived. That argues for a</w:t>
      </w:r>
      <w:r>
        <w:t xml:space="preserve"> </w:t>
      </w:r>
      <w:r>
        <w:rPr>
          <w:bCs/>
          <w:b/>
        </w:rPr>
        <w:t xml:space="preserve">cautiously constructive stance</w:t>
      </w:r>
      <w:r>
        <w:t xml:space="preserve">, watching whether the index can build on the 176,100–177,200 band; a clean break above 178,000 would open a run at 180,000, while a slip back under 176,100 would negate the rebound. Confirmation of the September IMF mission timeline and any further Treasury yield-management signals are the cleanest catalysts from here.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propakistani.pk/2026/08/11/pakistan-eyes-1-2-billion-tranche-as-crucial-imf-review-talks-set-for-next-month/amp/" TargetMode="External" /><Relationship Type="http://schemas.openxmlformats.org/officeDocument/2006/relationships/hyperlink" Id="rId27" Target="https://tradingeconomics.com/commodity/brent-crude-oil" TargetMode="External" /><Relationship Type="http://schemas.openxmlformats.org/officeDocument/2006/relationships/hyperlink" Id="rId20" Target="https://tribune.com.pk/story/2625172/led-by-energy-stocks-psx-gains-575-points" TargetMode="External" /><Relationship Type="http://schemas.openxmlformats.org/officeDocument/2006/relationships/hyperlink" Id="rId28" Target="https://www.agbi.com/economy/2026/08/saudi-arabia-sustains-non-oil-growth-and-kuwait-rebounds/" TargetMode="External" /><Relationship Type="http://schemas.openxmlformats.org/officeDocument/2006/relationships/hyperlink" Id="rId33" Target="https://www.aljazeera.com/economy/2026/7/6/opec-countries-say-they-will-expand-monthly-oil-production" TargetMode="External" /><Relationship Type="http://schemas.openxmlformats.org/officeDocument/2006/relationships/hyperlink" Id="rId37" Target="https://www.brecorder.com/news/40432859/pakistan-inflation-clocks-in-at-92-in-july-2026" TargetMode="External" /><Relationship Type="http://schemas.openxmlformats.org/officeDocument/2006/relationships/hyperlink" Id="rId21" Target="https://www.brecorder.com/news/40435915/kse-100-index-gains-575-points-as-buying-returns-to-psx" TargetMode="External" /><Relationship Type="http://schemas.openxmlformats.org/officeDocument/2006/relationships/hyperlink" Id="rId38" Target="https://www.cnbc.com/2026/08/19/bessent-treasury-buybacks-yields-warsh-fed.html" TargetMode="External" /><Relationship Type="http://schemas.openxmlformats.org/officeDocument/2006/relationships/hyperlink" Id="rId25" Target="https://www.kitco.com/news/article/2026-08-21/gold-silver-extend-rally-dollar-slide-offsets-higher-yields-kitco-pm-report" TargetMode="External" /><Relationship Type="http://schemas.openxmlformats.org/officeDocument/2006/relationships/hyperlink" Id="rId29" Target="https://www.pif.gov.sa/en/news-and-insights/press-releases/2026/chaired-by-hrh-crown-prince-pif-board-of-directors-approves-pif-2026-2030-strategy/" TargetMode="External" /><Relationship Type="http://schemas.openxmlformats.org/officeDocument/2006/relationships/hyperlink" Id="rId22" Target="https://www.theglobeandmail.com/investing/markets/commodities/UDU22/pressreleases/3976572/how-major-us-stock-indexes-fared-friday-8-21-2026/" TargetMode="External" /><Relationship Type="http://schemas.openxmlformats.org/officeDocument/2006/relationships/hyperlink" Id="rId23" Target="https://www.thestreet.com/stock-market-today/stock-market-today-dow-jones-sp-500-nasdaq-updates-aug-21-2026" TargetMode="External" /><Relationship Type="http://schemas.openxmlformats.org/officeDocument/2006/relationships/hyperlink" Id="rId24" Target="https://www.usagold.com/daily-precious-metals-market-report-august-21-2026/" TargetMode="External" /><Relationship Type="http://schemas.openxmlformats.org/officeDocument/2006/relationships/hyperlink" Id="rId26" Target="https://www.vantagemarkets.com/market-analysis/brent-crude-wti-oil-price-today-august-21-2026/" TargetMode="External" /></Relationships>
</file>

<file path=word/_rels/footnotes.xml.rels><?xml version="1.0" encoding="UTF-8"?><Relationships xmlns="http://schemas.openxmlformats.org/package/2006/relationships"><Relationship Type="http://schemas.openxmlformats.org/officeDocument/2006/relationships/hyperlink" Id="rId31" Target="https://propakistani.pk/2026/08/11/pakistan-eyes-1-2-billion-tranche-as-crucial-imf-review-talks-set-for-next-month/amp/" TargetMode="External" /><Relationship Type="http://schemas.openxmlformats.org/officeDocument/2006/relationships/hyperlink" Id="rId27" Target="https://tradingeconomics.com/commodity/brent-crude-oil" TargetMode="External" /><Relationship Type="http://schemas.openxmlformats.org/officeDocument/2006/relationships/hyperlink" Id="rId20" Target="https://tribune.com.pk/story/2625172/led-by-energy-stocks-psx-gains-575-points" TargetMode="External" /><Relationship Type="http://schemas.openxmlformats.org/officeDocument/2006/relationships/hyperlink" Id="rId28" Target="https://www.agbi.com/economy/2026/08/saudi-arabia-sustains-non-oil-growth-and-kuwait-rebounds/" TargetMode="External" /><Relationship Type="http://schemas.openxmlformats.org/officeDocument/2006/relationships/hyperlink" Id="rId33" Target="https://www.aljazeera.com/economy/2026/7/6/opec-countries-say-they-will-expand-monthly-oil-production" TargetMode="External" /><Relationship Type="http://schemas.openxmlformats.org/officeDocument/2006/relationships/hyperlink" Id="rId37" Target="https://www.brecorder.com/news/40432859/pakistan-inflation-clocks-in-at-92-in-july-2026" TargetMode="External" /><Relationship Type="http://schemas.openxmlformats.org/officeDocument/2006/relationships/hyperlink" Id="rId21" Target="https://www.brecorder.com/news/40435915/kse-100-index-gains-575-points-as-buying-returns-to-psx" TargetMode="External" /><Relationship Type="http://schemas.openxmlformats.org/officeDocument/2006/relationships/hyperlink" Id="rId38" Target="https://www.cnbc.com/2026/08/19/bessent-treasury-buybacks-yields-warsh-fed.html" TargetMode="External" /><Relationship Type="http://schemas.openxmlformats.org/officeDocument/2006/relationships/hyperlink" Id="rId25" Target="https://www.kitco.com/news/article/2026-08-21/gold-silver-extend-rally-dollar-slide-offsets-higher-yields-kitco-pm-report" TargetMode="External" /><Relationship Type="http://schemas.openxmlformats.org/officeDocument/2006/relationships/hyperlink" Id="rId29" Target="https://www.pif.gov.sa/en/news-and-insights/press-releases/2026/chaired-by-hrh-crown-prince-pif-board-of-directors-approves-pif-2026-2030-strategy/" TargetMode="External" /><Relationship Type="http://schemas.openxmlformats.org/officeDocument/2006/relationships/hyperlink" Id="rId22" Target="https://www.theglobeandmail.com/investing/markets/commodities/UDU22/pressreleases/3976572/how-major-us-stock-indexes-fared-friday-8-21-2026/" TargetMode="External" /><Relationship Type="http://schemas.openxmlformats.org/officeDocument/2006/relationships/hyperlink" Id="rId23" Target="https://www.thestreet.com/stock-market-today/stock-market-today-dow-jones-sp-500-nasdaq-updates-aug-21-2026" TargetMode="External" /><Relationship Type="http://schemas.openxmlformats.org/officeDocument/2006/relationships/hyperlink" Id="rId24" Target="https://www.usagold.com/daily-precious-metals-market-report-august-21-2026/" TargetMode="External" /><Relationship Type="http://schemas.openxmlformats.org/officeDocument/2006/relationships/hyperlink" Id="rId26" Target="https://www.vantagemarkets.com/market-analysis/brent-crude-wti-oil-price-today-august-21-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Monday, 24 August 2026</dc:title>
  <dc:creator/>
  <dc:language>en</dc:language>
  <cp:keywords/>
  <dcterms:created xsi:type="dcterms:W3CDTF">2026-08-24T02:47:36Z</dcterms:created>
  <dcterms:modified xsi:type="dcterms:W3CDTF">2026-08-24T02:47:36Z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