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Economic</w:t>
      </w:r>
      <w:r>
        <w:t xml:space="preserve"> </w:t>
      </w:r>
      <w:r>
        <w:t xml:space="preserve">Vibes</w:t>
      </w:r>
      <w:r>
        <w:t xml:space="preserve"> </w:t>
      </w:r>
      <w:r>
        <w:t xml:space="preserve">—</w:t>
      </w:r>
      <w:r>
        <w:t xml:space="preserve"> </w:t>
      </w:r>
      <w:r>
        <w:t xml:space="preserve">Morning</w:t>
      </w:r>
      <w:r>
        <w:t xml:space="preserve"> </w:t>
      </w:r>
      <w:r>
        <w:t xml:space="preserve">Brief</w:t>
      </w:r>
      <w:r>
        <w:t xml:space="preserve"> </w:t>
      </w:r>
      <w:r>
        <w:t xml:space="preserve">·</w:t>
      </w:r>
      <w:r>
        <w:t xml:space="preserve"> </w:t>
      </w:r>
      <w:r>
        <w:t xml:space="preserve">Wednesday,</w:t>
      </w:r>
      <w:r>
        <w:t xml:space="preserve"> </w:t>
      </w:r>
      <w:r>
        <w:t xml:space="preserve">05</w:t>
      </w:r>
      <w:r>
        <w:t xml:space="preserve"> </w:t>
      </w:r>
      <w:r>
        <w:t xml:space="preserve">August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ContexAi — Economic Vibes · A ContexAi Research Product · contexai.org · Delivered ~06:30 AM PKT · WhatsApp Channel: Economic Vibes</w:t>
      </w:r>
    </w:p>
    <w:p>
      <w:pPr>
        <w:pStyle w:val="BodyText"/>
      </w:pPr>
      <w:r>
        <w:t xml:space="preserve">ContexAi Group</w:t>
      </w:r>
      <w:r>
        <w:t xml:space="preserve">|</w:t>
      </w:r>
      <w:r>
        <w:t xml:space="preserve">Economic Vibes — Morning Brief</w:t>
      </w:r>
    </w:p>
    <w:p>
      <w:pPr>
        <w:pStyle w:val="BodyText"/>
      </w:pPr>
      <w:r>
        <w:rPr>
          <w:bCs/>
          <w:b/>
        </w:rPr>
        <w:t xml:space="preserve">Wednesday, 05 August 2026</w:t>
      </w:r>
      <w:r>
        <w:br/>
      </w:r>
      <w:r>
        <w:t xml:space="preserve">Morning Edition · PKT</w:t>
      </w:r>
    </w:p>
    <w:p>
      <w:pPr>
        <w:pStyle w:val="BodyText"/>
      </w:pPr>
      <w:r>
        <w:t xml:space="preserve">ContexAi Research Desk · Sourced via Reuters, CNBC, Business Recorder, Express Tribune, Mettis Global, AGBI, Gulf News, S&amp;P Global, Kitco, SBP &amp; Regulatory Trackers · For the C-Suite &amp; HNW Investor ·</w:t>
      </w:r>
      <w:r>
        <w:t xml:space="preserve"> </w:t>
      </w:r>
      <w:r>
        <w:rPr>
          <w:bCs/>
          <w:b/>
        </w:rPr>
        <w:t xml:space="preserve">V</w:t>
      </w:r>
      <w:r>
        <w:t xml:space="preserve"> </w:t>
      </w:r>
      <w:r>
        <w:t xml:space="preserve">= verified vs licensed media/official portal ·</w:t>
      </w:r>
      <w:r>
        <w:t xml:space="preserve"> </w:t>
      </w:r>
      <w:r>
        <w:rPr>
          <w:bCs/>
          <w:b/>
        </w:rPr>
        <w:t xml:space="preserve">EST.</w:t>
      </w:r>
      <w:r>
        <w:t xml:space="preserve"> </w:t>
      </w:r>
      <w:r>
        <w:t xml:space="preserve">= ContexAi desk estimate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KSE-100</w:t>
      </w:r>
      <w:r>
        <w:t xml:space="preserve"> </w:t>
      </w:r>
      <w:r>
        <w:t xml:space="preserve">V</w:t>
      </w:r>
    </w:p>
    <w:p>
      <w:pPr>
        <w:pStyle w:val="BodyText"/>
      </w:pPr>
      <w:r>
        <w:t xml:space="preserve">177,083</w:t>
      </w:r>
    </w:p>
    <w:p>
      <w:pPr>
        <w:pStyle w:val="BodyText"/>
      </w:pPr>
      <w:r>
        <w:t xml:space="preserve">▼ 0.63% Tue · −1,117 pts</w:t>
      </w:r>
    </w:p>
    <w:p>
      <w:pPr>
        <w:pStyle w:val="BodyText"/>
      </w:pPr>
      <w:r>
        <w:t xml:space="preserve">S&amp;P 500</w:t>
      </w:r>
      <w:r>
        <w:t xml:space="preserve"> </w:t>
      </w:r>
      <w:r>
        <w:t xml:space="preserve">V</w:t>
      </w:r>
    </w:p>
    <w:p>
      <w:pPr>
        <w:pStyle w:val="BodyText"/>
      </w:pPr>
      <w:r>
        <w:t xml:space="preserve">▲ 1.79%</w:t>
      </w:r>
    </w:p>
    <w:p>
      <w:pPr>
        <w:pStyle w:val="BodyText"/>
      </w:pPr>
      <w:r>
        <w:t xml:space="preserve">Nasdaq +2.59% · Dow +1.71%</w:t>
      </w:r>
    </w:p>
    <w:p>
      <w:pPr>
        <w:pStyle w:val="BodyText"/>
      </w:pPr>
      <w:r>
        <w:t xml:space="preserve">US 10Y / 2Y</w:t>
      </w:r>
      <w:r>
        <w:t xml:space="preserve"> </w:t>
      </w:r>
      <w:r>
        <w:t xml:space="preserve">V</w:t>
      </w:r>
    </w:p>
    <w:p>
      <w:pPr>
        <w:pStyle w:val="BodyText"/>
      </w:pPr>
      <w:r>
        <w:t xml:space="preserve">4.63 / 4.21</w:t>
      </w:r>
    </w:p>
    <w:p>
      <w:pPr>
        <w:pStyle w:val="BodyText"/>
      </w:pPr>
      <w:r>
        <w:t xml:space="preserve">Warsh hold · Sept hike odds rising</w:t>
      </w:r>
    </w:p>
    <w:p>
      <w:pPr>
        <w:pStyle w:val="BodyText"/>
      </w:pPr>
      <w:r>
        <w:t xml:space="preserve">Brent / WTI</w:t>
      </w:r>
      <w:r>
        <w:t xml:space="preserve"> </w:t>
      </w:r>
      <w:r>
        <w:t xml:space="preserve">V</w:t>
      </w:r>
    </w:p>
    <w:p>
      <w:pPr>
        <w:pStyle w:val="BodyText"/>
      </w:pPr>
      <w:r>
        <w:t xml:space="preserve">$78.87 / $76.50</w:t>
      </w:r>
    </w:p>
    <w:p>
      <w:pPr>
        <w:pStyle w:val="BodyText"/>
      </w:pPr>
      <w:r>
        <w:t xml:space="preserve">▼ 5%+ · Hormuz hopes</w:t>
      </w:r>
    </w:p>
    <w:p>
      <w:pPr>
        <w:pStyle w:val="BodyText"/>
      </w:pPr>
      <w:r>
        <w:t xml:space="preserve">Gold</w:t>
      </w:r>
      <w:r>
        <w:t xml:space="preserve"> </w:t>
      </w:r>
      <w:r>
        <w:t xml:space="preserve">V</w:t>
      </w:r>
    </w:p>
    <w:p>
      <w:pPr>
        <w:pStyle w:val="BodyText"/>
      </w:pPr>
      <w:r>
        <w:t xml:space="preserve">$4,076</w:t>
      </w:r>
    </w:p>
    <w:p>
      <w:pPr>
        <w:pStyle w:val="BodyText"/>
      </w:pPr>
      <w:r>
        <w:t xml:space="preserve">+0.5% · silver $58.74</w:t>
      </w:r>
    </w:p>
    <w:p>
      <w:pPr>
        <w:pStyle w:val="BodyText"/>
      </w:pPr>
      <w:r>
        <w:t xml:space="preserve">USD/PKR</w:t>
      </w:r>
      <w:r>
        <w:t xml:space="preserve"> </w:t>
      </w:r>
      <w:r>
        <w:t xml:space="preserve">V</w:t>
      </w:r>
    </w:p>
    <w:p>
      <w:pPr>
        <w:pStyle w:val="BodyText"/>
      </w:pPr>
      <w:r>
        <w:t xml:space="preserve">278.25</w:t>
      </w:r>
    </w:p>
    <w:p>
      <w:pPr>
        <w:pStyle w:val="BodyText"/>
      </w:pPr>
      <w:r>
        <w:t xml:space="preserve">interbank · steady</w:t>
      </w:r>
    </w:p>
    <w:bookmarkStart w:id="30" w:name="X931b5a47ae4f286c693f0c27fa86217237ab988"/>
    <w:p>
      <w:pPr>
        <w:pStyle w:val="Heading2"/>
      </w:pPr>
      <w:r>
        <w:t xml:space="preserve">01</w:t>
      </w:r>
      <w:r>
        <w:t xml:space="preserve">Five Things You Need To Know To Start Your Day</w:t>
      </w:r>
    </w:p>
    <w:p>
      <w:pPr>
        <w:numPr>
          <w:ilvl w:val="0"/>
          <w:numId w:val="1001"/>
        </w:numPr>
        <w:pStyle w:val="Compact"/>
      </w:pPr>
      <w:r>
        <w:t xml:space="preserve">Wall Street Records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S&amp;P 500 (+1.79% to 7,736.52)</w:t>
      </w:r>
      <w:r>
        <w:t xml:space="preserve">,</w:t>
      </w:r>
      <w:r>
        <w:t xml:space="preserve"> </w:t>
      </w:r>
      <w:r>
        <w:rPr>
          <w:bCs/>
          <w:b/>
        </w:rPr>
        <w:t xml:space="preserve">Dow (+1.71% to 54,085.88, above 54,000 for the first time)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Nasdaq (+2.59% to 26,584.99)</w:t>
      </w:r>
      <w:r>
        <w:t xml:space="preserve"> </w:t>
      </w:r>
      <w:r>
        <w:t xml:space="preserve">all closed at records on Tuesday as easing US-Iran tensions over the Strait of Hormuz and a tech rebound drove the strongest rally in months (</w:t>
      </w:r>
      <w:hyperlink r:id="rId20">
        <w:r>
          <w:rPr>
            <w:rStyle w:val="Hyperlink"/>
          </w:rPr>
          <w:t xml:space="preserve">CNN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CNBC</w:t>
        </w:r>
      </w:hyperlink>
      <w:r>
        <w:t xml:space="preserve">). Sentiment:</w:t>
      </w:r>
      <w:r>
        <w:t xml:space="preserve"> </w:t>
      </w:r>
      <w:r>
        <w:t xml:space="preserve">broadly firmer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PSX Profit-Taking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KSE-100 fell 0.63% to 177,083.22</w:t>
      </w:r>
      <w:r>
        <w:t xml:space="preserve"> </w:t>
      </w:r>
      <w:r>
        <w:t xml:space="preserve">(−1,116.80 pts), giving back part of Monday's rally as institutional selling hit banks, E&amp;P and cement names — breadth turned negative at 161 advancers vs 295 decliners on 711.3m shares (Rs25.9bn) (</w:t>
      </w:r>
      <w:hyperlink r:id="rId22">
        <w:r>
          <w:rPr>
            <w:rStyle w:val="Hyperlink"/>
          </w:rPr>
          <w:t xml:space="preserve">Express Tribune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Trading Economics</w:t>
        </w:r>
      </w:hyperlink>
      <w:r>
        <w:t xml:space="preserve">). Sentiment:</w:t>
      </w:r>
      <w:r>
        <w:t xml:space="preserve"> </w:t>
      </w:r>
      <w:r>
        <w:t xml:space="preserve">consolidating after a rally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Oil Slides on Hormuz Hopes</w:t>
      </w:r>
      <w:r>
        <w:t xml:space="preserve"> </w:t>
      </w:r>
      <w:r>
        <w:rPr>
          <w:bCs/>
          <w:b/>
        </w:rPr>
        <w:t xml:space="preserve">Brent (−5.9% to $78.87)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WTI (down over 5%, trading $76.60–$82.32)</w:t>
      </w:r>
      <w:r>
        <w:t xml:space="preserve"> </w:t>
      </w:r>
      <w:r>
        <w:t xml:space="preserve">tumbled as diplomacy hopes eased Strait of Hormuz supply risk, even as seven OPEC+ producers layered on 188,000 bpd of extra August supply (</w:t>
      </w:r>
      <w:hyperlink r:id="rId24">
        <w:r>
          <w:rPr>
            <w:rStyle w:val="Hyperlink"/>
          </w:rPr>
          <w:t xml:space="preserve">Trading Economics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Saudi Gazette</w:t>
        </w:r>
      </w:hyperlink>
      <w:r>
        <w:t xml:space="preserve">). Sentiment:</w:t>
      </w:r>
      <w:r>
        <w:t xml:space="preserve"> </w:t>
      </w:r>
      <w:r>
        <w:t xml:space="preserve">disinflationary for importers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Gold Firm, Fed Murky</w:t>
      </w:r>
      <w:r>
        <w:t xml:space="preserve"> </w:t>
      </w:r>
      <w:r>
        <w:rPr>
          <w:bCs/>
          <w:b/>
        </w:rPr>
        <w:t xml:space="preserve">Gold held near $4,076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silver near $58.74</w:t>
      </w:r>
      <w:r>
        <w:t xml:space="preserve"> </w:t>
      </w:r>
      <w:r>
        <w:t xml:space="preserve">as Fed Chair Kevin Warsh's hawkish-tinted 29 July hold (FOMC voted 9-3 to stand pat) left markets pricing rising odds of a September</w:t>
      </w:r>
      <w:r>
        <w:t xml:space="preserve"> </w:t>
      </w:r>
      <w:r>
        <w:rPr>
          <w:iCs/>
          <w:i/>
        </w:rPr>
        <w:t xml:space="preserve">hike</w:t>
      </w:r>
      <w:r>
        <w:t xml:space="preserve"> </w:t>
      </w:r>
      <w:r>
        <w:t xml:space="preserve">rather than a cut (</w:t>
      </w:r>
      <w:hyperlink r:id="rId26">
        <w:r>
          <w:rPr>
            <w:rStyle w:val="Hyperlink"/>
          </w:rPr>
          <w:t xml:space="preserve">CNBC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Trading Economics</w:t>
        </w:r>
      </w:hyperlink>
      <w:r>
        <w:t xml:space="preserve">). Sentiment:</w:t>
      </w:r>
      <w:r>
        <w:t xml:space="preserve"> </w:t>
      </w:r>
      <w:r>
        <w:t xml:space="preserve">cautiously firm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Pakistan Macro Easing</w:t>
      </w:r>
      <w:r>
        <w:t xml:space="preserve"> </w:t>
      </w:r>
      <w:r>
        <w:rPr>
          <w:bCs/>
          <w:b/>
        </w:rPr>
        <w:t xml:space="preserve">CPI eased to 9.2% YoY in July</w:t>
      </w:r>
      <w:r>
        <w:t xml:space="preserve"> </w:t>
      </w:r>
      <w:r>
        <w:t xml:space="preserve">from 11.1% in June, giving the</w:t>
      </w:r>
      <w:r>
        <w:t xml:space="preserve"> </w:t>
      </w:r>
      <w:r>
        <w:rPr>
          <w:bCs/>
          <w:b/>
        </w:rPr>
        <w:t xml:space="preserve">SBP room to hold its policy rate at 11.5%</w:t>
      </w:r>
      <w:r>
        <w:t xml:space="preserve"> </w:t>
      </w:r>
      <w:r>
        <w:t xml:space="preserve">for a second straight meeting, while Gulf non-oil PMIs (Saudi 53.1) stayed comfortably expansionary even as the UAE's cooled toward a multi-year low (</w:t>
      </w:r>
      <w:hyperlink r:id="rId28">
        <w:r>
          <w:rPr>
            <w:rStyle w:val="Hyperlink"/>
          </w:rPr>
          <w:t xml:space="preserve">Business Recorder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Semafor</w:t>
        </w:r>
      </w:hyperlink>
      <w:r>
        <w:t xml:space="preserve">). Sentiment:</w:t>
      </w:r>
      <w:r>
        <w:t xml:space="preserve"> </w:t>
      </w:r>
      <w:r>
        <w:t xml:space="preserve">improving macro backdrop</w:t>
      </w:r>
      <w:r>
        <w:t xml:space="preserve">.</w:t>
      </w:r>
    </w:p>
    <w:bookmarkEnd w:id="30"/>
    <w:bookmarkStart w:id="39" w:name="regional-market-economic-matrix"/>
    <w:p>
      <w:pPr>
        <w:pStyle w:val="Heading2"/>
      </w:pPr>
      <w:r>
        <w:t xml:space="preserve">02</w:t>
      </w:r>
      <w:r>
        <w:t xml:space="preserve">Regional Market &amp; Economic Matrix</w:t>
      </w:r>
    </w:p>
    <w:bookmarkStart w:id="33" w:name="a.-local-market-pakistan-focus"/>
    <w:p>
      <w:pPr>
        <w:pStyle w:val="Heading3"/>
      </w:pPr>
      <w:r>
        <w:t xml:space="preserve">A. Local Market — Pakistan Focus</w:t>
      </w:r>
    </w:p>
    <w:p>
      <w:pPr>
        <w:pStyle w:val="FirstParagraph"/>
      </w:pPr>
      <w:r>
        <w:t xml:space="preserve">Tuesday's session saw the</w:t>
      </w:r>
      <w:r>
        <w:t xml:space="preserve"> </w:t>
      </w:r>
      <w:r>
        <w:rPr>
          <w:bCs/>
          <w:b/>
        </w:rPr>
        <w:t xml:space="preserve">KSE-100</w:t>
      </w:r>
      <w:r>
        <w:t xml:space="preserve"> </w:t>
      </w:r>
      <w:r>
        <w:t xml:space="preserve">retreat 0.63% to</w:t>
      </w:r>
      <w:r>
        <w:t xml:space="preserve"> </w:t>
      </w:r>
      <w:hyperlink r:id="rId22">
        <w:r>
          <w:rPr>
            <w:rStyle w:val="Hyperlink"/>
          </w:rPr>
          <w:t xml:space="preserve">177,083.22</w:t>
        </w:r>
      </w:hyperlink>
      <w:r>
        <w:t xml:space="preserve">, shedding 1,116.80 points as institutional profit-taking hit heavyweight sectors — commercial banks, oil &amp; gas exploration, cement and fertilizer — at elevated resistance levels. Breadth turned negative, with 295 decliners against 161 advancers (39 unchanged) on 711.3 million shares (Rs25.9bn); foreign investors were still net buyers to the tune of Rs166.3m. Meezan Bank, PSO, Kapco, Power Cement and Millat Tractors added a combined 175 points, but UBL, Engro Holdings, OGDC, Lucky Cement and PPL erased roughly 580 points on selective profit-taking. On the macro front,</w:t>
      </w:r>
      <w:r>
        <w:t xml:space="preserve"> </w:t>
      </w:r>
      <w:hyperlink r:id="rId28">
        <w:r>
          <w:rPr>
            <w:rStyle w:val="Hyperlink"/>
          </w:rPr>
          <w:t xml:space="preserve">headline CPI eased to 9.2% YoY in July</w:t>
        </w:r>
      </w:hyperlink>
      <w:r>
        <w:t xml:space="preserve"> </w:t>
      </w:r>
      <w:r>
        <w:t xml:space="preserve">from 11.1% in June, giving the SBP room to</w:t>
      </w:r>
      <w:r>
        <w:t xml:space="preserve"> </w:t>
      </w:r>
      <w:hyperlink r:id="rId31">
        <w:r>
          <w:rPr>
            <w:rStyle w:val="Hyperlink"/>
          </w:rPr>
          <w:t xml:space="preserve">hold its policy rate at 11.5%</w:t>
        </w:r>
      </w:hyperlink>
      <w:r>
        <w:t xml:space="preserve"> </w:t>
      </w:r>
      <w:r>
        <w:t xml:space="preserve">for a second straight meeting on 27 July. Six-month KIBOR is tracking near 11.70–11.90% (EST.), broadly in line with the policy rate. The</w:t>
      </w:r>
      <w:r>
        <w:t xml:space="preserve"> </w:t>
      </w:r>
      <w:hyperlink r:id="rId32">
        <w:r>
          <w:rPr>
            <w:rStyle w:val="Hyperlink"/>
          </w:rPr>
          <w:t xml:space="preserve">IMF's Executive Board cleared the third EFF/second RSF review on 8 May</w:t>
        </w:r>
      </w:hyperlink>
      <w:r>
        <w:t xml:space="preserve">, unlocking roughly $1.1bn (EFF) and $220m (RSF); the next review is expected in H2 2026.</w:t>
      </w:r>
    </w:p>
    <w:bookmarkEnd w:id="33"/>
    <w:bookmarkStart w:id="35" w:name="b.-gcc-middle-east"/>
    <w:p>
      <w:pPr>
        <w:pStyle w:val="Heading3"/>
      </w:pPr>
      <w:r>
        <w:t xml:space="preserve">B. GCC &amp; Middle East</w:t>
      </w:r>
    </w:p>
    <w:p>
      <w:pPr>
        <w:pStyle w:val="FirstParagraph"/>
      </w:pPr>
      <w:r>
        <w:t xml:space="preserve">Gulf oil producers added to August supply as seven</w:t>
      </w:r>
      <w:r>
        <w:t xml:space="preserve"> </w:t>
      </w:r>
      <w:hyperlink r:id="rId25">
        <w:r>
          <w:rPr>
            <w:rStyle w:val="Hyperlink"/>
          </w:rPr>
          <w:t xml:space="preserve">OPEC+ members agreed to raise output by 188,000 bpd</w:t>
        </w:r>
      </w:hyperlink>
      <w:r>
        <w:t xml:space="preserve"> </w:t>
      </w:r>
      <w:r>
        <w:t xml:space="preserve">— Saudi Arabia and Russia each contributing 62,000 bpd, with smaller increases from Iraq, Kuwait, Kazakhstan, Algeria and Oman — the fifth consecutive monthly increase as the group unwinds 2023's voluntary cuts. That extra supply landed just as</w:t>
      </w:r>
      <w:r>
        <w:t xml:space="preserve"> </w:t>
      </w:r>
      <w:hyperlink r:id="rId24">
        <w:r>
          <w:rPr>
            <w:rStyle w:val="Hyperlink"/>
          </w:rPr>
          <w:t xml:space="preserve">Brent slid nearly 6% to $78.87</w:t>
        </w:r>
      </w:hyperlink>
      <w:r>
        <w:t xml:space="preserve">, a three-week-plus low, on hopes for a reopened Strait of Hormuz — a double-barrelled bearish setup for crude that nonetheless keeps the Gulf's non-oil diversification story intact.</w:t>
      </w:r>
      <w:r>
        <w:t xml:space="preserve"> </w:t>
      </w:r>
      <w:hyperlink r:id="rId34">
        <w:r>
          <w:rPr>
            <w:rStyle w:val="Hyperlink"/>
          </w:rPr>
          <w:t xml:space="preserve">Saudi Arabia's non-oil PMI held at a still-robust 53.1 in July</w:t>
        </w:r>
      </w:hyperlink>
      <w:r>
        <w:t xml:space="preserve"> </w:t>
      </w:r>
      <w:r>
        <w:t xml:space="preserve">(53.3 in June) on firmer domestic demand, even as export orders fell for a fifth straight month on high freight costs. The</w:t>
      </w:r>
      <w:r>
        <w:t xml:space="preserve"> </w:t>
      </w:r>
      <w:hyperlink r:id="rId29">
        <w:r>
          <w:rPr>
            <w:rStyle w:val="Hyperlink"/>
          </w:rPr>
          <w:t xml:space="preserve">UAE's non-oil private sector cooled toward its softest pace in several years</w:t>
        </w:r>
      </w:hyperlink>
      <w:r>
        <w:t xml:space="preserve"> </w:t>
      </w:r>
      <w:r>
        <w:t xml:space="preserve">(EST. low-51 handle) as regional disruptions weighed on new orders — a mixed but still-expansionary signal for Vision 2030-linked non-oil diversification and PIF-backed giga-projects.</w:t>
      </w:r>
    </w:p>
    <w:bookmarkEnd w:id="35"/>
    <w:bookmarkStart w:id="38" w:name="c.-global-intelligence"/>
    <w:p>
      <w:pPr>
        <w:pStyle w:val="Heading3"/>
      </w:pPr>
      <w:r>
        <w:t xml:space="preserve">C. Global Intelligence</w:t>
      </w:r>
    </w:p>
    <w:p>
      <w:pPr>
        <w:pStyle w:val="FirstParagraph"/>
      </w:pPr>
      <w:r>
        <w:t xml:space="preserve">Wall Street closed at fresh records on Tuesday — the</w:t>
      </w:r>
      <w:r>
        <w:t xml:space="preserve"> </w:t>
      </w:r>
      <w:hyperlink r:id="rId20">
        <w:r>
          <w:rPr>
            <w:rStyle w:val="Hyperlink"/>
          </w:rPr>
          <w:t xml:space="preserve">S&amp;P 500 jumped 1.79% to 7,736.52</w:t>
        </w:r>
      </w:hyperlink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Dow added 907.47 points (+1.71%) to close above 54,000</w:t>
        </w:r>
      </w:hyperlink>
      <w:r>
        <w:t xml:space="preserve"> </w:t>
      </w:r>
      <w:r>
        <w:t xml:space="preserve">for the first time, and the Nasdaq surged 2.59% to 26,584.99, powered by a tech rebound, strong earnings and easing US-Iran tensions over Hormuz. Bonds told a more cautious story: the 10-year yield sits near 4.63% and the 2-year at 4.21%, with markets pricing rising odds the Fed</w:t>
      </w:r>
      <w:r>
        <w:t xml:space="preserve"> </w:t>
      </w:r>
      <w:hyperlink r:id="rId26">
        <w:r>
          <w:rPr>
            <w:rStyle w:val="Hyperlink"/>
          </w:rPr>
          <w:t xml:space="preserve">hikes rather than cuts in September</w:t>
        </w:r>
      </w:hyperlink>
      <w:r>
        <w:t xml:space="preserve"> </w:t>
      </w:r>
      <w:r>
        <w:t xml:space="preserve">after Chair Kevin Warsh's FOMC voted 9-3 to hold on 29 July, a decision that has left his inflation-fighting credibility under scrutiny. Separately, Washington's trade agenda intensified: a</w:t>
      </w:r>
      <w:r>
        <w:t xml:space="preserve"> </w:t>
      </w:r>
      <w:hyperlink r:id="rId36">
        <w:r>
          <w:rPr>
            <w:rStyle w:val="Hyperlink"/>
          </w:rPr>
          <w:t xml:space="preserve">50% ad valorem tariff on Canadian goods</w:t>
        </w:r>
      </w:hyperlink>
      <w:r>
        <w:t xml:space="preserve"> </w:t>
      </w:r>
      <w:r>
        <w:t xml:space="preserve">takes effect 19 August, alongside</w:t>
      </w:r>
      <w:r>
        <w:t xml:space="preserve"> </w:t>
      </w:r>
      <w:hyperlink r:id="rId37">
        <w:r>
          <w:rPr>
            <w:rStyle w:val="Hyperlink"/>
          </w:rPr>
          <w:t xml:space="preserve">Section 301 forced-labor duties of 10–12.5% on roughly 60 economies</w:t>
        </w:r>
      </w:hyperlink>
      <w:r>
        <w:t xml:space="preserve"> </w:t>
      </w:r>
      <w:r>
        <w:t xml:space="preserve">that took effect 24 July.</w:t>
      </w:r>
    </w:p>
    <w:bookmarkEnd w:id="38"/>
    <w:bookmarkEnd w:id="39"/>
    <w:bookmarkStart w:id="44" w:name="X03555bbbc64501a448992dc5229870556a9c339"/>
    <w:p>
      <w:pPr>
        <w:pStyle w:val="Heading2"/>
      </w:pPr>
      <w:r>
        <w:t xml:space="preserve">03</w:t>
      </w:r>
      <w:r>
        <w:t xml:space="preserve">Legislative &amp; Regulatory Tracker — Who Wins, Who Loses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2296"/>
        <w:gridCol w:w="1663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Jurisdiction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Legislation / Policy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Sector(s)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Impact &amp; Strategic Outlook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— Pakistan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Finance Act 2026</w:t>
              </w:r>
            </w:hyperlink>
            <w:r>
              <w:t xml:space="preserve"> </w:t>
            </w:r>
            <w:r>
              <w:t xml:space="preserve">imposed a 5% withholding tax (10% for non-filers) on digital content creators' social media earnings, effective 1 July;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banks began deducting it at source from 30 July</w:t>
              </w:r>
            </w:hyperlink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Media, Digital/Creator Economy, Retail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Wins:</w:t>
            </w:r>
            <w:r>
              <w:t xml:space="preserve"> </w:t>
            </w:r>
            <w:r>
              <w:t xml:space="preserve">FBR digitisation vendors, compliant formal-sector filers.</w:t>
            </w:r>
            <w:r>
              <w:t xml:space="preserve"> </w:t>
            </w:r>
            <w:r>
              <w:rPr>
                <w:bCs/>
                <w:b/>
              </w:rPr>
              <w:t xml:space="preserve">Loses:</w:t>
            </w:r>
            <w:r>
              <w:t xml:space="preserve"> </w:t>
            </w:r>
            <w:r>
              <w:t xml:space="preserve">social-media creators/influencers (especially non-filers facing a 10% deduction), platforms monetising Pakistani audiences.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GCC — Saudi/UAE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Saudi Arabia's new Companies Law</w:t>
              </w:r>
            </w:hyperlink>
            <w:r>
              <w:t xml:space="preserve"> </w:t>
            </w:r>
            <w:r>
              <w:t xml:space="preserve">mandates beneficial-ownership disclosure and a unified commercial register;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UAE's Cabinet Decision No. 59 of 2026</w:t>
              </w:r>
            </w:hyperlink>
            <w:r>
              <w:t xml:space="preserve"> </w:t>
            </w:r>
            <w:r>
              <w:t xml:space="preserve">competition-law regulations took effect 30 July.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M&amp;A, Financial Services, Corporates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Wins:</w:t>
            </w:r>
            <w:r>
              <w:t xml:space="preserve"> </w:t>
            </w:r>
            <w:r>
              <w:t xml:space="preserve">institutional investors and dealmakers gaining transparency, multinationals already compliant.</w:t>
            </w:r>
            <w:r>
              <w:t xml:space="preserve"> </w:t>
            </w:r>
            <w:r>
              <w:rPr>
                <w:bCs/>
                <w:b/>
              </w:rPr>
              <w:t xml:space="preserve">Loses:</w:t>
            </w:r>
            <w:r>
              <w:t xml:space="preserve"> </w:t>
            </w:r>
            <w:r>
              <w:t xml:space="preserve">opaque shell structures, SMEs absorbing new compliance overhead.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Global — US/Canada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Washington's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50% tariff on Canadian goods</w:t>
              </w:r>
            </w:hyperlink>
            <w:r>
              <w:t xml:space="preserve"> </w:t>
            </w:r>
            <w:r>
              <w:t xml:space="preserve">(cement, furniture, textiles) takes effect 19 August;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Section 301 forced-labor tariffs</w:t>
              </w:r>
            </w:hyperlink>
            <w:r>
              <w:t xml:space="preserve"> </w:t>
            </w:r>
            <w:r>
              <w:t xml:space="preserve">of 10–12.5% on roughly 60 economies are already live since 24 July.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Trade, Manufacturing, Retail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Wins:</w:t>
            </w:r>
            <w:r>
              <w:t xml:space="preserve"> </w:t>
            </w:r>
            <w:r>
              <w:t xml:space="preserve">US domestic manufacturers in tariffed categories.</w:t>
            </w:r>
            <w:r>
              <w:t xml:space="preserve"> </w:t>
            </w:r>
            <w:r>
              <w:rPr>
                <w:bCs/>
                <w:b/>
              </w:rPr>
              <w:t xml:space="preserve">Loses:</w:t>
            </w:r>
            <w:r>
              <w:t xml:space="preserve"> </w:t>
            </w:r>
            <w:r>
              <w:t xml:space="preserve">Canadian exporters, US importers/retailers and consumers facing higher input costs.</w:t>
            </w:r>
          </w:p>
        </w:tc>
      </w:tr>
    </w:tbl>
    <w:bookmarkEnd w:id="44"/>
    <w:bookmarkStart w:id="45" w:name="the-day-ahead-kse-100-levels-desk-stance"/>
    <w:p>
      <w:pPr>
        <w:pStyle w:val="Heading2"/>
      </w:pPr>
      <w:r>
        <w:t xml:space="preserve">04</w:t>
      </w:r>
      <w:r>
        <w:t xml:space="preserve">The Day Ahead — KSE-100 Levels &amp; Desk Stance</w:t>
      </w:r>
    </w:p>
    <w:p>
      <w:pPr>
        <w:pStyle w:val="FirstParagraph"/>
      </w:pPr>
      <w:r>
        <w:t xml:space="preserve">Support</w:t>
      </w:r>
      <w:r>
        <w:t xml:space="preserve"> </w:t>
      </w:r>
      <w:r>
        <w:t xml:space="preserve">EST.</w:t>
      </w:r>
    </w:p>
    <w:p>
      <w:pPr>
        <w:pStyle w:val="BodyText"/>
      </w:pPr>
      <w:r>
        <w:t xml:space="preserve">176,000</w:t>
      </w:r>
    </w:p>
    <w:p>
      <w:pPr>
        <w:pStyle w:val="BodyText"/>
      </w:pPr>
      <w:r>
        <w:t xml:space="preserve">psychological/round-number floor; deeper support at 174,500</w:t>
      </w:r>
    </w:p>
    <w:p>
      <w:pPr>
        <w:pStyle w:val="BodyText"/>
      </w:pPr>
      <w:r>
        <w:t xml:space="preserve">Pivot</w:t>
      </w:r>
      <w:r>
        <w:t xml:space="preserve"> </w:t>
      </w:r>
      <w:r>
        <w:t xml:space="preserve">EST.</w:t>
      </w:r>
    </w:p>
    <w:p>
      <w:pPr>
        <w:pStyle w:val="BodyText"/>
      </w:pPr>
      <w:r>
        <w:t xml:space="preserve">177,083</w:t>
      </w:r>
    </w:p>
    <w:p>
      <w:pPr>
        <w:pStyle w:val="BodyText"/>
      </w:pPr>
      <w:r>
        <w:t xml:space="preserve">Tuesday's close</w:t>
      </w:r>
    </w:p>
    <w:p>
      <w:pPr>
        <w:pStyle w:val="BodyText"/>
      </w:pPr>
      <w:r>
        <w:t xml:space="preserve">Resistance</w:t>
      </w:r>
      <w:r>
        <w:t xml:space="preserve"> </w:t>
      </w:r>
      <w:r>
        <w:t xml:space="preserve">EST.</w:t>
      </w:r>
    </w:p>
    <w:p>
      <w:pPr>
        <w:pStyle w:val="BodyText"/>
      </w:pPr>
      <w:r>
        <w:t xml:space="preserve">178,200</w:t>
      </w:r>
    </w:p>
    <w:p>
      <w:pPr>
        <w:pStyle w:val="BodyText"/>
      </w:pPr>
      <w:r>
        <w:t xml:space="preserve">Monday's close/session high; then 179,500</w:t>
      </w:r>
    </w:p>
    <w:p>
      <w:pPr>
        <w:pStyle w:val="BodyText"/>
      </w:pPr>
      <w:r>
        <w:rPr>
          <w:bCs/>
          <w:b/>
        </w:rPr>
        <w:t xml:space="preserve">Desk view:</w:t>
      </w:r>
      <w:r>
        <w:t xml:space="preserve"> </w:t>
      </w:r>
      <w:r>
        <w:t xml:space="preserve">Tuesday's pullback reads as institutional profit-taking after a sharp advance, not a trend reversal — breadth stayed negative (161 advancers vs 295 decliners) but foreign flows remained net positive (Rs166.3m) and large-cap banks/energy names absorbed most of the selling.</w:t>
      </w:r>
      <w:r>
        <w:t xml:space="preserve"> </w:t>
      </w:r>
      <w:r>
        <w:rPr>
          <w:bCs/>
          <w:b/>
        </w:rPr>
        <w:t xml:space="preserve">Global tailwinds hold:</w:t>
      </w:r>
      <w:r>
        <w:t xml:space="preserve"> </w:t>
      </w:r>
      <w:r>
        <w:t xml:space="preserve">a sharp Brent/WTI drawdown on Hormuz de-escalation hopes is disinflationary for Pakistan's import bill, and Wall Street's record run keeps risk appetite supportive for EM flows. Watch 176,000 as the first floor; a close below opens 174,500. On the upside, reclaiming 178,200 re-opens Monday's high near 179,500. All levels are indicative desk estimates, not recommendations.</w:t>
      </w:r>
    </w:p>
    <w:p>
      <w:pPr>
        <w:pStyle w:val="BodyText"/>
      </w:pPr>
      <w:r>
        <w:rPr>
          <w:bCs/>
          <w:b/>
        </w:rPr>
        <w:t xml:space="preserve">Disclaimer:</w:t>
      </w:r>
      <w:r>
        <w:t xml:space="preserve"> </w:t>
      </w:r>
      <w:r>
        <w:t xml:space="preserve">Disclaimer: Produced by ContexAi for information and education only — not investment advice, a solicitation, or a guarantee. Trading securities, commodities and futures carries substantial risk of loss; leveraged futures can lose more than your margin. Levels are indicative. Consider your risk tolerance and consult a licensed financial adviser before acting. You alone are responsible for your trading decisions.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globallawexperts.com/new-saudi-companies-law-2026/" TargetMode="External" /><Relationship Type="http://schemas.openxmlformats.org/officeDocument/2006/relationships/hyperlink" Id="rId40" Target="https://kpmg.com/us/en/taxnewsflash/news/2026/07/pakistan-tax-customs-measures-finance-act-2026.html" TargetMode="External" /><Relationship Type="http://schemas.openxmlformats.org/officeDocument/2006/relationships/hyperlink" Id="rId41" Target="https://propakistani.pk/2026/07/30/banks-start-deducting-tax-on-digital-creator-earnings-from-social-media/" TargetMode="External" /><Relationship Type="http://schemas.openxmlformats.org/officeDocument/2006/relationships/hyperlink" Id="rId25" Target="https://saudigazette.com.sa/article/662747" TargetMode="External" /><Relationship Type="http://schemas.openxmlformats.org/officeDocument/2006/relationships/hyperlink" Id="rId37" Target="https://taxfoundation.org/research/all/federal/trump-tariffs-trade-war/" TargetMode="External" /><Relationship Type="http://schemas.openxmlformats.org/officeDocument/2006/relationships/hyperlink" Id="rId24" Target="https://tradingeconomics.com/commodity/brent-crude-oil" TargetMode="External" /><Relationship Type="http://schemas.openxmlformats.org/officeDocument/2006/relationships/hyperlink" Id="rId27" Target="https://tradingeconomics.com/commodity/silver" TargetMode="External" /><Relationship Type="http://schemas.openxmlformats.org/officeDocument/2006/relationships/hyperlink" Id="rId23" Target="https://tradingeconomics.com/pakistan/stock-market" TargetMode="External" /><Relationship Type="http://schemas.openxmlformats.org/officeDocument/2006/relationships/hyperlink" Id="rId31" Target="https://tribune.com.pk/story/2620304/economists-urge-sbp-to-hold-rate-at-115" TargetMode="External" /><Relationship Type="http://schemas.openxmlformats.org/officeDocument/2006/relationships/hyperlink" Id="rId22" Target="https://tribune.com.pk/story/2622135/institutional-selling-wipes-out-psx-gains" TargetMode="External" /><Relationship Type="http://schemas.openxmlformats.org/officeDocument/2006/relationships/hyperlink" Id="rId20" Target="https://us.cnn.com/2026/08/04/investing/us-stock-market" TargetMode="External" /><Relationship Type="http://schemas.openxmlformats.org/officeDocument/2006/relationships/hyperlink" Id="rId28" Target="https://www.brecorder.com/news/40432859/pakistan-inflation-clocks-in-at-92-in-july-2026" TargetMode="External" /><Relationship Type="http://schemas.openxmlformats.org/officeDocument/2006/relationships/hyperlink" Id="rId34" Target="https://www.brecorder.com/news/40433243/saudi-non-oil-growth-stays-solid-in-july-as-demand-improves-pmi-shows" TargetMode="External" /><Relationship Type="http://schemas.openxmlformats.org/officeDocument/2006/relationships/hyperlink" Id="rId26" Target="https://www.cnbc.com/2026/07/29/kevin-warsh-fed-treasury-yields-inflation-credibility-interest-rates.html" TargetMode="External" /><Relationship Type="http://schemas.openxmlformats.org/officeDocument/2006/relationships/hyperlink" Id="rId21" Target="https://www.cnbc.com/2026/08/03/stock-market-today-live-updates.html" TargetMode="External" /><Relationship Type="http://schemas.openxmlformats.org/officeDocument/2006/relationships/hyperlink" Id="rId36" Target="https://www.congress.gov/crs-product/R48549" TargetMode="External" /><Relationship Type="http://schemas.openxmlformats.org/officeDocument/2006/relationships/hyperlink" Id="rId32" Target="https://www.imf.org/en/news/articles/2026/05/08/pr-26147-pakistan-imf-completes-3rd-rev-of-extended-arrangement-under-eff-and-2nd-rev-arrang-rsf" TargetMode="External" /><Relationship Type="http://schemas.openxmlformats.org/officeDocument/2006/relationships/hyperlink" Id="rId43" Target="https://www.lexology.com/library/detail.aspx?g=967d2aa6-aa18-46d3-a9ab-e4ca5bbc82ca" TargetMode="External" /><Relationship Type="http://schemas.openxmlformats.org/officeDocument/2006/relationships/hyperlink" Id="rId29" Target="https://www.semafor.com/article/07/06/2026/uaes-non-oil-economy-reaches-lowest-point-in-seven-yea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globallawexperts.com/new-saudi-companies-law-2026/" TargetMode="External" /><Relationship Type="http://schemas.openxmlformats.org/officeDocument/2006/relationships/hyperlink" Id="rId40" Target="https://kpmg.com/us/en/taxnewsflash/news/2026/07/pakistan-tax-customs-measures-finance-act-2026.html" TargetMode="External" /><Relationship Type="http://schemas.openxmlformats.org/officeDocument/2006/relationships/hyperlink" Id="rId41" Target="https://propakistani.pk/2026/07/30/banks-start-deducting-tax-on-digital-creator-earnings-from-social-media/" TargetMode="External" /><Relationship Type="http://schemas.openxmlformats.org/officeDocument/2006/relationships/hyperlink" Id="rId25" Target="https://saudigazette.com.sa/article/662747" TargetMode="External" /><Relationship Type="http://schemas.openxmlformats.org/officeDocument/2006/relationships/hyperlink" Id="rId37" Target="https://taxfoundation.org/research/all/federal/trump-tariffs-trade-war/" TargetMode="External" /><Relationship Type="http://schemas.openxmlformats.org/officeDocument/2006/relationships/hyperlink" Id="rId24" Target="https://tradingeconomics.com/commodity/brent-crude-oil" TargetMode="External" /><Relationship Type="http://schemas.openxmlformats.org/officeDocument/2006/relationships/hyperlink" Id="rId27" Target="https://tradingeconomics.com/commodity/silver" TargetMode="External" /><Relationship Type="http://schemas.openxmlformats.org/officeDocument/2006/relationships/hyperlink" Id="rId23" Target="https://tradingeconomics.com/pakistan/stock-market" TargetMode="External" /><Relationship Type="http://schemas.openxmlformats.org/officeDocument/2006/relationships/hyperlink" Id="rId31" Target="https://tribune.com.pk/story/2620304/economists-urge-sbp-to-hold-rate-at-115" TargetMode="External" /><Relationship Type="http://schemas.openxmlformats.org/officeDocument/2006/relationships/hyperlink" Id="rId22" Target="https://tribune.com.pk/story/2622135/institutional-selling-wipes-out-psx-gains" TargetMode="External" /><Relationship Type="http://schemas.openxmlformats.org/officeDocument/2006/relationships/hyperlink" Id="rId20" Target="https://us.cnn.com/2026/08/04/investing/us-stock-market" TargetMode="External" /><Relationship Type="http://schemas.openxmlformats.org/officeDocument/2006/relationships/hyperlink" Id="rId28" Target="https://www.brecorder.com/news/40432859/pakistan-inflation-clocks-in-at-92-in-july-2026" TargetMode="External" /><Relationship Type="http://schemas.openxmlformats.org/officeDocument/2006/relationships/hyperlink" Id="rId34" Target="https://www.brecorder.com/news/40433243/saudi-non-oil-growth-stays-solid-in-july-as-demand-improves-pmi-shows" TargetMode="External" /><Relationship Type="http://schemas.openxmlformats.org/officeDocument/2006/relationships/hyperlink" Id="rId26" Target="https://www.cnbc.com/2026/07/29/kevin-warsh-fed-treasury-yields-inflation-credibility-interest-rates.html" TargetMode="External" /><Relationship Type="http://schemas.openxmlformats.org/officeDocument/2006/relationships/hyperlink" Id="rId21" Target="https://www.cnbc.com/2026/08/03/stock-market-today-live-updates.html" TargetMode="External" /><Relationship Type="http://schemas.openxmlformats.org/officeDocument/2006/relationships/hyperlink" Id="rId36" Target="https://www.congress.gov/crs-product/R48549" TargetMode="External" /><Relationship Type="http://schemas.openxmlformats.org/officeDocument/2006/relationships/hyperlink" Id="rId32" Target="https://www.imf.org/en/news/articles/2026/05/08/pr-26147-pakistan-imf-completes-3rd-rev-of-extended-arrangement-under-eff-and-2nd-rev-arrang-rsf" TargetMode="External" /><Relationship Type="http://schemas.openxmlformats.org/officeDocument/2006/relationships/hyperlink" Id="rId43" Target="https://www.lexology.com/library/detail.aspx?g=967d2aa6-aa18-46d3-a9ab-e4ca5bbc82ca" TargetMode="External" /><Relationship Type="http://schemas.openxmlformats.org/officeDocument/2006/relationships/hyperlink" Id="rId29" Target="https://www.semafor.com/article/07/06/2026/uaes-non-oil-economy-reaches-lowest-point-in-seven-yea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Economic Vibes — Morning Brief · Wednesday, 05 August 2026</dc:title>
  <dc:creator/>
  <dc:language>en</dc:language>
  <cp:keywords/>
  <dcterms:created xsi:type="dcterms:W3CDTF">2026-08-05T04:43:39Z</dcterms:created>
  <dcterms:modified xsi:type="dcterms:W3CDTF">2026-08-05T04:43:39Z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