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w:t>
      </w:r>
      <w:r>
        <w:t xml:space="preserve"> </w:t>
      </w:r>
      <w:r>
        <w:t xml:space="preserve">Vibes</w:t>
      </w:r>
      <w:r>
        <w:t xml:space="preserve"> </w:t>
      </w:r>
      <w:r>
        <w:t xml:space="preserve">—</w:t>
      </w:r>
      <w:r>
        <w:t xml:space="preserve"> </w:t>
      </w:r>
      <w:r>
        <w:t xml:space="preserve">Morning</w:t>
      </w:r>
      <w:r>
        <w:t xml:space="preserve"> </w:t>
      </w:r>
      <w:r>
        <w:t xml:space="preserve">Brief</w:t>
      </w:r>
      <w:r>
        <w:t xml:space="preserve"> </w:t>
      </w:r>
      <w:r>
        <w:t xml:space="preserve">·</w:t>
      </w:r>
      <w:r>
        <w:t xml:space="preserve"> </w:t>
      </w:r>
      <w:r>
        <w:t xml:space="preserve">Wednesday,</w:t>
      </w:r>
      <w:r>
        <w:t xml:space="preserve"> </w:t>
      </w:r>
      <w:r>
        <w:t xml:space="preserve">07</w:t>
      </w:r>
      <w:r>
        <w:t xml:space="preserve"> </w:t>
      </w:r>
      <w:r>
        <w:t xml:space="preserve">October</w:t>
      </w:r>
      <w:r>
        <w:t xml:space="preserve"> </w:t>
      </w:r>
      <w:r>
        <w:t xml:space="preserve">2026</w:t>
      </w:r>
    </w:p>
    <w:p>
      <w:pPr>
        <w:pStyle w:val="FirstParagraph"/>
      </w:pPr>
      <w:r>
        <w:t xml:space="preserve"> </w:t>
      </w:r>
      <w:r>
        <w:t xml:space="preserve"> </w:t>
      </w:r>
    </w:p>
    <w:p>
      <w:pPr>
        <w:pStyle w:val="BodyText"/>
      </w:pPr>
      <w:r>
        <w:t xml:space="preserve">ContexAi — Economic Vibes · A ContexAi Research Product · contexai.org · Delivered ~06:30 AM PKT · WhatsApp Channel: Economic Vibes</w:t>
      </w:r>
    </w:p>
    <w:p>
      <w:pPr>
        <w:pStyle w:val="BodyText"/>
      </w:pPr>
      <w:r>
        <w:t xml:space="preserve">ContexAi Group</w:t>
      </w:r>
      <w:r>
        <w:t xml:space="preserve">|</w:t>
      </w:r>
      <w:r>
        <w:t xml:space="preserve">Economic Vibes — Morning Brief</w:t>
      </w:r>
    </w:p>
    <w:p>
      <w:pPr>
        <w:pStyle w:val="BodyText"/>
      </w:pPr>
      <w:r>
        <w:rPr>
          <w:bCs/>
          <w:b/>
        </w:rPr>
        <w:t xml:space="preserve">Wednesday, 07 October 2026</w:t>
      </w:r>
      <w:r>
        <w:br/>
      </w:r>
      <w:r>
        <w:t xml:space="preserve">Morning Edition · PKT</w:t>
      </w:r>
    </w:p>
    <w:p>
      <w:pPr>
        <w:pStyle w:val="BodyText"/>
      </w:pPr>
      <w:r>
        <w:t xml:space="preserve">ContexAi Research Desk · Sourced via Reuters, CNBC, Business Recorder, Express Tribune, Mettis Global, AGBI, Gulf News, S&amp;P Global, Kitco, SBP &amp; Regulatory Trackers · For the C-Suite &amp; HNW Investor ·</w:t>
      </w:r>
      <w:r>
        <w:t xml:space="preserve"> </w:t>
      </w:r>
      <w:r>
        <w:rPr>
          <w:bCs/>
          <w:b/>
        </w:rPr>
        <w:t xml:space="preserve">V</w:t>
      </w:r>
      <w:r>
        <w:t xml:space="preserve"> </w:t>
      </w:r>
      <w:r>
        <w:t xml:space="preserve">= verified vs licensed media/official portal ·</w:t>
      </w:r>
      <w:r>
        <w:t xml:space="preserve"> </w:t>
      </w:r>
      <w:r>
        <w:rPr>
          <w:bCs/>
          <w:b/>
        </w:rPr>
        <w:t xml:space="preserve">EST.</w:t>
      </w:r>
      <w:r>
        <w:t xml:space="preserve"> </w:t>
      </w:r>
      <w:r>
        <w:t xml:space="preserve">= ContexAi desk estimate</w:t>
      </w:r>
    </w:p>
    <w:p>
      <w:pPr>
        <w:pStyle w:val="BodyText"/>
      </w:pPr>
      <w:r>
        <w:t xml:space="preserve"> </w:t>
      </w:r>
      <w:r>
        <w:t xml:space="preserve"> </w:t>
      </w:r>
    </w:p>
    <w:p>
      <w:pPr>
        <w:pStyle w:val="BodyText"/>
      </w:pPr>
      <w:r>
        <w:t xml:space="preserve">KSE-100</w:t>
      </w:r>
      <w:r>
        <w:t xml:space="preserve"> </w:t>
      </w:r>
      <w:r>
        <w:t xml:space="preserve">V</w:t>
      </w:r>
    </w:p>
    <w:p>
      <w:pPr>
        <w:pStyle w:val="BodyText"/>
      </w:pPr>
      <w:r>
        <w:t xml:space="preserve">168,460.10</w:t>
      </w:r>
    </w:p>
    <w:p>
      <w:pPr>
        <w:pStyle w:val="BodyText"/>
      </w:pPr>
      <w:r>
        <w:t xml:space="preserve">▲ 1.56% Tue · +2,592.79 pts</w:t>
      </w:r>
    </w:p>
    <w:p>
      <w:pPr>
        <w:pStyle w:val="BodyText"/>
      </w:pPr>
      <w:r>
        <w:t xml:space="preserve">S&amp;P 500</w:t>
      </w:r>
      <w:r>
        <w:t xml:space="preserve"> </w:t>
      </w:r>
      <w:r>
        <w:t xml:space="preserve">V</w:t>
      </w:r>
    </w:p>
    <w:p>
      <w:pPr>
        <w:pStyle w:val="BodyText"/>
      </w:pPr>
      <w:r>
        <w:t xml:space="preserve">▲ 0.58%</w:t>
      </w:r>
    </w:p>
    <w:p>
      <w:pPr>
        <w:pStyle w:val="BodyText"/>
      </w:pPr>
      <w:r>
        <w:t xml:space="preserve">Nasdaq +0.45% · Dow +0.49% (records)</w:t>
      </w:r>
    </w:p>
    <w:p>
      <w:pPr>
        <w:pStyle w:val="BodyText"/>
      </w:pPr>
      <w:r>
        <w:t xml:space="preserve">US 10Y / 2Y</w:t>
      </w:r>
      <w:r>
        <w:t xml:space="preserve"> </w:t>
      </w:r>
      <w:r>
        <w:t xml:space="preserve">V</w:t>
      </w:r>
    </w:p>
    <w:p>
      <w:pPr>
        <w:pStyle w:val="BodyText"/>
      </w:pPr>
      <w:r>
        <w:t xml:space="preserve">5.27 / 4.80</w:t>
      </w:r>
    </w:p>
    <w:p>
      <w:pPr>
        <w:pStyle w:val="BodyText"/>
      </w:pPr>
      <w:r>
        <w:t xml:space="preserve">yields ease off highs</w:t>
      </w:r>
    </w:p>
    <w:p>
      <w:pPr>
        <w:pStyle w:val="BodyText"/>
      </w:pPr>
      <w:r>
        <w:t xml:space="preserve">Brent / WTI</w:t>
      </w:r>
      <w:r>
        <w:t xml:space="preserve"> </w:t>
      </w:r>
      <w:r>
        <w:t xml:space="preserve">V</w:t>
      </w:r>
    </w:p>
    <w:p>
      <w:pPr>
        <w:pStyle w:val="BodyText"/>
      </w:pPr>
      <w:r>
        <w:t xml:space="preserve">$100.30 / $89.18</w:t>
      </w:r>
    </w:p>
    <w:p>
      <w:pPr>
        <w:pStyle w:val="BodyText"/>
      </w:pPr>
      <w:r>
        <w:t xml:space="preserve">settled lower Tue · Houthi risk bounce</w:t>
      </w:r>
    </w:p>
    <w:p>
      <w:pPr>
        <w:pStyle w:val="BodyText"/>
      </w:pPr>
      <w:r>
        <w:t xml:space="preserve">Gold</w:t>
      </w:r>
      <w:r>
        <w:t xml:space="preserve"> </w:t>
      </w:r>
      <w:r>
        <w:t xml:space="preserve">V</w:t>
      </w:r>
    </w:p>
    <w:p>
      <w:pPr>
        <w:pStyle w:val="BodyText"/>
      </w:pPr>
      <w:r>
        <w:t xml:space="preserve">$4,164</w:t>
      </w:r>
    </w:p>
    <w:p>
      <w:pPr>
        <w:pStyle w:val="BodyText"/>
      </w:pPr>
      <w:r>
        <w:t xml:space="preserve">+0.6% · silver $61.41 (+0.8%)</w:t>
      </w:r>
    </w:p>
    <w:p>
      <w:pPr>
        <w:pStyle w:val="BodyText"/>
      </w:pPr>
      <w:r>
        <w:t xml:space="preserve">USD/PKR</w:t>
      </w:r>
      <w:r>
        <w:t xml:space="preserve"> </w:t>
      </w:r>
      <w:r>
        <w:t xml:space="preserve">V</w:t>
      </w:r>
    </w:p>
    <w:p>
      <w:pPr>
        <w:pStyle w:val="BodyText"/>
      </w:pPr>
      <w:r>
        <w:t xml:space="preserve">277.15</w:t>
      </w:r>
    </w:p>
    <w:p>
      <w:pPr>
        <w:pStyle w:val="BodyText"/>
      </w:pPr>
      <w:r>
        <w:t xml:space="preserve">interbank · broadly steady</w:t>
      </w:r>
    </w:p>
    <w:bookmarkStart w:id="30" w:name="X931b5a47ae4f286c693f0c27fa86217237ab988"/>
    <w:p>
      <w:pPr>
        <w:pStyle w:val="Heading2"/>
      </w:pPr>
      <w:r>
        <w:t xml:space="preserve">01</w:t>
      </w:r>
      <w:r>
        <w:t xml:space="preserve">Five Things You Need To Know To Start Your Day</w:t>
      </w:r>
    </w:p>
    <w:p>
      <w:pPr>
        <w:numPr>
          <w:ilvl w:val="0"/>
          <w:numId w:val="1001"/>
        </w:numPr>
        <w:pStyle w:val="Compact"/>
      </w:pPr>
      <w:r>
        <w:t xml:space="preserve">KSE-100 Rockets Back Above 168,000</w:t>
      </w:r>
      <w:r>
        <w:t xml:space="preserve"> </w:t>
      </w:r>
      <w:r>
        <w:t xml:space="preserve">The</w:t>
      </w:r>
      <w:r>
        <w:t xml:space="preserve"> </w:t>
      </w:r>
      <w:r>
        <w:rPr>
          <w:bCs/>
          <w:b/>
        </w:rPr>
        <w:t xml:space="preserve">KSE-100</w:t>
      </w:r>
      <w:r>
        <w:t xml:space="preserve"> </w:t>
      </w:r>
      <w:r>
        <w:t xml:space="preserve">staged a furious reversal on Tuesday, surging</w:t>
      </w:r>
      <w:r>
        <w:t xml:space="preserve"> </w:t>
      </w:r>
      <w:r>
        <w:rPr>
          <w:bCs/>
          <w:b/>
        </w:rPr>
        <w:t xml:space="preserve">2,592.79 points (+1.56%) to settle at 168,460.10</w:t>
      </w:r>
      <w:r>
        <w:t xml:space="preserve">, clawing back most of Monday's 2,288-point rout. The index swung from an intraday low of 165,651.67 to a late-session high of 168,626.18 as afternoon buying accelerated across automobile assemblers, cement, commercial banks, E&amp;Ps, OMCs, power generation and refineries. Volume ran to roughly 193.4 million shares on turnover of Rs7.71 billion across 150,708 trades, with advancers leading decliners 267 to 199 (104 unchanged) across 570 names. Among individual names, LSE Financial Services (+17.2%), First Paramount Modaraba, Samba Bank, Sindh Modaraba, TRG Pakistan and Crescent Jute Products all hit their upper caps, while Crescent Fibres (−9.0%) and Mandviwala Mauser Plastic (−8.1%) led the laggards.</w:t>
      </w:r>
      <w:r>
        <w:t xml:space="preserve"> </w:t>
      </w:r>
      <w:hyperlink r:id="rId20">
        <w:r>
          <w:rPr>
            <w:rStyle w:val="Hyperlink"/>
          </w:rPr>
          <w:t xml:space="preserve">Business Recorder</w:t>
        </w:r>
      </w:hyperlink>
      <w:r>
        <w:t xml:space="preserve"> </w:t>
      </w:r>
      <w:r>
        <w:t xml:space="preserve">and</w:t>
      </w:r>
      <w:r>
        <w:t xml:space="preserve"> </w:t>
      </w:r>
      <w:hyperlink r:id="rId21">
        <w:r>
          <w:rPr>
            <w:rStyle w:val="Hyperlink"/>
          </w:rPr>
          <w:t xml:space="preserve">The Express Tribune</w:t>
        </w:r>
      </w:hyperlink>
      <w:r>
        <w:t xml:space="preserve"> </w:t>
      </w:r>
      <w:r>
        <w:t xml:space="preserve">confirm the levels. Sentiment:</w:t>
      </w:r>
      <w:r>
        <w:t xml:space="preserve"> </w:t>
      </w:r>
      <w:r>
        <w:t xml:space="preserve">sharp broad-based reversal off Monday's lows</w:t>
      </w:r>
      <w:r>
        <w:t xml:space="preserve">.</w:t>
      </w:r>
    </w:p>
    <w:p>
      <w:pPr>
        <w:numPr>
          <w:ilvl w:val="0"/>
          <w:numId w:val="1001"/>
        </w:numPr>
        <w:pStyle w:val="Compact"/>
      </w:pPr>
      <w:r>
        <w:t xml:space="preserve">Wall Street Sets Fresh Records on Tech Strength</w:t>
      </w:r>
      <w:r>
        <w:t xml:space="preserve"> </w:t>
      </w:r>
      <w:r>
        <w:t xml:space="preserve">US equities extended their run on Tuesday as easing long-dated yields and AI-driven tech buying offset a global bond sell-off: the</w:t>
      </w:r>
      <w:r>
        <w:t xml:space="preserve"> </w:t>
      </w:r>
      <w:r>
        <w:rPr>
          <w:bCs/>
          <w:b/>
        </w:rPr>
        <w:t xml:space="preserve">S&amp;P 500 rose 0.58% to a record 7,818.93</w:t>
      </w:r>
      <w:r>
        <w:t xml:space="preserve"> </w:t>
      </w:r>
      <w:r>
        <w:t xml:space="preserve">(+44.98 pts), the</w:t>
      </w:r>
      <w:r>
        <w:t xml:space="preserve"> </w:t>
      </w:r>
      <w:r>
        <w:rPr>
          <w:bCs/>
          <w:b/>
        </w:rPr>
        <w:t xml:space="preserve">Dow added 0.49% (+253.38 pts) to 51,521.28</w:t>
      </w:r>
      <w:r>
        <w:t xml:space="preserve">, and the</w:t>
      </w:r>
      <w:r>
        <w:t xml:space="preserve"> </w:t>
      </w:r>
      <w:r>
        <w:rPr>
          <w:bCs/>
          <w:b/>
        </w:rPr>
        <w:t xml:space="preserve">Nasdaq climbed 0.45% to a record 27,599.79</w:t>
      </w:r>
      <w:r>
        <w:t xml:space="preserve">, led by Nvidia and AMD. Minutes from the Fed's 15–16 September meeting — where the FOMC delivered its first hike since 2023, lifting rates to 3.75–4.00% — are due today at 2:00pm ET, with prediction markets pricing roughly 81–84% odds the Fed holds at the 28 October meeting.</w:t>
      </w:r>
      <w:r>
        <w:t xml:space="preserve"> </w:t>
      </w:r>
      <w:hyperlink r:id="rId22">
        <w:r>
          <w:rPr>
            <w:rStyle w:val="Hyperlink"/>
          </w:rPr>
          <w:t xml:space="preserve">Yahoo Finance</w:t>
        </w:r>
      </w:hyperlink>
      <w:r>
        <w:t xml:space="preserve"> </w:t>
      </w:r>
      <w:r>
        <w:t xml:space="preserve">and</w:t>
      </w:r>
      <w:r>
        <w:t xml:space="preserve"> </w:t>
      </w:r>
      <w:hyperlink r:id="rId23">
        <w:r>
          <w:rPr>
            <w:rStyle w:val="Hyperlink"/>
          </w:rPr>
          <w:t xml:space="preserve">CNBC</w:t>
        </w:r>
      </w:hyperlink>
      <w:r>
        <w:t xml:space="preserve"> </w:t>
      </w:r>
      <w:r>
        <w:t xml:space="preserve">confirm the levels. Sentiment:</w:t>
      </w:r>
      <w:r>
        <w:t xml:space="preserve"> </w:t>
      </w:r>
      <w:r>
        <w:t xml:space="preserve">records despite a still-hawkish rate backdrop</w:t>
      </w:r>
      <w:r>
        <w:t xml:space="preserve">.</w:t>
      </w:r>
    </w:p>
    <w:p>
      <w:pPr>
        <w:numPr>
          <w:ilvl w:val="0"/>
          <w:numId w:val="1001"/>
        </w:numPr>
        <w:pStyle w:val="Compact"/>
      </w:pPr>
      <w:r>
        <w:t xml:space="preserve">Oil Whipsaws as Houthi Strikes Hit Saudi Aramco Sites</w:t>
      </w:r>
      <w:r>
        <w:t xml:space="preserve"> </w:t>
      </w:r>
      <w:r>
        <w:t xml:space="preserve">Crude settled lower Tuesday —</w:t>
      </w:r>
      <w:r>
        <w:t xml:space="preserve"> </w:t>
      </w:r>
      <w:r>
        <w:rPr>
          <w:bCs/>
          <w:b/>
        </w:rPr>
        <w:t xml:space="preserve">Brent at $100.30 (−1.89%)</w:t>
      </w:r>
      <w:r>
        <w:t xml:space="preserve"> </w:t>
      </w:r>
      <w:r>
        <w:t xml:space="preserve">and</w:t>
      </w:r>
      <w:r>
        <w:t xml:space="preserve"> </w:t>
      </w:r>
      <w:r>
        <w:rPr>
          <w:bCs/>
          <w:b/>
        </w:rPr>
        <w:t xml:space="preserve">WTI at $89.18 (−0.28%)</w:t>
      </w:r>
      <w:r>
        <w:t xml:space="preserve"> </w:t>
      </w:r>
      <w:r>
        <w:t xml:space="preserve">— as Middle Eastern crude flows topped 18 million bpd in late September (above pre-war levels), Saudi Arabia cut November Asian official selling prices by up to $5/bbl, and the G7 confirmed a 100-million-barrel emergency reserve release over four months. That relief proved short-lived: Houthi ballistic missiles and drones struck Saudi Aramco facilities in Riyadh and Khurais over the weekend, reviving supply-risk premia and pushing Brent back toward $101.60 and WTI near $90.20 into Wednesday's session.</w:t>
      </w:r>
      <w:r>
        <w:t xml:space="preserve"> </w:t>
      </w:r>
      <w:r>
        <w:rPr>
          <w:bCs/>
          <w:b/>
        </w:rPr>
        <w:t xml:space="preserve">OPEC+</w:t>
      </w:r>
      <w:r>
        <w:t xml:space="preserve">'s seven core producers held November output steady at 31 million bpd on 4 October, with Gulf exports ex-Iran still only around 81% of pre-war levels and roughly 40% of flows now bypassing a Strait of Hormuz where UKMTO has logged at least one attack daily since 2 October.</w:t>
      </w:r>
      <w:r>
        <w:t xml:space="preserve"> </w:t>
      </w:r>
      <w:hyperlink r:id="rId24">
        <w:r>
          <w:rPr>
            <w:rStyle w:val="Hyperlink"/>
          </w:rPr>
          <w:t xml:space="preserve">Gulf News</w:t>
        </w:r>
      </w:hyperlink>
      <w:r>
        <w:t xml:space="preserve"> </w:t>
      </w:r>
      <w:r>
        <w:t xml:space="preserve">and</w:t>
      </w:r>
      <w:r>
        <w:t xml:space="preserve"> </w:t>
      </w:r>
      <w:hyperlink r:id="rId25">
        <w:r>
          <w:rPr>
            <w:rStyle w:val="Hyperlink"/>
          </w:rPr>
          <w:t xml:space="preserve">CNBC</w:t>
        </w:r>
      </w:hyperlink>
      <w:r>
        <w:t xml:space="preserve"> </w:t>
      </w:r>
      <w:r>
        <w:t xml:space="preserve">confirm the levels. Sentiment:</w:t>
      </w:r>
      <w:r>
        <w:t xml:space="preserve"> </w:t>
      </w:r>
      <w:r>
        <w:t xml:space="preserve">volatile, Hormuz and Houthi risk still the swing factor</w:t>
      </w:r>
      <w:r>
        <w:t xml:space="preserve">.</w:t>
      </w:r>
    </w:p>
    <w:p>
      <w:pPr>
        <w:numPr>
          <w:ilvl w:val="0"/>
          <w:numId w:val="1001"/>
        </w:numPr>
        <w:pStyle w:val="Compact"/>
      </w:pPr>
      <w:r>
        <w:t xml:space="preserve">Gold, Silver Firm as Yields Ease</w:t>
      </w:r>
      <w:r>
        <w:t xml:space="preserve"> </w:t>
      </w:r>
      <w:r>
        <w:t xml:space="preserve">Bullion extended its climb as long-dated Treasury yields pulled back from Monday's multi-decade highs:</w:t>
      </w:r>
      <w:r>
        <w:t xml:space="preserve"> </w:t>
      </w:r>
      <w:r>
        <w:rPr>
          <w:bCs/>
          <w:b/>
        </w:rPr>
        <w:t xml:space="preserve">spot gold traded near $4,164, up roughly 0.6%</w:t>
      </w:r>
      <w:r>
        <w:t xml:space="preserve"> </w:t>
      </w:r>
      <w:r>
        <w:t xml:space="preserve">on the session, while</w:t>
      </w:r>
      <w:r>
        <w:t xml:space="preserve"> </w:t>
      </w:r>
      <w:r>
        <w:rPr>
          <w:bCs/>
          <w:b/>
        </w:rPr>
        <w:t xml:space="preserve">spot silver added about 0.8% to $61.41</w:t>
      </w:r>
      <w:r>
        <w:t xml:space="preserve">, with the move aided by crude's dip below $100 a barrel.</w:t>
      </w:r>
      <w:r>
        <w:t xml:space="preserve"> </w:t>
      </w:r>
      <w:hyperlink r:id="rId26">
        <w:r>
          <w:rPr>
            <w:rStyle w:val="Hyperlink"/>
          </w:rPr>
          <w:t xml:space="preserve">Kitco</w:t>
        </w:r>
      </w:hyperlink>
      <w:r>
        <w:t xml:space="preserve"> </w:t>
      </w:r>
      <w:r>
        <w:t xml:space="preserve">and</w:t>
      </w:r>
      <w:r>
        <w:t xml:space="preserve"> </w:t>
      </w:r>
      <w:hyperlink r:id="rId27">
        <w:r>
          <w:rPr>
            <w:rStyle w:val="Hyperlink"/>
          </w:rPr>
          <w:t xml:space="preserve">Fortune</w:t>
        </w:r>
      </w:hyperlink>
      <w:r>
        <w:t xml:space="preserve"> </w:t>
      </w:r>
      <w:r>
        <w:t xml:space="preserve">confirm the levels. Sentiment:</w:t>
      </w:r>
      <w:r>
        <w:t xml:space="preserve"> </w:t>
      </w:r>
      <w:r>
        <w:t xml:space="preserve">yields relief lifts metals</w:t>
      </w:r>
      <w:r>
        <w:t xml:space="preserve">.</w:t>
      </w:r>
    </w:p>
    <w:p>
      <w:pPr>
        <w:numPr>
          <w:ilvl w:val="0"/>
          <w:numId w:val="1001"/>
        </w:numPr>
        <w:pStyle w:val="Compact"/>
      </w:pPr>
      <w:r>
        <w:t xml:space="preserve">SBP Holds at 11.5%, CPI at 10.3%, IMF Review Advances</w:t>
      </w:r>
      <w:r>
        <w:t xml:space="preserve"> </w:t>
      </w:r>
      <w:r>
        <w:t xml:space="preserve">Pakistan's</w:t>
      </w:r>
      <w:r>
        <w:t xml:space="preserve"> </w:t>
      </w:r>
      <w:r>
        <w:rPr>
          <w:bCs/>
          <w:b/>
        </w:rPr>
        <w:t xml:space="preserve">SBP held its policy rate at 11.5%</w:t>
      </w:r>
      <w:r>
        <w:t xml:space="preserve"> </w:t>
      </w:r>
      <w:r>
        <w:t xml:space="preserve">for a third straight meeting on 14 September, as</w:t>
      </w:r>
      <w:r>
        <w:t xml:space="preserve"> </w:t>
      </w:r>
      <w:r>
        <w:rPr>
          <w:bCs/>
          <w:b/>
        </w:rPr>
        <w:t xml:space="preserve">September CPI eased to 10.3% y/y</w:t>
      </w:r>
      <w:r>
        <w:t xml:space="preserve"> </w:t>
      </w:r>
      <w:r>
        <w:t xml:space="preserve">(from August's 11.1%) — still well above the 5–7% target band. Three-month KIBOR sat near 11.5–11.75% and six-month near 11.71–11.96% as of 18 September, while the</w:t>
      </w:r>
      <w:r>
        <w:t xml:space="preserve"> </w:t>
      </w:r>
      <w:r>
        <w:rPr>
          <w:bCs/>
          <w:b/>
        </w:rPr>
        <w:t xml:space="preserve">rupee</w:t>
      </w:r>
      <w:r>
        <w:t xml:space="preserve"> </w:t>
      </w:r>
      <w:r>
        <w:t xml:space="preserve">held broadly steady near 277.15 interbank. An</w:t>
      </w:r>
      <w:r>
        <w:t xml:space="preserve"> </w:t>
      </w:r>
      <w:r>
        <w:rPr>
          <w:bCs/>
          <w:b/>
        </w:rPr>
        <w:t xml:space="preserve">IMF</w:t>
      </w:r>
      <w:r>
        <w:t xml:space="preserve"> </w:t>
      </w:r>
      <w:r>
        <w:t xml:space="preserve">mission led by Iva Petrova continues the fourth EFF/third RSF review, formally opened by Finance Minister Aurangzeb around 29 September; a successful conclusion would unlock roughly $1.2 billion combined ($1bn EFF, $200m RSF), with Islamabad briefing the mission on Hormuz-linked revenue disruption and committing 10,000 federal employees to digitally declare assets by 30 October.</w:t>
      </w:r>
      <w:r>
        <w:t xml:space="preserve"> </w:t>
      </w:r>
      <w:hyperlink r:id="rId28">
        <w:r>
          <w:rPr>
            <w:rStyle w:val="Hyperlink"/>
          </w:rPr>
          <w:t xml:space="preserve">Trading Economics</w:t>
        </w:r>
      </w:hyperlink>
      <w:r>
        <w:t xml:space="preserve"> </w:t>
      </w:r>
      <w:r>
        <w:t xml:space="preserve">and</w:t>
      </w:r>
      <w:r>
        <w:t xml:space="preserve"> </w:t>
      </w:r>
      <w:hyperlink r:id="rId29">
        <w:r>
          <w:rPr>
            <w:rStyle w:val="Hyperlink"/>
          </w:rPr>
          <w:t xml:space="preserve">Profit</w:t>
        </w:r>
      </w:hyperlink>
      <w:r>
        <w:t xml:space="preserve"> </w:t>
      </w:r>
      <w:r>
        <w:t xml:space="preserve">confirm the details. Sentiment:</w:t>
      </w:r>
      <w:r>
        <w:t xml:space="preserve"> </w:t>
      </w:r>
      <w:r>
        <w:t xml:space="preserve">policy continuity, IMF-dependent outlook</w:t>
      </w:r>
      <w:r>
        <w:t xml:space="preserve">.</w:t>
      </w:r>
    </w:p>
    <w:bookmarkEnd w:id="30"/>
    <w:bookmarkStart w:id="37" w:name="regional-market-economic-matrix"/>
    <w:p>
      <w:pPr>
        <w:pStyle w:val="Heading2"/>
      </w:pPr>
      <w:r>
        <w:t xml:space="preserve">02</w:t>
      </w:r>
      <w:r>
        <w:t xml:space="preserve">Regional Market &amp; Economic Matrix</w:t>
      </w:r>
    </w:p>
    <w:bookmarkStart w:id="31" w:name="a.-local-market-pakistan-focus"/>
    <w:p>
      <w:pPr>
        <w:pStyle w:val="Heading3"/>
      </w:pPr>
      <w:r>
        <w:t xml:space="preserve">A. Local Market — Pakistan Focus</w:t>
      </w:r>
    </w:p>
    <w:p>
      <w:pPr>
        <w:pStyle w:val="FirstParagraph"/>
      </w:pPr>
      <w:r>
        <w:t xml:space="preserve">Pakistan's tape staged a sharp reversal: the</w:t>
      </w:r>
      <w:r>
        <w:t xml:space="preserve"> </w:t>
      </w:r>
      <w:r>
        <w:rPr>
          <w:bCs/>
          <w:b/>
        </w:rPr>
        <w:t xml:space="preserve">KSE-100</w:t>
      </w:r>
      <w:r>
        <w:t xml:space="preserve"> </w:t>
      </w:r>
      <w:r>
        <w:t xml:space="preserve">surged 2,592.79 points (+1.56%) Tuesday to</w:t>
      </w:r>
      <w:r>
        <w:t xml:space="preserve"> </w:t>
      </w:r>
      <w:r>
        <w:rPr>
          <w:bCs/>
          <w:b/>
        </w:rPr>
        <w:t xml:space="preserve">168,460.10</w:t>
      </w:r>
      <w:r>
        <w:t xml:space="preserve">, clawing back most of Monday's 2,288-point rout as buying returned broadly across autos, cement, banks, E&amp;Ps, OMCs, power and refineries. Volume rose to roughly 193.4 million shares worth Rs7.71 billion, with advancers beating decliners 267 to 199 across 570 names. The</w:t>
      </w:r>
      <w:r>
        <w:t xml:space="preserve"> </w:t>
      </w:r>
      <w:r>
        <w:rPr>
          <w:bCs/>
          <w:b/>
        </w:rPr>
        <w:t xml:space="preserve">SBP</w:t>
      </w:r>
      <w:r>
        <w:t xml:space="preserve"> </w:t>
      </w:r>
      <w:r>
        <w:t xml:space="preserve">held its policy rate at 11.5% on 14 September as September CPI eased to 10.3% y/y, and the rupee held broadly steady near 277.15 interbank. The</w:t>
      </w:r>
      <w:r>
        <w:t xml:space="preserve"> </w:t>
      </w:r>
      <w:r>
        <w:rPr>
          <w:bCs/>
          <w:b/>
        </w:rPr>
        <w:t xml:space="preserve">IMF</w:t>
      </w:r>
      <w:r>
        <w:t xml:space="preserve">'s fourth EFF/third RSF review remains the key swing factor, with roughly $1.2bn in disbursements hinging on its outcome and a 30 October deadline for 10,000 federal employees to declare assets digitally.</w:t>
      </w:r>
      <w:r>
        <w:t xml:space="preserve"> </w:t>
      </w:r>
      <w:hyperlink r:id="rId20">
        <w:r>
          <w:rPr>
            <w:rStyle w:val="Hyperlink"/>
          </w:rPr>
          <w:t xml:space="preserve">Business Recorder</w:t>
        </w:r>
      </w:hyperlink>
      <w:r>
        <w:t xml:space="preserve"> </w:t>
      </w:r>
      <w:r>
        <w:t xml:space="preserve">and</w:t>
      </w:r>
      <w:r>
        <w:t xml:space="preserve"> </w:t>
      </w:r>
      <w:hyperlink r:id="rId21">
        <w:r>
          <w:rPr>
            <w:rStyle w:val="Hyperlink"/>
          </w:rPr>
          <w:t xml:space="preserve">The Express Tribune</w:t>
        </w:r>
      </w:hyperlink>
      <w:r>
        <w:t xml:space="preserve">.</w:t>
      </w:r>
    </w:p>
    <w:bookmarkEnd w:id="31"/>
    <w:bookmarkStart w:id="34" w:name="b.-gcc-middle-east"/>
    <w:p>
      <w:pPr>
        <w:pStyle w:val="Heading3"/>
      </w:pPr>
      <w:r>
        <w:t xml:space="preserve">B. GCC &amp; Middle East</w:t>
      </w:r>
    </w:p>
    <w:p>
      <w:pPr>
        <w:pStyle w:val="FirstParagraph"/>
      </w:pPr>
      <w:r>
        <w:t xml:space="preserve">Gulf fundamentals stayed resilient even as the security backdrop deteriorated. Saudi Arabia's non-oil PMI rose to a seven-month high of</w:t>
      </w:r>
      <w:r>
        <w:t xml:space="preserve"> </w:t>
      </w:r>
      <w:r>
        <w:rPr>
          <w:bCs/>
          <w:b/>
        </w:rPr>
        <w:t xml:space="preserve">55.3</w:t>
      </w:r>
      <w:r>
        <w:t xml:space="preserve"> </w:t>
      </w:r>
      <w:r>
        <w:t xml:space="preserve">in September (from 53.8 in August), with new orders growing at their fastest pace since February even as export orders fell for a seventh straight month on Red Sea-linked shipping disruption; the Crown Prince's</w:t>
      </w:r>
      <w:r>
        <w:t xml:space="preserve"> </w:t>
      </w:r>
      <w:r>
        <w:rPr>
          <w:bCs/>
          <w:b/>
        </w:rPr>
        <w:t xml:space="preserve">PIF 2026–2030 strategy</w:t>
      </w:r>
      <w:r>
        <w:t xml:space="preserve"> </w:t>
      </w:r>
      <w:r>
        <w:t xml:space="preserve">continues to back national champions and global partnerships under Vision 2030.</w:t>
      </w:r>
      <w:r>
        <w:t xml:space="preserve"> </w:t>
      </w:r>
      <w:r>
        <w:rPr>
          <w:bCs/>
          <w:b/>
        </w:rPr>
        <w:t xml:space="preserve">OPEC+</w:t>
      </w:r>
      <w:r>
        <w:t xml:space="preserve">'s seven core producers held November output steady at 31 million bpd on 4 October, with Gulf crude exports ex-Iran near 81% of pre-war levels, before Houthi missile and drone strikes on Saudi Aramco facilities in Riyadh and Khurais over the weekend revived supply-risk premia and pushed Brent back toward $101.60.</w:t>
      </w:r>
      <w:r>
        <w:t xml:space="preserve"> </w:t>
      </w:r>
      <w:hyperlink r:id="rId32">
        <w:r>
          <w:rPr>
            <w:rStyle w:val="Hyperlink"/>
          </w:rPr>
          <w:t xml:space="preserve">ICIS</w:t>
        </w:r>
      </w:hyperlink>
      <w:r>
        <w:t xml:space="preserve"> </w:t>
      </w:r>
      <w:r>
        <w:t xml:space="preserve">and</w:t>
      </w:r>
      <w:r>
        <w:t xml:space="preserve"> </w:t>
      </w:r>
      <w:hyperlink r:id="rId33">
        <w:r>
          <w:rPr>
            <w:rStyle w:val="Hyperlink"/>
          </w:rPr>
          <w:t xml:space="preserve">IBTimes</w:t>
        </w:r>
      </w:hyperlink>
      <w:r>
        <w:t xml:space="preserve">.</w:t>
      </w:r>
    </w:p>
    <w:bookmarkEnd w:id="34"/>
    <w:bookmarkStart w:id="36" w:name="c.-global-intelligence"/>
    <w:p>
      <w:pPr>
        <w:pStyle w:val="Heading3"/>
      </w:pPr>
      <w:r>
        <w:t xml:space="preserve">C. Global Intelligence</w:t>
      </w:r>
    </w:p>
    <w:p>
      <w:pPr>
        <w:pStyle w:val="FirstParagraph"/>
      </w:pPr>
      <w:r>
        <w:t xml:space="preserve">Wall Street extended its run Tuesday —</w:t>
      </w:r>
      <w:r>
        <w:t xml:space="preserve"> </w:t>
      </w:r>
      <w:r>
        <w:rPr>
          <w:bCs/>
          <w:b/>
        </w:rPr>
        <w:t xml:space="preserve">S&amp;P 500 +0.58%</w:t>
      </w:r>
      <w:r>
        <w:t xml:space="preserve"> </w:t>
      </w:r>
      <w:r>
        <w:t xml:space="preserve">to a record 7,818.93,</w:t>
      </w:r>
      <w:r>
        <w:t xml:space="preserve"> </w:t>
      </w:r>
      <w:r>
        <w:rPr>
          <w:bCs/>
          <w:b/>
        </w:rPr>
        <w:t xml:space="preserve">Dow +0.49%</w:t>
      </w:r>
      <w:r>
        <w:t xml:space="preserve"> </w:t>
      </w:r>
      <w:r>
        <w:t xml:space="preserve">to 51,521.28, and</w:t>
      </w:r>
      <w:r>
        <w:t xml:space="preserve"> </w:t>
      </w:r>
      <w:r>
        <w:rPr>
          <w:bCs/>
          <w:b/>
        </w:rPr>
        <w:t xml:space="preserve">Nasdaq +0.45%</w:t>
      </w:r>
      <w:r>
        <w:t xml:space="preserve"> </w:t>
      </w:r>
      <w:r>
        <w:t xml:space="preserve">to a record 27,599.79 — led by Nvidia and AMD, as long-dated Treasury yields eased off Monday's multi-decade highs (10-year near 5.27%, 2-year near 4.80%). Minutes from the Fed's hawkish 15–16 September hike to 3.75–4.00% are due today at 2:00pm ET, with prediction markets pricing roughly 81–84% odds of a hold at the 28 October FOMC meeting. A bipartisan continuing resolution, signed 2 September, keeps Washington funded through 11 December, removing shutdown risk through the midterm run-up even as full-year appropriations remain unresolved.</w:t>
      </w:r>
      <w:r>
        <w:t xml:space="preserve"> </w:t>
      </w:r>
      <w:hyperlink r:id="rId22">
        <w:r>
          <w:rPr>
            <w:rStyle w:val="Hyperlink"/>
          </w:rPr>
          <w:t xml:space="preserve">Yahoo Finance</w:t>
        </w:r>
      </w:hyperlink>
      <w:r>
        <w:t xml:space="preserve"> </w:t>
      </w:r>
      <w:r>
        <w:t xml:space="preserve">and</w:t>
      </w:r>
      <w:r>
        <w:t xml:space="preserve"> </w:t>
      </w:r>
      <w:hyperlink r:id="rId35">
        <w:r>
          <w:rPr>
            <w:rStyle w:val="Hyperlink"/>
          </w:rPr>
          <w:t xml:space="preserve">Federal funding tracker</w:t>
        </w:r>
      </w:hyperlink>
      <w:r>
        <w:t xml:space="preserve">.</w:t>
      </w:r>
    </w:p>
    <w:bookmarkEnd w:id="36"/>
    <w:bookmarkEnd w:id="37"/>
    <w:bookmarkStart w:id="38" w:name="X03555bbbc64501a448992dc5229870556a9c339"/>
    <w:p>
      <w:pPr>
        <w:pStyle w:val="Heading2"/>
      </w:pPr>
      <w:r>
        <w:t xml:space="preserve">03</w:t>
      </w:r>
      <w:r>
        <w:t xml:space="preserve">Legislative &amp; Regulatory Tracker — Who Wins, Who Loses</w:t>
      </w:r>
    </w:p>
    <w:tbl>
      <w:tblPr>
        <w:tblStyle w:val="Table"/>
        <w:tblW w:type="pct" w:w="5000"/>
        <w:tblLook w:firstRow="1" w:lastRow="0" w:firstColumn="0" w:lastColumn="0" w:noHBand="0" w:noVBand="0" w:val="0020"/>
        <w:jc w:val="start"/>
      </w:tblPr>
      <w:tblGrid>
        <w:gridCol w:w="1188"/>
        <w:gridCol w:w="2296"/>
        <w:gridCol w:w="1663"/>
        <w:gridCol w:w="2772"/>
      </w:tblGrid>
      <w:tr>
        <w:trPr>
          <w:tblHeader w:val="true"/>
        </w:trPr>
        <w:tc>
          <w:tcPr/>
          <w:p>
            <w:pPr>
              <w:pStyle w:val="Compact"/>
              <w:jc w:val="left"/>
            </w:pPr>
            <w:r>
              <w:t xml:space="preserve">Jurisdiction</w:t>
            </w:r>
          </w:p>
        </w:tc>
        <w:tc>
          <w:tcPr/>
          <w:p>
            <w:pPr>
              <w:pStyle w:val="Compact"/>
              <w:jc w:val="left"/>
            </w:pPr>
            <w:r>
              <w:t xml:space="preserve">Legislation / Policy Change</w:t>
            </w:r>
          </w:p>
        </w:tc>
        <w:tc>
          <w:tcPr/>
          <w:p>
            <w:pPr>
              <w:pStyle w:val="Compact"/>
              <w:jc w:val="left"/>
            </w:pPr>
            <w:r>
              <w:t xml:space="preserve">Affected Sector(s)</w:t>
            </w:r>
          </w:p>
        </w:tc>
        <w:tc>
          <w:tcPr/>
          <w:p>
            <w:pPr>
              <w:pStyle w:val="Compact"/>
              <w:jc w:val="left"/>
            </w:pPr>
            <w:r>
              <w:t xml:space="preserve">Net Impact &amp; Strategic Outlook</w:t>
            </w:r>
          </w:p>
        </w:tc>
      </w:tr>
      <w:tr>
        <w:tc>
          <w:tcPr/>
          <w:p>
            <w:pPr>
              <w:pStyle w:val="Compact"/>
              <w:jc w:val="left"/>
            </w:pPr>
            <w:r>
              <w:rPr>
                <w:bCs/>
                <w:b/>
              </w:rPr>
              <w:t xml:space="preserve">Local — Pakistan</w:t>
            </w:r>
          </w:p>
        </w:tc>
        <w:tc>
          <w:tcPr/>
          <w:p>
            <w:pPr>
              <w:pStyle w:val="Compact"/>
              <w:jc w:val="left"/>
            </w:pPr>
            <w:hyperlink r:id="rId29">
              <w:r>
                <w:rPr>
                  <w:rStyle w:val="Hyperlink"/>
                </w:rPr>
                <w:t xml:space="preserve">IMF Fourth EFF / Third RSF Review</w:t>
              </w:r>
            </w:hyperlink>
            <w:r>
              <w:t xml:space="preserve"> </w:t>
            </w:r>
            <w:r>
              <w:t xml:space="preserve">(Petrova-led mission, opened late September) alongside a requirement for 10,000 federal employees to digitally declare assets by 30 October.</w:t>
            </w:r>
          </w:p>
        </w:tc>
        <w:tc>
          <w:tcPr/>
          <w:p>
            <w:pPr>
              <w:pStyle w:val="Compact"/>
              <w:jc w:val="left"/>
            </w:pPr>
            <w:r>
              <w:t xml:space="preserve">Banks, Fixed Income, Public Sector/Payroll</w:t>
            </w:r>
          </w:p>
        </w:tc>
        <w:tc>
          <w:tcPr/>
          <w:p>
            <w:pPr>
              <w:pStyle w:val="Compact"/>
              <w:jc w:val="left"/>
            </w:pPr>
            <w:r>
              <w:rPr>
                <w:bCs/>
                <w:b/>
              </w:rPr>
              <w:t xml:space="preserve">Wins:</w:t>
            </w:r>
            <w:r>
              <w:t xml:space="preserve"> </w:t>
            </w:r>
            <w:r>
              <w:t xml:space="preserve">banks and the fiscal position if the roughly $1.2bn combined EFF/RSF tranche is unlocked; governance credibility from the asset-declaration drive.</w:t>
            </w:r>
            <w:r>
              <w:t xml:space="preserve"> </w:t>
            </w:r>
            <w:r>
              <w:rPr>
                <w:bCs/>
                <w:b/>
              </w:rPr>
              <w:t xml:space="preserve">Loses:</w:t>
            </w:r>
            <w:r>
              <w:t xml:space="preserve"> </w:t>
            </w:r>
            <w:r>
              <w:t xml:space="preserve">consumers if IMF-linked energy-tariff adjustments accompany the review; federal employees facing a tight compliance deadline.</w:t>
            </w:r>
          </w:p>
        </w:tc>
      </w:tr>
      <w:tr>
        <w:tc>
          <w:tcPr/>
          <w:p>
            <w:pPr>
              <w:pStyle w:val="Compact"/>
              <w:jc w:val="left"/>
            </w:pPr>
            <w:r>
              <w:rPr>
                <w:bCs/>
                <w:b/>
              </w:rPr>
              <w:t xml:space="preserve">GCC — Saudi Arabia/OPEC+</w:t>
            </w:r>
          </w:p>
        </w:tc>
        <w:tc>
          <w:tcPr/>
          <w:p>
            <w:pPr>
              <w:pStyle w:val="Compact"/>
              <w:jc w:val="left"/>
            </w:pPr>
            <w:hyperlink r:id="rId25">
              <w:r>
                <w:rPr>
                  <w:rStyle w:val="Hyperlink"/>
                </w:rPr>
                <w:t xml:space="preserve">OPEC+'s November output hold</w:t>
              </w:r>
            </w:hyperlink>
            <w:r>
              <w:t xml:space="preserve"> </w:t>
            </w:r>
            <w:r>
              <w:t xml:space="preserve">at 31m bpd alongside Saudi Arabia's cut to November Asian official selling prices (up to $5/bbl) and the PIF's continuing 2026–2030 Vision 2030 strategy.</w:t>
            </w:r>
          </w:p>
        </w:tc>
        <w:tc>
          <w:tcPr/>
          <w:p>
            <w:pPr>
              <w:pStyle w:val="Compact"/>
              <w:jc w:val="left"/>
            </w:pPr>
            <w:r>
              <w:t xml:space="preserve">Energy, Shipping/Insurance, Non-Oil/Digital Infrastructure, Tourism</w:t>
            </w:r>
          </w:p>
        </w:tc>
        <w:tc>
          <w:tcPr/>
          <w:p>
            <w:pPr>
              <w:pStyle w:val="Compact"/>
              <w:jc w:val="left"/>
            </w:pPr>
            <w:r>
              <w:rPr>
                <w:bCs/>
                <w:b/>
              </w:rPr>
              <w:t xml:space="preserve">Wins:</w:t>
            </w:r>
            <w:r>
              <w:t xml:space="preserve"> </w:t>
            </w:r>
            <w:r>
              <w:t xml:space="preserve">Gulf oil exporters benefiting from OPEC+ discipline and Saudi price flexibility for Asian buyers; PIF-backed non-oil and tourism assets riding a seven-month PMI high.</w:t>
            </w:r>
            <w:r>
              <w:t xml:space="preserve"> </w:t>
            </w:r>
            <w:r>
              <w:rPr>
                <w:bCs/>
                <w:b/>
              </w:rPr>
              <w:t xml:space="preserve">Loses:</w:t>
            </w:r>
            <w:r>
              <w:t xml:space="preserve"> </w:t>
            </w:r>
            <w:r>
              <w:t xml:space="preserve">shippers and insurers still pricing a persistent Hormuz/Red Sea risk premium after fresh Houthi strikes on Saudi Aramco infrastructure.</w:t>
            </w:r>
          </w:p>
        </w:tc>
      </w:tr>
      <w:tr>
        <w:tc>
          <w:tcPr/>
          <w:p>
            <w:pPr>
              <w:pStyle w:val="Compact"/>
              <w:jc w:val="left"/>
            </w:pPr>
            <w:r>
              <w:rPr>
                <w:bCs/>
                <w:b/>
              </w:rPr>
              <w:t xml:space="preserve">Global</w:t>
            </w:r>
          </w:p>
        </w:tc>
        <w:tc>
          <w:tcPr/>
          <w:p>
            <w:pPr>
              <w:pStyle w:val="Compact"/>
              <w:jc w:val="left"/>
            </w:pPr>
            <w:r>
              <w:t xml:space="preserve">Bipartisan</w:t>
            </w:r>
            <w:r>
              <w:t xml:space="preserve"> </w:t>
            </w:r>
            <w:hyperlink r:id="rId35">
              <w:r>
                <w:rPr>
                  <w:rStyle w:val="Hyperlink"/>
                </w:rPr>
                <w:t xml:space="preserve">continuing resolution</w:t>
              </w:r>
            </w:hyperlink>
            <w:r>
              <w:t xml:space="preserve"> </w:t>
            </w:r>
            <w:r>
              <w:t xml:space="preserve">funding the US government through 11 December, alongside today's release of minutes from the Fed's hawkish September hike to 3.75–4.00%.</w:t>
            </w:r>
          </w:p>
        </w:tc>
        <w:tc>
          <w:tcPr/>
          <w:p>
            <w:pPr>
              <w:pStyle w:val="Compact"/>
              <w:jc w:val="left"/>
            </w:pPr>
            <w:r>
              <w:t xml:space="preserve">Federal Contractors, Rate-Sensitive Equities, Housing, Small-Caps</w:t>
            </w:r>
          </w:p>
        </w:tc>
        <w:tc>
          <w:tcPr/>
          <w:p>
            <w:pPr>
              <w:pStyle w:val="Compact"/>
              <w:jc w:val="left"/>
            </w:pPr>
            <w:r>
              <w:rPr>
                <w:bCs/>
                <w:b/>
              </w:rPr>
              <w:t xml:space="preserve">Wins:</w:t>
            </w:r>
            <w:r>
              <w:t xml:space="preserve"> </w:t>
            </w:r>
            <w:r>
              <w:t xml:space="preserve">federal agencies and contractors with funding certainty into December; large-cap tech riding the S&amp;P 500 and Nasdaq's record run.</w:t>
            </w:r>
            <w:r>
              <w:t xml:space="preserve"> </w:t>
            </w:r>
            <w:r>
              <w:rPr>
                <w:bCs/>
                <w:b/>
              </w:rPr>
              <w:t xml:space="preserve">Loses:</w:t>
            </w:r>
            <w:r>
              <w:t xml:space="preserve"> </w:t>
            </w:r>
            <w:r>
              <w:t xml:space="preserve">rate-sensitive housing and small-cap names exposed if the FOMC minutes confirm an additional 2026 hike is still on the table.</w:t>
            </w:r>
          </w:p>
        </w:tc>
      </w:tr>
    </w:tbl>
    <w:bookmarkEnd w:id="38"/>
    <w:bookmarkStart w:id="39" w:name="the-day-ahead-kse-100-levels-desk-stance"/>
    <w:p>
      <w:pPr>
        <w:pStyle w:val="Heading2"/>
      </w:pPr>
      <w:r>
        <w:t xml:space="preserve">04</w:t>
      </w:r>
      <w:r>
        <w:t xml:space="preserve">The Day Ahead — KSE-100 Levels &amp; Desk Stance</w:t>
      </w:r>
    </w:p>
    <w:p>
      <w:pPr>
        <w:pStyle w:val="FirstParagraph"/>
      </w:pPr>
      <w:r>
        <w:t xml:space="preserve">Support</w:t>
      </w:r>
      <w:r>
        <w:t xml:space="preserve"> </w:t>
      </w:r>
      <w:r>
        <w:t xml:space="preserve">EST.</w:t>
      </w:r>
    </w:p>
    <w:p>
      <w:pPr>
        <w:pStyle w:val="BodyText"/>
      </w:pPr>
      <w:r>
        <w:t xml:space="preserve">166,500</w:t>
      </w:r>
    </w:p>
    <w:p>
      <w:pPr>
        <w:pStyle w:val="BodyText"/>
      </w:pPr>
      <w:r>
        <w:t xml:space="preserve">post-rally support; deeper support at Tuesday's intraday low of 165,650</w:t>
      </w:r>
    </w:p>
    <w:p>
      <w:pPr>
        <w:pStyle w:val="BodyText"/>
      </w:pPr>
      <w:r>
        <w:t xml:space="preserve">Pivot</w:t>
      </w:r>
      <w:r>
        <w:t xml:space="preserve"> </w:t>
      </w:r>
      <w:r>
        <w:t xml:space="preserve">EST.</w:t>
      </w:r>
    </w:p>
    <w:p>
      <w:pPr>
        <w:pStyle w:val="BodyText"/>
      </w:pPr>
      <w:r>
        <w:t xml:space="preserve">168,460</w:t>
      </w:r>
    </w:p>
    <w:p>
      <w:pPr>
        <w:pStyle w:val="BodyText"/>
      </w:pPr>
      <w:r>
        <w:t xml:space="preserve">Tuesday's close</w:t>
      </w:r>
    </w:p>
    <w:p>
      <w:pPr>
        <w:pStyle w:val="BodyText"/>
      </w:pPr>
      <w:r>
        <w:t xml:space="preserve">Resistance</w:t>
      </w:r>
      <w:r>
        <w:t xml:space="preserve"> </w:t>
      </w:r>
      <w:r>
        <w:t xml:space="preserve">EST.</w:t>
      </w:r>
    </w:p>
    <w:p>
      <w:pPr>
        <w:pStyle w:val="BodyText"/>
      </w:pPr>
      <w:r>
        <w:t xml:space="preserve">168,630</w:t>
      </w:r>
    </w:p>
    <w:p>
      <w:pPr>
        <w:pStyle w:val="BodyText"/>
      </w:pPr>
      <w:r>
        <w:t xml:space="preserve">Tuesday's intraday high; then 170,000 psychological resistance</w:t>
      </w:r>
    </w:p>
    <w:p>
      <w:pPr>
        <w:pStyle w:val="BodyText"/>
      </w:pPr>
      <w:r>
        <w:t xml:space="preserve">The desk reads Tuesday's reversal as confirmation that Monday's political-driven rout was overextended rather than the start of a fresh down-leg: a 1.56% broad-based rally on improved volume, with advancers outnumbering decliners by a healthy margin, signals buyers stepping back in across banks, E&amp;Ps and autos. Direction into Wednesday hinges on three swing factors — whether today's FOMC minutes confirm or soften the Fed's hawkish tilt, whether the Houthi strikes on Saudi Aramco infrastructure escalate further and re-tighten the oil market, and the tone emerging from the IMF's fourth EFF review. We would treat a daily close above 168,630 as confirmation the rebound extends toward 170,000, and a break below 166,500 as a sign Monday's selling pressure has resumed. All levels are indicative desk estimates, not recommendations.</w:t>
      </w:r>
    </w:p>
    <w:p>
      <w:pPr>
        <w:pStyle w:val="BodyText"/>
      </w:pPr>
      <w:r>
        <w:rPr>
          <w:bCs/>
          <w:b/>
        </w:rPr>
        <w:t xml:space="preserve">Disclaimer:</w:t>
      </w:r>
      <w:r>
        <w:t xml:space="preserve"> </w:t>
      </w:r>
      <w:r>
        <w:t xml:space="preserve">Disclaimer: Produced by ContexAi for information and education only — not investment advice, a solicitation, or a guarantee. Trading securities, commodities and futures carries substantial risk of loss; leveraged futures can lose more than your margin. Levels are indicative. Consider your risk tolerance and consult a licensed financial adviser before acting. You alone are responsible for your trading decisions.</w:t>
      </w:r>
    </w:p>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finance.yahoo.com/markets/live/stock-market-today-tuesday-october-6-dow-sp-500-nasdaq-080526166.html" TargetMode="External" /><Relationship Type="http://schemas.openxmlformats.org/officeDocument/2006/relationships/hyperlink" Id="rId27" Target="https://fortune.com/article/current-price-of-gold-10-06-2026/" TargetMode="External" /><Relationship Type="http://schemas.openxmlformats.org/officeDocument/2006/relationships/hyperlink" Id="rId35" Target="https://govtschemes.org/government-shutdown-october-2026/" TargetMode="External" /><Relationship Type="http://schemas.openxmlformats.org/officeDocument/2006/relationships/hyperlink" Id="rId24" Target="https://gulfnews.com/business/energy/oil-prices-fall-brent-settles-at-10032-as-markets-weigh-higher-gulf-exports-g7-supply-boost-1.500699626" TargetMode="External" /><Relationship Type="http://schemas.openxmlformats.org/officeDocument/2006/relationships/hyperlink" Id="rId33" Target="https://ibtimes.com.au/oil-prices-rise-houthi-attacks-saudi-supply-concerns-1876348" TargetMode="External" /><Relationship Type="http://schemas.openxmlformats.org/officeDocument/2006/relationships/hyperlink" Id="rId29" Target="https://profit.pakistantoday.com.pk/2026/09/29/pakistan-imf-formally-begin-fourth-eff-review-talks" TargetMode="External" /><Relationship Type="http://schemas.openxmlformats.org/officeDocument/2006/relationships/hyperlink" Id="rId28" Target="https://tradingeconomics.com/pakistan/inflation-cpi/news/588738" TargetMode="External" /><Relationship Type="http://schemas.openxmlformats.org/officeDocument/2006/relationships/hyperlink" Id="rId21" Target="https://tribune.com.pk/story/2633263/kse-100-gains-over-500-points-as-investors-build-positions-across-major-sectors" TargetMode="External" /><Relationship Type="http://schemas.openxmlformats.org/officeDocument/2006/relationships/hyperlink" Id="rId20" Target="https://www.brecorder.com/news/40442862/psx-buying-at-bourse-kse-100-up-over-15" TargetMode="External" /><Relationship Type="http://schemas.openxmlformats.org/officeDocument/2006/relationships/hyperlink" Id="rId25" Target="https://www.cnbc.com/2026/10/04/opec-agrees-to-keep-november-oil-output-targets-steady.html" TargetMode="External" /><Relationship Type="http://schemas.openxmlformats.org/officeDocument/2006/relationships/hyperlink" Id="rId23" Target="https://www.cnbc.com/video/2026/10/06/post-market-wrap-october-6-2026.html" TargetMode="External" /><Relationship Type="http://schemas.openxmlformats.org/officeDocument/2006/relationships/hyperlink" Id="rId32" Target="https://www.icis.com/explore/resources/news/2026/10/05/11236071/saudi-arabia-sept-non-oil-pmi-hits-7-month-high-exports-a-weak-spot/" TargetMode="External" /><Relationship Type="http://schemas.openxmlformats.org/officeDocument/2006/relationships/hyperlink" Id="rId26" Target="https://www.kitco.com/news/article/2026-10-06/gold-silver-prices-rise-yields-ease-december-fed-risk-remains-kitco-am" TargetMode="External" /></Relationships>
</file>

<file path=word/_rels/footnotes.xml.rels><?xml version="1.0" encoding="UTF-8"?><Relationships xmlns="http://schemas.openxmlformats.org/package/2006/relationships"><Relationship Type="http://schemas.openxmlformats.org/officeDocument/2006/relationships/hyperlink" Id="rId22" Target="https://finance.yahoo.com/markets/live/stock-market-today-tuesday-october-6-dow-sp-500-nasdaq-080526166.html" TargetMode="External" /><Relationship Type="http://schemas.openxmlformats.org/officeDocument/2006/relationships/hyperlink" Id="rId27" Target="https://fortune.com/article/current-price-of-gold-10-06-2026/" TargetMode="External" /><Relationship Type="http://schemas.openxmlformats.org/officeDocument/2006/relationships/hyperlink" Id="rId35" Target="https://govtschemes.org/government-shutdown-october-2026/" TargetMode="External" /><Relationship Type="http://schemas.openxmlformats.org/officeDocument/2006/relationships/hyperlink" Id="rId24" Target="https://gulfnews.com/business/energy/oil-prices-fall-brent-settles-at-10032-as-markets-weigh-higher-gulf-exports-g7-supply-boost-1.500699626" TargetMode="External" /><Relationship Type="http://schemas.openxmlformats.org/officeDocument/2006/relationships/hyperlink" Id="rId33" Target="https://ibtimes.com.au/oil-prices-rise-houthi-attacks-saudi-supply-concerns-1876348" TargetMode="External" /><Relationship Type="http://schemas.openxmlformats.org/officeDocument/2006/relationships/hyperlink" Id="rId29" Target="https://profit.pakistantoday.com.pk/2026/09/29/pakistan-imf-formally-begin-fourth-eff-review-talks" TargetMode="External" /><Relationship Type="http://schemas.openxmlformats.org/officeDocument/2006/relationships/hyperlink" Id="rId28" Target="https://tradingeconomics.com/pakistan/inflation-cpi/news/588738" TargetMode="External" /><Relationship Type="http://schemas.openxmlformats.org/officeDocument/2006/relationships/hyperlink" Id="rId21" Target="https://tribune.com.pk/story/2633263/kse-100-gains-over-500-points-as-investors-build-positions-across-major-sectors" TargetMode="External" /><Relationship Type="http://schemas.openxmlformats.org/officeDocument/2006/relationships/hyperlink" Id="rId20" Target="https://www.brecorder.com/news/40442862/psx-buying-at-bourse-kse-100-up-over-15" TargetMode="External" /><Relationship Type="http://schemas.openxmlformats.org/officeDocument/2006/relationships/hyperlink" Id="rId25" Target="https://www.cnbc.com/2026/10/04/opec-agrees-to-keep-november-oil-output-targets-steady.html" TargetMode="External" /><Relationship Type="http://schemas.openxmlformats.org/officeDocument/2006/relationships/hyperlink" Id="rId23" Target="https://www.cnbc.com/video/2026/10/06/post-market-wrap-october-6-2026.html" TargetMode="External" /><Relationship Type="http://schemas.openxmlformats.org/officeDocument/2006/relationships/hyperlink" Id="rId32" Target="https://www.icis.com/explore/resources/news/2026/10/05/11236071/saudi-arabia-sept-non-oil-pmi-hits-7-month-high-exports-a-weak-spot/" TargetMode="External" /><Relationship Type="http://schemas.openxmlformats.org/officeDocument/2006/relationships/hyperlink" Id="rId26" Target="https://www.kitco.com/news/article/2026-10-06/gold-silver-prices-rise-yields-ease-december-fed-risk-remains-kitco-a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 Vibes — Morning Brief · Wednesday, 07 October 2026</dc:title>
  <dc:creator/>
  <dc:language>en</dc:language>
  <cp:keywords/>
  <dcterms:created xsi:type="dcterms:W3CDTF">2026-10-07T07:32:23Z</dcterms:created>
  <dcterms:modified xsi:type="dcterms:W3CDTF">2026-10-07T07:32:23Z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