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Economic</w:t>
      </w:r>
      <w:r>
        <w:t xml:space="preserve"> </w:t>
      </w:r>
      <w:r>
        <w:t xml:space="preserve">Vibes</w:t>
      </w:r>
      <w:r>
        <w:t xml:space="preserve"> </w:t>
      </w:r>
      <w:r>
        <w:t xml:space="preserve">—</w:t>
      </w:r>
      <w:r>
        <w:t xml:space="preserve"> </w:t>
      </w:r>
      <w:r>
        <w:t xml:space="preserve">Morning</w:t>
      </w:r>
      <w:r>
        <w:t xml:space="preserve"> </w:t>
      </w:r>
      <w:r>
        <w:t xml:space="preserve">Brief</w:t>
      </w:r>
      <w:r>
        <w:t xml:space="preserve"> </w:t>
      </w:r>
      <w:r>
        <w:t xml:space="preserve">·</w:t>
      </w:r>
      <w:r>
        <w:t xml:space="preserve"> </w:t>
      </w:r>
      <w:r>
        <w:t xml:space="preserve">Monday,</w:t>
      </w:r>
      <w:r>
        <w:t xml:space="preserve"> </w:t>
      </w:r>
      <w:r>
        <w:t xml:space="preserve">07</w:t>
      </w:r>
      <w:r>
        <w:t xml:space="preserve"> </w:t>
      </w:r>
      <w:r>
        <w:t xml:space="preserve">September</w:t>
      </w:r>
      <w:r>
        <w:t xml:space="preserve"> </w:t>
      </w:r>
      <w:r>
        <w:t xml:space="preserve">2026</w:t>
      </w:r>
    </w:p>
    <w:p>
      <w:pPr>
        <w:pStyle w:val="FirstParagraph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ContexAi — Economic Vibes · A ContexAi Research Product · contexai.org · Delivered ~06:30 AM PKT · WhatsApp Channel: Economic Vibes</w:t>
      </w:r>
    </w:p>
    <w:p>
      <w:pPr>
        <w:pStyle w:val="BodyText"/>
      </w:pPr>
      <w:r>
        <w:t xml:space="preserve">ContexAi Group</w:t>
      </w:r>
      <w:r>
        <w:t xml:space="preserve">|</w:t>
      </w:r>
      <w:r>
        <w:t xml:space="preserve">Economic Vibes — Morning Brief</w:t>
      </w:r>
    </w:p>
    <w:p>
      <w:pPr>
        <w:pStyle w:val="BodyText"/>
      </w:pPr>
      <w:r>
        <w:rPr>
          <w:bCs/>
          <w:b/>
        </w:rPr>
        <w:t xml:space="preserve">Monday, 07 September 2026</w:t>
      </w:r>
      <w:r>
        <w:br/>
      </w:r>
      <w:r>
        <w:t xml:space="preserve">Morning Edition · PKT</w:t>
      </w:r>
    </w:p>
    <w:p>
      <w:pPr>
        <w:pStyle w:val="BodyText"/>
      </w:pPr>
      <w:r>
        <w:t xml:space="preserve">ContexAi Research Desk · Sourced via Reuters, CNBC, Business Recorder, Express Tribune, Mettis Global, AGBI, Gulf News, S&amp;P Global, Kitco, SBP &amp; Regulatory Trackers · For the C-Suite &amp; HNW Investor ·</w:t>
      </w:r>
      <w:r>
        <w:t xml:space="preserve"> </w:t>
      </w:r>
      <w:r>
        <w:rPr>
          <w:bCs/>
          <w:b/>
        </w:rPr>
        <w:t xml:space="preserve">V</w:t>
      </w:r>
      <w:r>
        <w:t xml:space="preserve"> </w:t>
      </w:r>
      <w:r>
        <w:t xml:space="preserve">= verified vs licensed media/official portal ·</w:t>
      </w:r>
      <w:r>
        <w:t xml:space="preserve"> </w:t>
      </w:r>
      <w:r>
        <w:rPr>
          <w:bCs/>
          <w:b/>
        </w:rPr>
        <w:t xml:space="preserve">EST.</w:t>
      </w:r>
      <w:r>
        <w:t xml:space="preserve"> </w:t>
      </w:r>
      <w:r>
        <w:t xml:space="preserve">= ContexAi desk estimate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KSE-100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175,329</w:t>
      </w:r>
    </w:p>
    <w:p>
      <w:pPr>
        <w:pStyle w:val="BodyText"/>
      </w:pPr>
      <w:r>
        <w:t xml:space="preserve">▲ 0.23% Fri · +399 pts</w:t>
      </w:r>
    </w:p>
    <w:p>
      <w:pPr>
        <w:pStyle w:val="BodyText"/>
      </w:pPr>
      <w:r>
        <w:t xml:space="preserve">S&amp;P 500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▼ 0.38%</w:t>
      </w:r>
    </w:p>
    <w:p>
      <w:pPr>
        <w:pStyle w:val="BodyText"/>
      </w:pPr>
      <w:r>
        <w:t xml:space="preserve">Nasdaq -0.29% · Dow -0.51%</w:t>
      </w:r>
    </w:p>
    <w:p>
      <w:pPr>
        <w:pStyle w:val="BodyText"/>
      </w:pPr>
      <w:r>
        <w:t xml:space="preserve">US 10Y / 2Y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4.78 / 4.34</w:t>
      </w:r>
    </w:p>
    <w:p>
      <w:pPr>
        <w:pStyle w:val="BodyText"/>
      </w:pPr>
      <w:r>
        <w:t xml:space="preserve">hot jobs data · hike bets firm</w:t>
      </w:r>
    </w:p>
    <w:p>
      <w:pPr>
        <w:pStyle w:val="BodyText"/>
      </w:pPr>
      <w:r>
        <w:t xml:space="preserve">Brent / WTI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$97.5 / $92.6</w:t>
      </w:r>
    </w:p>
    <w:p>
      <w:pPr>
        <w:pStyle w:val="BodyText"/>
      </w:pPr>
      <w:r>
        <w:t xml:space="preserve">+1.2% Mon · Iran-Kuwait strikes</w:t>
      </w:r>
    </w:p>
    <w:p>
      <w:pPr>
        <w:pStyle w:val="BodyText"/>
      </w:pPr>
      <w:r>
        <w:t xml:space="preserve">Gold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$4,420</w:t>
      </w:r>
    </w:p>
    <w:p>
      <w:pPr>
        <w:pStyle w:val="BodyText"/>
      </w:pPr>
      <w:r>
        <w:t xml:space="preserve">−1.3% · silver $66.30</w:t>
      </w:r>
    </w:p>
    <w:p>
      <w:pPr>
        <w:pStyle w:val="BodyText"/>
      </w:pPr>
      <w:r>
        <w:t xml:space="preserve">USD/PKR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277.50</w:t>
      </w:r>
    </w:p>
    <w:p>
      <w:pPr>
        <w:pStyle w:val="BodyText"/>
      </w:pPr>
      <w:r>
        <w:t xml:space="preserve">interbank · little changed</w:t>
      </w:r>
    </w:p>
    <w:bookmarkStart w:id="29" w:name="X931b5a47ae4f286c693f0c27fa86217237ab988"/>
    <w:p>
      <w:pPr>
        <w:pStyle w:val="Heading2"/>
      </w:pPr>
      <w:r>
        <w:t xml:space="preserve">01</w:t>
      </w:r>
      <w:r>
        <w:t xml:space="preserve">Five Things You Need To Know To Start Your Day</w:t>
      </w:r>
    </w:p>
    <w:p>
      <w:pPr>
        <w:numPr>
          <w:ilvl w:val="0"/>
          <w:numId w:val="1001"/>
        </w:numPr>
        <w:pStyle w:val="Compact"/>
      </w:pPr>
      <w:r>
        <w:t xml:space="preserve">Payrolls Shock Revives Hike Bets</w:t>
      </w:r>
      <w:r>
        <w:t xml:space="preserve"> </w:t>
      </w:r>
      <w:r>
        <w:t xml:space="preserve">An outsized August payrolls beat —</w:t>
      </w:r>
      <w:r>
        <w:t xml:space="preserve"> </w:t>
      </w:r>
      <w:r>
        <w:rPr>
          <w:bCs/>
          <w:b/>
        </w:rPr>
        <w:t xml:space="preserve">+162,000 jobs</w:t>
      </w:r>
      <w:r>
        <w:t xml:space="preserve"> </w:t>
      </w:r>
      <w:r>
        <w:t xml:space="preserve">against a 53,000 consensus, with unemployment steady at 4.1% — pushed the 10-year Treasury yield to</w:t>
      </w:r>
      <w:r>
        <w:t xml:space="preserve"> </w:t>
      </w:r>
      <w:r>
        <w:rPr>
          <w:bCs/>
          <w:b/>
        </w:rPr>
        <w:t xml:space="preserve">4.78%</w:t>
      </w:r>
      <w:r>
        <w:t xml:space="preserve"> </w:t>
      </w:r>
      <w:r>
        <w:t xml:space="preserve">and the 2-year to 4.34%, its highest since January 2025, as traders lifted the odds of a hike at the 15–16 September FOMC to near 60% on CME FedWatch. Fed Governor Waller had argued the committee could “wait one meeting” for disinflation to show, but the data cuts against that case. Sources:</w:t>
      </w:r>
      <w:r>
        <w:t xml:space="preserve"> </w:t>
      </w:r>
      <w:hyperlink r:id="rId20">
        <w:r>
          <w:rPr>
            <w:rStyle w:val="Hyperlink"/>
          </w:rPr>
          <w:t xml:space="preserve">CNBC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USAGOLD</w:t>
        </w:r>
      </w:hyperlink>
      <w:r>
        <w:t xml:space="preserve">. Sentiment:</w:t>
      </w:r>
      <w:r>
        <w:t xml:space="preserve"> </w:t>
      </w:r>
      <w:r>
        <w:t xml:space="preserve">hawkish repricing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Wall Street Retreats From Records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S&amp;P 500</w:t>
      </w:r>
      <w:r>
        <w:t xml:space="preserve"> </w:t>
      </w:r>
      <w:r>
        <w:t xml:space="preserve">fell 0.38% to 7,718.60, the</w:t>
      </w:r>
      <w:r>
        <w:t xml:space="preserve"> </w:t>
      </w:r>
      <w:r>
        <w:rPr>
          <w:bCs/>
          <w:b/>
        </w:rPr>
        <w:t xml:space="preserve">Dow</w:t>
      </w:r>
      <w:r>
        <w:t xml:space="preserve"> </w:t>
      </w:r>
      <w:r>
        <w:t xml:space="preserve">lost 0.51% to 53,414.25 and the</w:t>
      </w:r>
      <w:r>
        <w:t xml:space="preserve"> </w:t>
      </w:r>
      <w:r>
        <w:rPr>
          <w:bCs/>
          <w:b/>
        </w:rPr>
        <w:t xml:space="preserve">Nasdaq</w:t>
      </w:r>
      <w:r>
        <w:t xml:space="preserve"> </w:t>
      </w:r>
      <w:r>
        <w:t xml:space="preserve">eased 0.29% to 26,506.99 on Friday as the hot jobs print reversed the week's rate-cut optimism and pulled equities off their highs. Sources:</w:t>
      </w:r>
      <w:r>
        <w:t xml:space="preserve"> </w:t>
      </w:r>
      <w:hyperlink r:id="rId22">
        <w:r>
          <w:rPr>
            <w:rStyle w:val="Hyperlink"/>
          </w:rPr>
          <w:t xml:space="preserve">Washington Post</w:t>
        </w:r>
      </w:hyperlink>
      <w:r>
        <w:t xml:space="preserve">,</w:t>
      </w:r>
      <w:r>
        <w:t xml:space="preserve"> </w:t>
      </w:r>
      <w:hyperlink r:id="rId23">
        <w:r>
          <w:rPr>
            <w:rStyle w:val="Hyperlink"/>
          </w:rPr>
          <w:t xml:space="preserve">TheStreet</w:t>
        </w:r>
      </w:hyperlink>
      <w:r>
        <w:t xml:space="preserve">. Sentiment:</w:t>
      </w:r>
      <w:r>
        <w:t xml:space="preserve"> </w:t>
      </w:r>
      <w:r>
        <w:t xml:space="preserve">risk-off close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Brent Nears $97 on Iran-Kuwait Strikes</w:t>
      </w:r>
      <w:r>
        <w:t xml:space="preserve"> </w:t>
      </w:r>
      <w:r>
        <w:t xml:space="preserve">Crude extended its advance toward three-month highs on Monday —</w:t>
      </w:r>
      <w:r>
        <w:t xml:space="preserve"> </w:t>
      </w:r>
      <w:r>
        <w:rPr>
          <w:bCs/>
          <w:b/>
        </w:rPr>
        <w:t xml:space="preserve">Brent at $97.47/bbl</w:t>
      </w:r>
      <w:r>
        <w:t xml:space="preserve"> </w:t>
      </w:r>
      <w:r>
        <w:t xml:space="preserve">(+1.24%) and</w:t>
      </w:r>
      <w:r>
        <w:t xml:space="preserve"> </w:t>
      </w:r>
      <w:r>
        <w:rPr>
          <w:bCs/>
          <w:b/>
        </w:rPr>
        <w:t xml:space="preserve">WTI at $92.59/bbl</w:t>
      </w:r>
      <w:r>
        <w:t xml:space="preserve"> </w:t>
      </w:r>
      <w:r>
        <w:t xml:space="preserve">(+1.22%) — after Iranian strikes hit US-linked bases in Kuwait on 2–3 September, keeping a Strait of Hormuz risk premium bid even as OPEC+'s seven core members head into their</w:t>
      </w:r>
      <w:r>
        <w:t xml:space="preserve"> </w:t>
      </w:r>
      <w:r>
        <w:rPr>
          <w:bCs/>
          <w:b/>
        </w:rPr>
        <w:t xml:space="preserve">6 September meeting</w:t>
      </w:r>
      <w:r>
        <w:t xml:space="preserve"> </w:t>
      </w:r>
      <w:r>
        <w:t xml:space="preserve">expected to hold quotas steady into Q4. Sources:</w:t>
      </w:r>
      <w:r>
        <w:t xml:space="preserve"> </w:t>
      </w:r>
      <w:hyperlink r:id="rId24">
        <w:r>
          <w:rPr>
            <w:rStyle w:val="Hyperlink"/>
          </w:rPr>
          <w:t xml:space="preserve">Trading Economics</w:t>
        </w:r>
      </w:hyperlink>
      <w:r>
        <w:t xml:space="preserve">,</w:t>
      </w:r>
      <w:r>
        <w:t xml:space="preserve"> </w:t>
      </w:r>
      <w:hyperlink r:id="rId25">
        <w:r>
          <w:rPr>
            <w:rStyle w:val="Hyperlink"/>
          </w:rPr>
          <w:t xml:space="preserve">Rio Times</w:t>
        </w:r>
      </w:hyperlink>
      <w:r>
        <w:t xml:space="preserve">. Sentiment:</w:t>
      </w:r>
      <w:r>
        <w:t xml:space="preserve"> </w:t>
      </w:r>
      <w:r>
        <w:t xml:space="preserve">supply risk building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KSE-100 Grinds to a Firmer Close</w:t>
      </w:r>
      <w:r>
        <w:t xml:space="preserve"> </w:t>
      </w:r>
      <w:r>
        <w:t xml:space="preserve">The benchmark added 399.14 points (0.23%) to close at</w:t>
      </w:r>
      <w:r>
        <w:t xml:space="preserve"> </w:t>
      </w:r>
      <w:r>
        <w:rPr>
          <w:bCs/>
          <w:b/>
        </w:rPr>
        <w:t xml:space="preserve">175,328.82</w:t>
      </w:r>
      <w:r>
        <w:t xml:space="preserve"> </w:t>
      </w:r>
      <w:r>
        <w:t xml:space="preserve">on Friday, swinging between an intraday low of 174,515.38 and a high of 175,418.29. Ready-market volume rose to 874.32 million shares worth Rs32.42bn, with breadth split 235 advancers to 218 decliners (43 unchanged). MEBL, BAHL, MARI, PPL and OGDC added a combined 250 points; UBL, ATRL, PSEL, Cnergyico and FFC dragged the index down 212 points as rising oil prices kept investors cautious. Sources:</w:t>
      </w:r>
      <w:r>
        <w:t xml:space="preserve"> </w:t>
      </w:r>
      <w:hyperlink r:id="rId26">
        <w:r>
          <w:rPr>
            <w:rStyle w:val="Hyperlink"/>
          </w:rPr>
          <w:t xml:space="preserve">Business Recorder</w:t>
        </w:r>
      </w:hyperlink>
      <w:r>
        <w:t xml:space="preserve">. Sentiment:</w:t>
      </w:r>
      <w:r>
        <w:t xml:space="preserve"> </w:t>
      </w:r>
      <w:r>
        <w:t xml:space="preserve">choppy but constructive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Pakistan CPI Back in Double Digits</w:t>
      </w:r>
      <w:r>
        <w:t xml:space="preserve"> </w:t>
      </w:r>
      <w:r>
        <w:t xml:space="preserve">August CPI accelerated to</w:t>
      </w:r>
      <w:r>
        <w:t xml:space="preserve"> </w:t>
      </w:r>
      <w:r>
        <w:rPr>
          <w:bCs/>
          <w:b/>
        </w:rPr>
        <w:t xml:space="preserve">11.1% y/y</w:t>
      </w:r>
      <w:r>
        <w:t xml:space="preserve"> </w:t>
      </w:r>
      <w:r>
        <w:t xml:space="preserve">from 9.2% in July — urban inflation at 10.4%, rural at 12.2% — on higher food and fuel costs, complicating the SBP's path after it held its policy rate at 11.5% for a second straight meeting in July. KIBOR has begun inching up in sympathy, with 6-month paper at 11.61–11.86% as of Friday. Sources:</w:t>
      </w:r>
      <w:r>
        <w:t xml:space="preserve"> </w:t>
      </w:r>
      <w:hyperlink r:id="rId27">
        <w:r>
          <w:rPr>
            <w:rStyle w:val="Hyperlink"/>
          </w:rPr>
          <w:t xml:space="preserve">Business Recorder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PBS</w:t>
        </w:r>
      </w:hyperlink>
      <w:r>
        <w:t xml:space="preserve">. Sentiment:</w:t>
      </w:r>
      <w:r>
        <w:t xml:space="preserve"> </w:t>
      </w:r>
      <w:r>
        <w:t xml:space="preserve">inflation resurging</w:t>
      </w:r>
      <w:r>
        <w:t xml:space="preserve">.</w:t>
      </w:r>
    </w:p>
    <w:bookmarkEnd w:id="29"/>
    <w:bookmarkStart w:id="36" w:name="regional-market-economic-matrix"/>
    <w:p>
      <w:pPr>
        <w:pStyle w:val="Heading2"/>
      </w:pPr>
      <w:r>
        <w:t xml:space="preserve">02</w:t>
      </w:r>
      <w:r>
        <w:t xml:space="preserve">Regional Market &amp; Economic Matrix</w:t>
      </w:r>
    </w:p>
    <w:bookmarkStart w:id="31" w:name="a.-local-market-pakistan-focus"/>
    <w:p>
      <w:pPr>
        <w:pStyle w:val="Heading3"/>
      </w:pPr>
      <w:r>
        <w:t xml:space="preserve">A. Local Market — Pakistan Focus</w:t>
      </w:r>
    </w:p>
    <w:p>
      <w:pPr>
        <w:pStyle w:val="FirstParagraph"/>
      </w:pPr>
      <w:r>
        <w:t xml:space="preserve">Pakistan's macro picture turned more complicated this week: August CPI jumped to</w:t>
      </w:r>
      <w:r>
        <w:t xml:space="preserve"> </w:t>
      </w:r>
      <w:r>
        <w:rPr>
          <w:bCs/>
          <w:b/>
        </w:rPr>
        <w:t xml:space="preserve">11.1% y/y</w:t>
      </w:r>
      <w:r>
        <w:t xml:space="preserve"> </w:t>
      </w:r>
      <w:r>
        <w:t xml:space="preserve">from 9.2% in July, its first double-digit print in months, even as the KSE-100 added 0.23% to close at 175,328.82 on Friday on broad-based buying in banks, autos and E&amp;P. SBP foreign reserves rose to</w:t>
      </w:r>
      <w:r>
        <w:t xml:space="preserve"> </w:t>
      </w:r>
      <w:r>
        <w:rPr>
          <w:bCs/>
          <w:b/>
        </w:rPr>
        <w:t xml:space="preserve">$17.12bn</w:t>
      </w:r>
      <w:r>
        <w:t xml:space="preserve"> </w:t>
      </w:r>
      <w:r>
        <w:t xml:space="preserve">in the week to 28 August, with FY26 remittances tracking toward $42bn, and the central bank holds its policy rate at 11.5% into a September MPC that now looks more finely balanced given the inflation resurgence and a firmer oil import bill. USD/PKR interbank held little changed near 277.50. Sources:</w:t>
      </w:r>
      <w:r>
        <w:t xml:space="preserve"> </w:t>
      </w:r>
      <w:hyperlink r:id="rId27">
        <w:r>
          <w:rPr>
            <w:rStyle w:val="Hyperlink"/>
          </w:rPr>
          <w:t xml:space="preserve">Business Recorder</w:t>
        </w:r>
      </w:hyperlink>
      <w:r>
        <w:t xml:space="preserve">,</w:t>
      </w:r>
      <w:r>
        <w:t xml:space="preserve"> </w:t>
      </w:r>
      <w:hyperlink r:id="rId30">
        <w:r>
          <w:rPr>
            <w:rStyle w:val="Hyperlink"/>
          </w:rPr>
          <w:t xml:space="preserve">ProPakistani</w:t>
        </w:r>
      </w:hyperlink>
      <w:r>
        <w:t xml:space="preserve">.</w:t>
      </w:r>
    </w:p>
    <w:bookmarkEnd w:id="31"/>
    <w:bookmarkStart w:id="34" w:name="b.-gcc-middle-east"/>
    <w:p>
      <w:pPr>
        <w:pStyle w:val="Heading3"/>
      </w:pPr>
      <w:r>
        <w:t xml:space="preserve">B. GCC &amp; Middle East</w:t>
      </w:r>
    </w:p>
    <w:p>
      <w:pPr>
        <w:pStyle w:val="FirstParagraph"/>
      </w:pPr>
      <w:r>
        <w:t xml:space="preserve">Gulf non-oil momentum stayed resilient despite the conflict backdrop: the UAE's S&amp;P Global PMI rose to</w:t>
      </w:r>
      <w:r>
        <w:t xml:space="preserve"> </w:t>
      </w:r>
      <w:r>
        <w:rPr>
          <w:bCs/>
          <w:b/>
        </w:rPr>
        <w:t xml:space="preserve">55.3 in August</w:t>
      </w:r>
      <w:r>
        <w:t xml:space="preserve"> </w:t>
      </w:r>
      <w:r>
        <w:t xml:space="preserve">from 52.7, its fastest pace since December 2024, while Saudi Arabia's Riyad Bank PMI climbed to a six-month high of</w:t>
      </w:r>
      <w:r>
        <w:t xml:space="preserve"> </w:t>
      </w:r>
      <w:r>
        <w:rPr>
          <w:bCs/>
          <w:b/>
        </w:rPr>
        <w:t xml:space="preserve">53.8</w:t>
      </w:r>
      <w:r>
        <w:t xml:space="preserve">. That strength is being tested by a firmer oil tape — Brent near $97.5/bbl on renewed Iran-Kuwait strikes — as OPEC+'s seven core members head into a 6 September meeting expected to hold quotas steady into Q4 after completing their planned 2026 output-cut unwind. Saudi's PIF, meanwhile, is executing its board-approved 2026–2030 strategy prioritising tourism, travel and domestic ecosystem investment as Vision 2030 enters its final stretch. Sources:</w:t>
      </w:r>
      <w:r>
        <w:t xml:space="preserve"> </w:t>
      </w:r>
      <w:hyperlink r:id="rId32">
        <w:r>
          <w:rPr>
            <w:rStyle w:val="Hyperlink"/>
          </w:rPr>
          <w:t xml:space="preserve">The National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Arab News</w:t>
        </w:r>
      </w:hyperlink>
      <w:r>
        <w:t xml:space="preserve">.</w:t>
      </w:r>
    </w:p>
    <w:bookmarkEnd w:id="34"/>
    <w:bookmarkStart w:id="35" w:name="c.-global-intelligence"/>
    <w:p>
      <w:pPr>
        <w:pStyle w:val="Heading3"/>
      </w:pPr>
      <w:r>
        <w:t xml:space="preserve">C. Global Intelligence</w:t>
      </w:r>
    </w:p>
    <w:p>
      <w:pPr>
        <w:pStyle w:val="FirstParagraph"/>
      </w:pPr>
      <w:r>
        <w:t xml:space="preserve">A blowout August payrolls report reset the rate-cut narrative: nonfarm payrolls added 162,000 versus 53,000 expected, unemployment held at 4.1%, and Treasury yields jumped — the 10-year to 4.78%, the 2-year to 4.34% — lifting the odds of a hike at the 15–16 September FOMC meeting toward 60% even as Fed Governor Waller argues for patience. Equities retreated in response (S&amp;P 500 −0.38%) while gold slid 1.3% to $4,420/oz on a firmer dollar. The other swing factor is the Middle East: continued US-Iran strikes, including missiles on Kuwait, have pushed Brent within reach of $100/bbl for the first time since Q2. Sources:</w:t>
      </w:r>
      <w:r>
        <w:t xml:space="preserve"> </w:t>
      </w:r>
      <w:hyperlink r:id="rId20">
        <w:r>
          <w:rPr>
            <w:rStyle w:val="Hyperlink"/>
          </w:rPr>
          <w:t xml:space="preserve">CNBC</w:t>
        </w:r>
      </w:hyperlink>
      <w:r>
        <w:t xml:space="preserve">,</w:t>
      </w:r>
      <w:r>
        <w:t xml:space="preserve"> </w:t>
      </w:r>
      <w:hyperlink r:id="rId24">
        <w:r>
          <w:rPr>
            <w:rStyle w:val="Hyperlink"/>
          </w:rPr>
          <w:t xml:space="preserve">Trading Economics</w:t>
        </w:r>
      </w:hyperlink>
      <w:r>
        <w:t xml:space="preserve">.</w:t>
      </w:r>
    </w:p>
    <w:bookmarkEnd w:id="35"/>
    <w:bookmarkEnd w:id="36"/>
    <w:bookmarkStart w:id="40" w:name="X03555bbbc64501a448992dc5229870556a9c339"/>
    <w:p>
      <w:pPr>
        <w:pStyle w:val="Heading2"/>
      </w:pPr>
      <w:r>
        <w:t xml:space="preserve">03</w:t>
      </w:r>
      <w:r>
        <w:t xml:space="preserve">Legislative &amp; Regulatory Tracker — Who Wins, Who Loses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2296"/>
        <w:gridCol w:w="1663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Legislation / Policy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Affected Sector(s)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Impact &amp; Strategic Outlook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 — Pakistan</w:t>
            </w:r>
          </w:p>
        </w:tc>
        <w:tc>
          <w:tcPr/>
          <w:p>
            <w:pPr>
              <w:pStyle w:val="Compact"/>
              <w:jc w:val="left"/>
            </w:pPr>
            <w:hyperlink r:id="rId37">
              <w:r>
                <w:rPr>
                  <w:rStyle w:val="Hyperlink"/>
                </w:rPr>
                <w:t xml:space="preserve">FBR SRO 1495(I)/2026</w:t>
              </w:r>
            </w:hyperlink>
            <w:r>
              <w:t xml:space="preserve"> </w:t>
            </w:r>
            <w:r>
              <w:t xml:space="preserve">amends the Tax Year 2026 income tax return form just weeks ahead of the 30 September filing deadline, adding new schedule provisions.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Salaried &amp; corporate taxpayers, tax practitioners, compliance software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Wins:</w:t>
            </w:r>
            <w:r>
              <w:t xml:space="preserve"> </w:t>
            </w:r>
            <w:r>
              <w:t xml:space="preserve">Tax advisory and compliance-software firms billing for last-minute adjustments; FBR gains finer-grained disclosure ahead of its Rs15.3tn FY27 collection target.</w:t>
            </w:r>
            <w:r>
              <w:t xml:space="preserve"> </w:t>
            </w:r>
            <w:r>
              <w:rPr>
                <w:bCs/>
                <w:b/>
              </w:rPr>
              <w:t xml:space="preserve">Loses:</w:t>
            </w:r>
            <w:r>
              <w:t xml:space="preserve"> </w:t>
            </w:r>
            <w:r>
              <w:t xml:space="preserve">Individual and corporate filers facing compressed timelines, with practitioners flagging legal uncertainty over the notification's timing.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Regional — GCC</w:t>
            </w:r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OPEC+'s seven core members</w:t>
              </w:r>
            </w:hyperlink>
            <w:r>
              <w:t xml:space="preserve"> </w:t>
            </w:r>
            <w:r>
              <w:t xml:space="preserve">head into their 6 September meeting expected to hold quotas steady into Q4 after completing the 188,000 bpd September output increase.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Oil &amp; gas majors, Gulf shipping/insurance, non-oil private sector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Wins:</w:t>
            </w:r>
            <w:r>
              <w:t xml:space="preserve"> </w:t>
            </w:r>
            <w:r>
              <w:t xml:space="preserve">Saudi Arabia (PMI 53.8) and UAE (PMI 55.3) non-oil sectors, which extend multi-month growth highs on quota discipline and steady supply.</w:t>
            </w:r>
            <w:r>
              <w:t xml:space="preserve"> </w:t>
            </w:r>
            <w:r>
              <w:rPr>
                <w:bCs/>
                <w:b/>
              </w:rPr>
              <w:t xml:space="preserve">Loses:</w:t>
            </w:r>
            <w:r>
              <w:t xml:space="preserve"> </w:t>
            </w:r>
            <w:r>
              <w:t xml:space="preserve">Gulf shippers, insurers and energy importers exposed to a rising Hormuz risk premium as Brent approaches $100/bbl.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Fed's</w:t>
            </w:r>
            <w:r>
              <w:t xml:space="preserve"> </w:t>
            </w:r>
            <w:hyperlink r:id="rId39">
              <w:r>
                <w:rPr>
                  <w:rStyle w:val="Hyperlink"/>
                </w:rPr>
                <w:t xml:space="preserve">15–16 September FOMC meeting</w:t>
              </w:r>
            </w:hyperlink>
            <w:r>
              <w:t xml:space="preserve"> </w:t>
            </w:r>
            <w:r>
              <w:t xml:space="preserve">looms with hike odds near 60% on CME FedWatch after a hot August jobs report, even as Governor Waller pushes back on tightening this cycle.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Rate-sensitive equities, EM currencies (incl. PKR), energy majors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Wins:</w:t>
            </w:r>
            <w:r>
              <w:t xml:space="preserve"> </w:t>
            </w:r>
            <w:r>
              <w:t xml:space="preserve">The dollar and short-end yields, which firmed on hike repricing; energy majors benefiting from a rising Brent/WTI complex.</w:t>
            </w:r>
            <w:r>
              <w:t xml:space="preserve"> </w:t>
            </w:r>
            <w:r>
              <w:rPr>
                <w:bCs/>
                <w:b/>
              </w:rPr>
              <w:t xml:space="preserve">Loses:</w:t>
            </w:r>
            <w:r>
              <w:t xml:space="preserve"> </w:t>
            </w:r>
            <w:r>
              <w:t xml:space="preserve">Rate-sensitive equities and EM currencies, including the PKR, which face tighter-for-longer risk if the Fed does hike in September.</w:t>
            </w:r>
          </w:p>
        </w:tc>
      </w:tr>
    </w:tbl>
    <w:bookmarkEnd w:id="40"/>
    <w:bookmarkStart w:id="41" w:name="the-day-ahead-kse-100-levels-desk-stance"/>
    <w:p>
      <w:pPr>
        <w:pStyle w:val="Heading2"/>
      </w:pPr>
      <w:r>
        <w:t xml:space="preserve">04</w:t>
      </w:r>
      <w:r>
        <w:t xml:space="preserve">The Day Ahead — KSE-100 Levels &amp; Desk Stance</w:t>
      </w:r>
    </w:p>
    <w:p>
      <w:pPr>
        <w:pStyle w:val="FirstParagraph"/>
      </w:pPr>
      <w:r>
        <w:t xml:space="preserve">Support</w:t>
      </w:r>
      <w:r>
        <w:t xml:space="preserve"> </w:t>
      </w:r>
      <w:r>
        <w:t xml:space="preserve">EST.</w:t>
      </w:r>
    </w:p>
    <w:p>
      <w:pPr>
        <w:pStyle w:val="BodyText"/>
      </w:pPr>
      <w:r>
        <w:t xml:space="preserve">174,500</w:t>
      </w:r>
    </w:p>
    <w:p>
      <w:pPr>
        <w:pStyle w:val="BodyText"/>
      </w:pPr>
      <w:r>
        <w:t xml:space="preserve">Friday's intraday low (174,515); deeper support at 173,500</w:t>
      </w:r>
    </w:p>
    <w:p>
      <w:pPr>
        <w:pStyle w:val="BodyText"/>
      </w:pPr>
      <w:r>
        <w:t xml:space="preserve">Pivot</w:t>
      </w:r>
      <w:r>
        <w:t xml:space="preserve"> </w:t>
      </w:r>
      <w:r>
        <w:t xml:space="preserve">EST.</w:t>
      </w:r>
    </w:p>
    <w:p>
      <w:pPr>
        <w:pStyle w:val="BodyText"/>
      </w:pPr>
      <w:r>
        <w:t xml:space="preserve">175,329</w:t>
      </w:r>
    </w:p>
    <w:p>
      <w:pPr>
        <w:pStyle w:val="BodyText"/>
      </w:pPr>
      <w:r>
        <w:t xml:space="preserve">Friday's close</w:t>
      </w:r>
    </w:p>
    <w:p>
      <w:pPr>
        <w:pStyle w:val="BodyText"/>
      </w:pPr>
      <w:r>
        <w:t xml:space="preserve">Resistance</w:t>
      </w:r>
      <w:r>
        <w:t xml:space="preserve"> </w:t>
      </w:r>
      <w:r>
        <w:t xml:space="preserve">EST.</w:t>
      </w:r>
    </w:p>
    <w:p>
      <w:pPr>
        <w:pStyle w:val="BodyText"/>
      </w:pPr>
      <w:r>
        <w:t xml:space="preserve">175,400</w:t>
      </w:r>
    </w:p>
    <w:p>
      <w:pPr>
        <w:pStyle w:val="BodyText"/>
      </w:pPr>
      <w:r>
        <w:t xml:space="preserve">Friday's intraday high (175,418); then 176,000</w:t>
      </w:r>
    </w:p>
    <w:p>
      <w:pPr>
        <w:pStyle w:val="BodyText"/>
      </w:pPr>
      <w:r>
        <w:t xml:space="preserve">Friday's 0.23% gain masks a genuinely two-sided tape: banks, autos and E&amp;P names such as</w:t>
      </w:r>
      <w:r>
        <w:t xml:space="preserve"> </w:t>
      </w:r>
      <w:r>
        <w:rPr>
          <w:bCs/>
          <w:b/>
        </w:rPr>
        <w:t xml:space="preserve">MEBL, MARI, PPL and OGDC</w:t>
      </w:r>
      <w:r>
        <w:t xml:space="preserve"> </w:t>
      </w:r>
      <w:r>
        <w:t xml:space="preserve">did the heavy lifting as the oil rally lifted energy earnings expectations, while</w:t>
      </w:r>
      <w:r>
        <w:t xml:space="preserve"> </w:t>
      </w:r>
      <w:r>
        <w:rPr>
          <w:bCs/>
          <w:b/>
        </w:rPr>
        <w:t xml:space="preserve">UBL, Cnergyico and FFC</w:t>
      </w:r>
      <w:r>
        <w:t xml:space="preserve"> </w:t>
      </w:r>
      <w:r>
        <w:t xml:space="preserve">dragged, and volume rose alongside the index — a mild positive for conviction. The bigger risk sits offshore: a hawkish US jobs surprise has revived Fed hike odds into the 15–16 September FOMC, and Brent's push toward $100/bbl on renewed Iran-Kuwait strikes worsens Pakistan's import bill just as August CPI printed back in double digits at 11.1%. We'd stay selectively long E&amp;P and banks as oil-rally beneficiaries while trimming broader beta into the SBP's September MPC and any fresh Hormuz escalation. All levels are indicative desk estimates, not recommendations.</w:t>
      </w:r>
    </w:p>
    <w:p>
      <w:pPr>
        <w:pStyle w:val="BodyText"/>
      </w:pPr>
      <w:r>
        <w:rPr>
          <w:bCs/>
          <w:b/>
        </w:rPr>
        <w:t xml:space="preserve">Disclaimer:</w:t>
      </w:r>
      <w:r>
        <w:t xml:space="preserve"> </w:t>
      </w:r>
      <w:r>
        <w:t xml:space="preserve">Disclaimer: Produced by ContexAi for information and education only — not investment advice, a solicitation, or a guarantee. Trading securities, commodities and futures carries substantial risk of loss; leveraged futures can lose more than your margin. Levels are indicative. Consider your risk tolerance and consult a licensed financial adviser before acting. You alone are responsible for your trading decisions.</w:t>
      </w:r>
    </w:p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s://propakistani.pk/2026/08/27/sbp-reserves-increase-by-17-million/" TargetMode="External" /><Relationship Type="http://schemas.openxmlformats.org/officeDocument/2006/relationships/hyperlink" Id="rId37" Target="https://propakistani.pk/2026/09/03/fbr-again-changes-2026-tax-return-form/" TargetMode="External" /><Relationship Type="http://schemas.openxmlformats.org/officeDocument/2006/relationships/hyperlink" Id="rId24" Target="https://tradingeconomics.com/commodity/brent-crude-oil" TargetMode="External" /><Relationship Type="http://schemas.openxmlformats.org/officeDocument/2006/relationships/hyperlink" Id="rId38" Target="https://worldoil.com/news/2026/8/2/opec-approves-final-production-quota-increase-of-2026/" TargetMode="External" /><Relationship Type="http://schemas.openxmlformats.org/officeDocument/2006/relationships/hyperlink" Id="rId33" Target="https://www.arabnews.com/business/saudi-pmi-rises-to-6-month-high-as-non-oil-growth-accelerates-3000302" TargetMode="External" /><Relationship Type="http://schemas.openxmlformats.org/officeDocument/2006/relationships/hyperlink" Id="rId27" Target="https://www.brecorder.com/news/40437517/august-cpi-based-inflation-clocks-in-at-111pc-yoy" TargetMode="External" /><Relationship Type="http://schemas.openxmlformats.org/officeDocument/2006/relationships/hyperlink" Id="rId26" Target="https://www.brecorder.com/news/40437906/psx-kse-100-index-gains-nearly-400-points-after-volatile-trading" TargetMode="External" /><Relationship Type="http://schemas.openxmlformats.org/officeDocument/2006/relationships/hyperlink" Id="rId20" Target="https://www.cnbc.com/2026/09/04/treasurys-bonds-nonfarm-payrolls-unemployment-data.html" TargetMode="External" /><Relationship Type="http://schemas.openxmlformats.org/officeDocument/2006/relationships/hyperlink" Id="rId39" Target="https://www.federalreserve.gov/monetarypolicy/fomcminutes20260729.htm" TargetMode="External" /><Relationship Type="http://schemas.openxmlformats.org/officeDocument/2006/relationships/hyperlink" Id="rId28" Target="https://www.pbs.gov.pk/monthly-inflation-report-for-august-2026/" TargetMode="External" /><Relationship Type="http://schemas.openxmlformats.org/officeDocument/2006/relationships/hyperlink" Id="rId25" Target="https://www.riotimesonline.com/oil-brent-iran-strikes-kuwait-2026/" TargetMode="External" /><Relationship Type="http://schemas.openxmlformats.org/officeDocument/2006/relationships/hyperlink" Id="rId32" Target="https://www.thenationalnews.com/business/2026/09/03/uae-non-oil-sector-records-fastest-growth-since-december-2024-despite-iran-war-impact/" TargetMode="External" /><Relationship Type="http://schemas.openxmlformats.org/officeDocument/2006/relationships/hyperlink" Id="rId23" Target="https://www.thestreet.com/stock-market-today/stock-market-today-dow-jones-sp-500-nasdaq-updates-sept-04-2026" TargetMode="External" /><Relationship Type="http://schemas.openxmlformats.org/officeDocument/2006/relationships/hyperlink" Id="rId21" Target="https://www.usagold.com/daily-precious-metals-market-report-september-4-2026/" TargetMode="External" /><Relationship Type="http://schemas.openxmlformats.org/officeDocument/2006/relationships/hyperlink" Id="rId22" Target="https://www.washingtonpost.com/business/2026/09/04/stock-market-dow-nasdaq-jobs/b9e994e6-a89f-11f1-9e38-f705d048bd5a_story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propakistani.pk/2026/08/27/sbp-reserves-increase-by-17-million/" TargetMode="External" /><Relationship Type="http://schemas.openxmlformats.org/officeDocument/2006/relationships/hyperlink" Id="rId37" Target="https://propakistani.pk/2026/09/03/fbr-again-changes-2026-tax-return-form/" TargetMode="External" /><Relationship Type="http://schemas.openxmlformats.org/officeDocument/2006/relationships/hyperlink" Id="rId24" Target="https://tradingeconomics.com/commodity/brent-crude-oil" TargetMode="External" /><Relationship Type="http://schemas.openxmlformats.org/officeDocument/2006/relationships/hyperlink" Id="rId38" Target="https://worldoil.com/news/2026/8/2/opec-approves-final-production-quota-increase-of-2026/" TargetMode="External" /><Relationship Type="http://schemas.openxmlformats.org/officeDocument/2006/relationships/hyperlink" Id="rId33" Target="https://www.arabnews.com/business/saudi-pmi-rises-to-6-month-high-as-non-oil-growth-accelerates-3000302" TargetMode="External" /><Relationship Type="http://schemas.openxmlformats.org/officeDocument/2006/relationships/hyperlink" Id="rId27" Target="https://www.brecorder.com/news/40437517/august-cpi-based-inflation-clocks-in-at-111pc-yoy" TargetMode="External" /><Relationship Type="http://schemas.openxmlformats.org/officeDocument/2006/relationships/hyperlink" Id="rId26" Target="https://www.brecorder.com/news/40437906/psx-kse-100-index-gains-nearly-400-points-after-volatile-trading" TargetMode="External" /><Relationship Type="http://schemas.openxmlformats.org/officeDocument/2006/relationships/hyperlink" Id="rId20" Target="https://www.cnbc.com/2026/09/04/treasurys-bonds-nonfarm-payrolls-unemployment-data.html" TargetMode="External" /><Relationship Type="http://schemas.openxmlformats.org/officeDocument/2006/relationships/hyperlink" Id="rId39" Target="https://www.federalreserve.gov/monetarypolicy/fomcminutes20260729.htm" TargetMode="External" /><Relationship Type="http://schemas.openxmlformats.org/officeDocument/2006/relationships/hyperlink" Id="rId28" Target="https://www.pbs.gov.pk/monthly-inflation-report-for-august-2026/" TargetMode="External" /><Relationship Type="http://schemas.openxmlformats.org/officeDocument/2006/relationships/hyperlink" Id="rId25" Target="https://www.riotimesonline.com/oil-brent-iran-strikes-kuwait-2026/" TargetMode="External" /><Relationship Type="http://schemas.openxmlformats.org/officeDocument/2006/relationships/hyperlink" Id="rId32" Target="https://www.thenationalnews.com/business/2026/09/03/uae-non-oil-sector-records-fastest-growth-since-december-2024-despite-iran-war-impact/" TargetMode="External" /><Relationship Type="http://schemas.openxmlformats.org/officeDocument/2006/relationships/hyperlink" Id="rId23" Target="https://www.thestreet.com/stock-market-today/stock-market-today-dow-jones-sp-500-nasdaq-updates-sept-04-2026" TargetMode="External" /><Relationship Type="http://schemas.openxmlformats.org/officeDocument/2006/relationships/hyperlink" Id="rId21" Target="https://www.usagold.com/daily-precious-metals-market-report-september-4-2026/" TargetMode="External" /><Relationship Type="http://schemas.openxmlformats.org/officeDocument/2006/relationships/hyperlink" Id="rId22" Target="https://www.washingtonpost.com/business/2026/09/04/stock-market-dow-nasdaq-jobs/b9e994e6-a89f-11f1-9e38-f705d048bd5a_story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Economic Vibes — Morning Brief · Monday, 07 September 2026</dc:title>
  <dc:creator/>
  <dc:language>en</dc:language>
  <cp:keywords/>
  <dcterms:created xsi:type="dcterms:W3CDTF">2026-09-07T06:30:09Z</dcterms:created>
  <dcterms:modified xsi:type="dcterms:W3CDTF">2026-09-07T06:30:09Z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